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1"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SECURITIES AND EXCHANGE COMMISSION</w:t>
      </w:r>
    </w:p>
    <w:p>
      <w:pPr>
        <w:jc w:val="center"/>
        <w:ind w:right="-279"/>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SCHEDULE 14A</w:t>
      </w:r>
    </w:p>
    <w:p>
      <w:pPr>
        <w:spacing w:after="0" w:line="212"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Proxy Statement Pursuant to Section 14(a) of the</w:t>
      </w:r>
    </w:p>
    <w:p>
      <w:pPr>
        <w:spacing w:after="0" w:line="14"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Securities Exchange Act of 1934 (Amendment No. )</w:t>
      </w:r>
    </w:p>
    <w:p>
      <w:pPr>
        <w:spacing w:after="0" w:line="137" w:lineRule="exact"/>
        <w:rPr>
          <w:sz w:val="24"/>
          <w:szCs w:val="24"/>
          <w:color w:val="auto"/>
        </w:rPr>
      </w:pPr>
    </w:p>
    <w:p>
      <w:pPr>
        <w:spacing w:after="0" w:line="242" w:lineRule="exact"/>
        <w:tabs>
          <w:tab w:leader="none" w:pos="734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28"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40" w:hanging="460"/>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60" w:lineRule="exact"/>
        <w:rPr>
          <w:rFonts w:ascii="MS PGothic" w:cs="MS PGothic" w:eastAsia="MS PGothic" w:hAnsi="MS PGothic"/>
          <w:sz w:val="22"/>
          <w:szCs w:val="22"/>
          <w:color w:val="auto"/>
        </w:rPr>
      </w:pPr>
    </w:p>
    <w:p>
      <w:pPr>
        <w:ind w:left="80" w:right="4060"/>
        <w:spacing w:after="0" w:line="270" w:lineRule="exact"/>
        <w:tabs>
          <w:tab w:leader="none" w:pos="548"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22"/>
          <w:szCs w:val="22"/>
          <w:color w:val="auto"/>
        </w:rPr>
      </w:pPr>
    </w:p>
    <w:p>
      <w:pPr>
        <w:ind w:left="540" w:hanging="460"/>
        <w:spacing w:after="0" w:line="233"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49" w:lineRule="exact"/>
        <w:rPr>
          <w:rFonts w:ascii="MS PGothic" w:cs="MS PGothic" w:eastAsia="MS PGothic" w:hAnsi="MS PGothic"/>
          <w:sz w:val="22"/>
          <w:szCs w:val="22"/>
          <w:color w:val="auto"/>
        </w:rPr>
      </w:pPr>
    </w:p>
    <w:p>
      <w:pPr>
        <w:ind w:left="540" w:hanging="460"/>
        <w:spacing w:after="0" w:line="233"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-842010</wp:posOffset>
            </wp:positionV>
            <wp:extent cx="7132320" cy="1551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5513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Comcast Corporation</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13"/>
          <w:szCs w:val="13"/>
          <w:color w:val="auto"/>
        </w:rPr>
        <w:t>(Name of Registrant as Specified In Its Charter)</w:t>
      </w:r>
    </w:p>
    <w:p>
      <w:pPr>
        <w:spacing w:after="0" w:line="11" w:lineRule="exact"/>
        <w:rPr>
          <w:sz w:val="24"/>
          <w:szCs w:val="24"/>
          <w:color w:val="auto"/>
        </w:rPr>
      </w:pPr>
    </w:p>
    <w:p>
      <w:pPr>
        <w:jc w:val="center"/>
        <w:ind w:right="-279"/>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10"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ALL BOXES THAT APPLY):</w:t>
      </w:r>
    </w:p>
    <w:p>
      <w:pPr>
        <w:spacing w:after="0" w:line="63" w:lineRule="exact"/>
        <w:rPr>
          <w:sz w:val="24"/>
          <w:szCs w:val="24"/>
          <w:color w:val="auto"/>
        </w:rPr>
      </w:pPr>
    </w:p>
    <w:p>
      <w:pPr>
        <w:ind w:left="540" w:hanging="460"/>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514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3" w:lineRule="exact"/>
        <w:rPr>
          <w:sz w:val="24"/>
          <w:szCs w:val="2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60" w:lineRule="exact"/>
        <w:rPr>
          <w:rFonts w:ascii="MS PGothic" w:cs="MS PGothic" w:eastAsia="MS PGothic" w:hAnsi="MS PGothic"/>
          <w:sz w:val="22"/>
          <w:szCs w:val="22"/>
          <w:color w:val="auto"/>
        </w:rPr>
      </w:pPr>
    </w:p>
    <w:p>
      <w:pPr>
        <w:ind w:left="540" w:hanging="460"/>
        <w:spacing w:after="0" w:line="233" w:lineRule="auto"/>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60"/>
          </w:cols>
          <w:pgMar w:left="320" w:top="338" w:right="61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03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0356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300" w:type="dxa"/>
            <w:vAlign w:val="bottom"/>
            <w:shd w:val="clear" w:color="auto" w:fill="00A0E0"/>
          </w:tcPr>
          <w:p>
            <w:pPr>
              <w:spacing w:after="0"/>
              <w:rPr>
                <w:sz w:val="24"/>
                <w:szCs w:val="24"/>
                <w:color w:val="auto"/>
              </w:rPr>
            </w:pPr>
          </w:p>
        </w:tc>
        <w:tc>
          <w:tcPr>
            <w:tcW w:w="2020" w:type="dxa"/>
            <w:vAlign w:val="bottom"/>
            <w:shd w:val="clear" w:color="auto" w:fill="00A0E0"/>
          </w:tcPr>
          <w:p>
            <w:pPr>
              <w:spacing w:after="0"/>
              <w:rPr>
                <w:sz w:val="24"/>
                <w:szCs w:val="24"/>
                <w:color w:val="auto"/>
              </w:rPr>
            </w:pPr>
          </w:p>
        </w:tc>
        <w:tc>
          <w:tcPr>
            <w:tcW w:w="8920" w:type="dxa"/>
            <w:vAlign w:val="bottom"/>
            <w:gridSpan w:val="2"/>
            <w:shd w:val="clear" w:color="auto" w:fill="00A0E0"/>
          </w:tcPr>
          <w:p>
            <w:pPr>
              <w:ind w:left="1760"/>
              <w:spacing w:after="0"/>
              <w:rPr>
                <w:sz w:val="20"/>
                <w:szCs w:val="20"/>
                <w:color w:val="auto"/>
              </w:rPr>
            </w:pPr>
            <w:r>
              <w:rPr>
                <w:rFonts w:ascii="Arial" w:cs="Arial" w:eastAsia="Arial" w:hAnsi="Arial"/>
                <w:sz w:val="25"/>
                <w:szCs w:val="25"/>
                <w:b w:val="1"/>
                <w:bCs w:val="1"/>
                <w:color w:val="FFFFFF"/>
              </w:rPr>
              <w:t>2024 Company Highlights</w:t>
            </w:r>
          </w:p>
        </w:tc>
        <w:tc>
          <w:tcPr>
            <w:tcW w:w="0" w:type="dxa"/>
            <w:vAlign w:val="bottom"/>
          </w:tcPr>
          <w:p>
            <w:pPr>
              <w:spacing w:after="0"/>
              <w:rPr>
                <w:sz w:val="1"/>
                <w:szCs w:val="1"/>
                <w:color w:val="auto"/>
              </w:rPr>
            </w:pPr>
          </w:p>
        </w:tc>
      </w:tr>
      <w:tr>
        <w:trPr>
          <w:trHeight w:val="81"/>
        </w:trPr>
        <w:tc>
          <w:tcPr>
            <w:tcW w:w="300" w:type="dxa"/>
            <w:vAlign w:val="bottom"/>
            <w:shd w:val="clear" w:color="auto" w:fill="00A0E0"/>
          </w:tcPr>
          <w:p>
            <w:pPr>
              <w:spacing w:after="0"/>
              <w:rPr>
                <w:sz w:val="7"/>
                <w:szCs w:val="7"/>
                <w:color w:val="auto"/>
              </w:rPr>
            </w:pPr>
          </w:p>
        </w:tc>
        <w:tc>
          <w:tcPr>
            <w:tcW w:w="2020" w:type="dxa"/>
            <w:vAlign w:val="bottom"/>
            <w:shd w:val="clear" w:color="auto" w:fill="00A0E0"/>
          </w:tcPr>
          <w:p>
            <w:pPr>
              <w:spacing w:after="0"/>
              <w:rPr>
                <w:sz w:val="7"/>
                <w:szCs w:val="7"/>
                <w:color w:val="auto"/>
              </w:rPr>
            </w:pPr>
          </w:p>
        </w:tc>
        <w:tc>
          <w:tcPr>
            <w:tcW w:w="8660" w:type="dxa"/>
            <w:vAlign w:val="bottom"/>
            <w:shd w:val="clear" w:color="auto" w:fill="00A0E0"/>
          </w:tcPr>
          <w:p>
            <w:pPr>
              <w:spacing w:after="0"/>
              <w:rPr>
                <w:sz w:val="7"/>
                <w:szCs w:val="7"/>
                <w:color w:val="auto"/>
              </w:rPr>
            </w:pPr>
          </w:p>
        </w:tc>
        <w:tc>
          <w:tcPr>
            <w:tcW w:w="260" w:type="dxa"/>
            <w:vAlign w:val="bottom"/>
            <w:shd w:val="clear" w:color="auto" w:fill="00A0E0"/>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00" w:type="dxa"/>
            <w:vAlign w:val="bottom"/>
            <w:shd w:val="clear" w:color="auto" w:fill="D8EDF7"/>
          </w:tcPr>
          <w:p>
            <w:pPr>
              <w:spacing w:after="0"/>
              <w:rPr>
                <w:sz w:val="10"/>
                <w:szCs w:val="10"/>
                <w:color w:val="auto"/>
              </w:rPr>
            </w:pPr>
          </w:p>
        </w:tc>
        <w:tc>
          <w:tcPr>
            <w:tcW w:w="2020" w:type="dxa"/>
            <w:vAlign w:val="bottom"/>
            <w:shd w:val="clear" w:color="auto" w:fill="D8EDF7"/>
          </w:tcPr>
          <w:p>
            <w:pPr>
              <w:spacing w:after="0"/>
              <w:rPr>
                <w:sz w:val="10"/>
                <w:szCs w:val="10"/>
                <w:color w:val="auto"/>
              </w:rPr>
            </w:pPr>
          </w:p>
        </w:tc>
        <w:tc>
          <w:tcPr>
            <w:tcW w:w="8660" w:type="dxa"/>
            <w:vAlign w:val="bottom"/>
            <w:shd w:val="clear" w:color="auto" w:fill="D8EDF7"/>
          </w:tcPr>
          <w:p>
            <w:pPr>
              <w:spacing w:after="0"/>
              <w:rPr>
                <w:sz w:val="10"/>
                <w:szCs w:val="10"/>
                <w:color w:val="auto"/>
              </w:rPr>
            </w:pPr>
          </w:p>
        </w:tc>
        <w:tc>
          <w:tcPr>
            <w:tcW w:w="260" w:type="dxa"/>
            <w:vAlign w:val="bottom"/>
            <w:shd w:val="clear" w:color="auto" w:fill="D8EDF7"/>
          </w:tcPr>
          <w:p>
            <w:pPr>
              <w:spacing w:after="0"/>
              <w:rPr>
                <w:sz w:val="10"/>
                <w:szCs w:val="10"/>
                <w:color w:val="auto"/>
              </w:rPr>
            </w:pPr>
          </w:p>
        </w:tc>
        <w:tc>
          <w:tcPr>
            <w:tcW w:w="0" w:type="dxa"/>
            <w:vAlign w:val="bottom"/>
          </w:tcPr>
          <w:p>
            <w:pPr>
              <w:spacing w:after="0"/>
              <w:rPr>
                <w:sz w:val="1"/>
                <w:szCs w:val="1"/>
                <w:color w:val="auto"/>
              </w:rPr>
            </w:pPr>
          </w:p>
        </w:tc>
      </w:tr>
      <w:tr>
        <w:trPr>
          <w:trHeight w:val="404"/>
        </w:trPr>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920" w:type="dxa"/>
            <w:vAlign w:val="bottom"/>
            <w:gridSpan w:val="2"/>
          </w:tcPr>
          <w:p>
            <w:pPr>
              <w:ind w:left="1040"/>
              <w:spacing w:after="0"/>
              <w:rPr>
                <w:sz w:val="20"/>
                <w:szCs w:val="20"/>
                <w:color w:val="auto"/>
              </w:rPr>
            </w:pPr>
            <w:r>
              <w:rPr>
                <w:rFonts w:ascii="Arial" w:cs="Arial" w:eastAsia="Arial" w:hAnsi="Arial"/>
                <w:sz w:val="22"/>
                <w:szCs w:val="22"/>
                <w:b w:val="1"/>
                <w:bCs w:val="1"/>
                <w:color w:val="00A0DD"/>
              </w:rPr>
              <w:t>Strong Execution on Key Strategic Priorities</w:t>
            </w:r>
          </w:p>
        </w:tc>
        <w:tc>
          <w:tcPr>
            <w:tcW w:w="0" w:type="dxa"/>
            <w:vAlign w:val="bottom"/>
          </w:tcPr>
          <w:p>
            <w:pPr>
              <w:spacing w:after="0"/>
              <w:rPr>
                <w:sz w:val="1"/>
                <w:szCs w:val="1"/>
                <w:color w:val="auto"/>
              </w:rPr>
            </w:pPr>
          </w:p>
        </w:tc>
      </w:tr>
      <w:tr>
        <w:trPr>
          <w:trHeight w:val="109"/>
        </w:trPr>
        <w:tc>
          <w:tcPr>
            <w:tcW w:w="300" w:type="dxa"/>
            <w:vAlign w:val="bottom"/>
          </w:tcPr>
          <w:p>
            <w:pPr>
              <w:spacing w:after="0"/>
              <w:rPr>
                <w:sz w:val="9"/>
                <w:szCs w:val="9"/>
                <w:color w:val="auto"/>
              </w:rPr>
            </w:pPr>
          </w:p>
        </w:tc>
        <w:tc>
          <w:tcPr>
            <w:tcW w:w="2020" w:type="dxa"/>
            <w:vAlign w:val="bottom"/>
            <w:tcBorders>
              <w:bottom w:val="single" w:sz="8" w:color="00A0E0"/>
            </w:tcBorders>
          </w:tcPr>
          <w:p>
            <w:pPr>
              <w:spacing w:after="0"/>
              <w:rPr>
                <w:sz w:val="9"/>
                <w:szCs w:val="9"/>
                <w:color w:val="auto"/>
              </w:rPr>
            </w:pPr>
          </w:p>
        </w:tc>
        <w:tc>
          <w:tcPr>
            <w:tcW w:w="8660" w:type="dxa"/>
            <w:vAlign w:val="bottom"/>
            <w:tcBorders>
              <w:bottom w:val="single" w:sz="8" w:color="00A0E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300" w:type="dxa"/>
            <w:vAlign w:val="bottom"/>
          </w:tcPr>
          <w:p>
            <w:pPr>
              <w:spacing w:after="0"/>
              <w:rPr>
                <w:sz w:val="24"/>
                <w:szCs w:val="24"/>
                <w:color w:val="auto"/>
              </w:rPr>
            </w:pPr>
          </w:p>
        </w:tc>
        <w:tc>
          <w:tcPr>
            <w:tcW w:w="2020" w:type="dxa"/>
            <w:vAlign w:val="bottom"/>
            <w:vMerge w:val="restart"/>
          </w:tcPr>
          <w:p>
            <w:pPr>
              <w:ind w:left="760"/>
              <w:spacing w:after="0"/>
              <w:rPr>
                <w:sz w:val="20"/>
                <w:szCs w:val="20"/>
                <w:color w:val="auto"/>
              </w:rPr>
            </w:pPr>
            <w:r>
              <w:rPr>
                <w:rFonts w:ascii="Arial" w:cs="Arial" w:eastAsia="Arial" w:hAnsi="Arial"/>
                <w:sz w:val="18"/>
                <w:szCs w:val="18"/>
                <w:b w:val="1"/>
                <w:bCs w:val="1"/>
                <w:color w:val="00A0DD"/>
              </w:rPr>
              <w:t>Consolidated</w:t>
            </w:r>
          </w:p>
        </w:tc>
        <w:tc>
          <w:tcPr>
            <w:tcW w:w="8920" w:type="dxa"/>
            <w:vAlign w:val="bottom"/>
            <w:gridSpan w:val="2"/>
          </w:tcPr>
          <w:p>
            <w:pPr>
              <w:ind w:left="120"/>
              <w:spacing w:after="0"/>
              <w:rPr>
                <w:sz w:val="20"/>
                <w:szCs w:val="20"/>
                <w:color w:val="auto"/>
              </w:rPr>
            </w:pPr>
            <w:r>
              <w:rPr>
                <w:rFonts w:ascii="Arial" w:cs="Arial" w:eastAsia="Arial" w:hAnsi="Arial"/>
                <w:sz w:val="16"/>
                <w:szCs w:val="16"/>
                <w:b w:val="1"/>
                <w:bCs w:val="1"/>
                <w:color w:val="00A0DD"/>
              </w:rPr>
              <w:t>Grew Revenue 1.8% to $123.7 billion</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89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00A0DD"/>
              </w:rPr>
              <w:t xml:space="preserve">Returned $13.5 billion to shareholders </w:t>
            </w:r>
            <w:r>
              <w:rPr>
                <w:rFonts w:ascii="Arial" w:cs="Arial" w:eastAsia="Arial" w:hAnsi="Arial"/>
                <w:sz w:val="16"/>
                <w:szCs w:val="16"/>
                <w:color w:val="000000"/>
              </w:rPr>
              <w:t>through a combination of $4.8 billion in dividend payments and $8.6 billion in</w:t>
            </w:r>
          </w:p>
        </w:tc>
        <w:tc>
          <w:tcPr>
            <w:tcW w:w="0" w:type="dxa"/>
            <w:vAlign w:val="bottom"/>
          </w:tcPr>
          <w:p>
            <w:pPr>
              <w:spacing w:after="0"/>
              <w:rPr>
                <w:sz w:val="1"/>
                <w:szCs w:val="1"/>
                <w:color w:val="auto"/>
              </w:rPr>
            </w:pPr>
          </w:p>
        </w:tc>
      </w:tr>
      <w:tr>
        <w:trPr>
          <w:trHeight w:val="72"/>
        </w:trPr>
        <w:tc>
          <w:tcPr>
            <w:tcW w:w="300" w:type="dxa"/>
            <w:vAlign w:val="bottom"/>
          </w:tcPr>
          <w:p>
            <w:pPr>
              <w:spacing w:after="0"/>
              <w:rPr>
                <w:sz w:val="6"/>
                <w:szCs w:val="6"/>
                <w:color w:val="auto"/>
              </w:rPr>
            </w:pPr>
          </w:p>
        </w:tc>
        <w:tc>
          <w:tcPr>
            <w:tcW w:w="2020" w:type="dxa"/>
            <w:vAlign w:val="bottom"/>
            <w:vMerge w:val="restart"/>
          </w:tcPr>
          <w:p>
            <w:pPr>
              <w:ind w:left="760"/>
              <w:spacing w:after="0"/>
              <w:rPr>
                <w:sz w:val="20"/>
                <w:szCs w:val="20"/>
                <w:color w:val="auto"/>
              </w:rPr>
            </w:pPr>
            <w:r>
              <w:rPr>
                <w:rFonts w:ascii="Arial" w:cs="Arial" w:eastAsia="Arial" w:hAnsi="Arial"/>
                <w:sz w:val="18"/>
                <w:szCs w:val="18"/>
                <w:b w:val="1"/>
                <w:bCs w:val="1"/>
                <w:color w:val="00A0DD"/>
              </w:rPr>
              <w:t>Financial</w:t>
            </w:r>
          </w:p>
        </w:tc>
        <w:tc>
          <w:tcPr>
            <w:tcW w:w="89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2020" w:type="dxa"/>
            <w:vAlign w:val="bottom"/>
            <w:vMerge w:val="continue"/>
          </w:tcPr>
          <w:p>
            <w:pPr>
              <w:spacing w:after="0"/>
              <w:rPr>
                <w:sz w:val="14"/>
                <w:szCs w:val="14"/>
                <w:color w:val="auto"/>
              </w:rPr>
            </w:pPr>
          </w:p>
        </w:tc>
        <w:tc>
          <w:tcPr>
            <w:tcW w:w="8920" w:type="dxa"/>
            <w:vAlign w:val="bottom"/>
            <w:gridSpan w:val="2"/>
          </w:tcPr>
          <w:p>
            <w:pPr>
              <w:ind w:left="120"/>
              <w:spacing w:after="0" w:line="163" w:lineRule="exact"/>
              <w:rPr>
                <w:sz w:val="20"/>
                <w:szCs w:val="20"/>
                <w:color w:val="auto"/>
              </w:rPr>
            </w:pPr>
            <w:r>
              <w:rPr>
                <w:rFonts w:ascii="Arial" w:cs="Arial" w:eastAsia="Arial" w:hAnsi="Arial"/>
                <w:sz w:val="16"/>
                <w:szCs w:val="16"/>
                <w:color w:val="auto"/>
              </w:rPr>
              <w:t>share repurchases, reducing shares outstanding by 5%</w:t>
            </w:r>
          </w:p>
        </w:tc>
        <w:tc>
          <w:tcPr>
            <w:tcW w:w="0" w:type="dxa"/>
            <w:vAlign w:val="bottom"/>
          </w:tcPr>
          <w:p>
            <w:pPr>
              <w:spacing w:after="0"/>
              <w:rPr>
                <w:sz w:val="1"/>
                <w:szCs w:val="1"/>
                <w:color w:val="auto"/>
              </w:rPr>
            </w:pPr>
          </w:p>
        </w:tc>
      </w:tr>
      <w:tr>
        <w:trPr>
          <w:trHeight w:val="247"/>
        </w:trPr>
        <w:tc>
          <w:tcPr>
            <w:tcW w:w="300" w:type="dxa"/>
            <w:vAlign w:val="bottom"/>
          </w:tcPr>
          <w:p>
            <w:pPr>
              <w:spacing w:after="0"/>
              <w:rPr>
                <w:sz w:val="21"/>
                <w:szCs w:val="21"/>
                <w:color w:val="auto"/>
              </w:rPr>
            </w:pPr>
          </w:p>
        </w:tc>
        <w:tc>
          <w:tcPr>
            <w:tcW w:w="2020" w:type="dxa"/>
            <w:vAlign w:val="bottom"/>
          </w:tcPr>
          <w:p>
            <w:pPr>
              <w:ind w:left="760"/>
              <w:spacing w:after="0"/>
              <w:rPr>
                <w:sz w:val="20"/>
                <w:szCs w:val="20"/>
                <w:color w:val="auto"/>
              </w:rPr>
            </w:pPr>
            <w:r>
              <w:rPr>
                <w:rFonts w:ascii="Arial" w:cs="Arial" w:eastAsia="Arial" w:hAnsi="Arial"/>
                <w:sz w:val="18"/>
                <w:szCs w:val="18"/>
                <w:b w:val="1"/>
                <w:bCs w:val="1"/>
                <w:color w:val="00A0DD"/>
              </w:rPr>
              <w:t>Results</w:t>
            </w:r>
          </w:p>
        </w:tc>
        <w:tc>
          <w:tcPr>
            <w:tcW w:w="89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00A0DD"/>
              </w:rPr>
              <w:t>In January 2025, increased dividend by $0.08, or 6.5% year-over-year</w:t>
            </w:r>
            <w:r>
              <w:rPr>
                <w:rFonts w:ascii="Arial" w:cs="Arial" w:eastAsia="Arial" w:hAnsi="Arial"/>
                <w:sz w:val="16"/>
                <w:szCs w:val="16"/>
                <w:color w:val="000000"/>
              </w:rPr>
              <w:t>, to $1.32 per share on an annualized basis</w:t>
            </w:r>
          </w:p>
        </w:tc>
        <w:tc>
          <w:tcPr>
            <w:tcW w:w="0" w:type="dxa"/>
            <w:vAlign w:val="bottom"/>
          </w:tcPr>
          <w:p>
            <w:pPr>
              <w:spacing w:after="0"/>
              <w:rPr>
                <w:sz w:val="1"/>
                <w:szCs w:val="1"/>
                <w:color w:val="auto"/>
              </w:rPr>
            </w:pPr>
          </w:p>
        </w:tc>
      </w:tr>
      <w:tr>
        <w:trPr>
          <w:trHeight w:val="77"/>
        </w:trPr>
        <w:tc>
          <w:tcPr>
            <w:tcW w:w="300" w:type="dxa"/>
            <w:vAlign w:val="bottom"/>
          </w:tcPr>
          <w:p>
            <w:pPr>
              <w:spacing w:after="0"/>
              <w:rPr>
                <w:sz w:val="6"/>
                <w:szCs w:val="6"/>
                <w:color w:val="auto"/>
              </w:rPr>
            </w:pPr>
          </w:p>
        </w:tc>
        <w:tc>
          <w:tcPr>
            <w:tcW w:w="2020" w:type="dxa"/>
            <w:vAlign w:val="bottom"/>
          </w:tcPr>
          <w:p>
            <w:pPr>
              <w:spacing w:after="0"/>
              <w:rPr>
                <w:sz w:val="6"/>
                <w:szCs w:val="6"/>
                <w:color w:val="auto"/>
              </w:rPr>
            </w:pPr>
          </w:p>
        </w:tc>
        <w:tc>
          <w:tcPr>
            <w:tcW w:w="89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920" w:type="dxa"/>
            <w:vAlign w:val="bottom"/>
            <w:gridSpan w:val="2"/>
          </w:tcPr>
          <w:p>
            <w:pPr>
              <w:ind w:left="120"/>
              <w:spacing w:after="0"/>
              <w:rPr>
                <w:sz w:val="20"/>
                <w:szCs w:val="20"/>
                <w:color w:val="auto"/>
              </w:rPr>
            </w:pPr>
            <w:r>
              <w:rPr>
                <w:rFonts w:ascii="Arial" w:cs="Arial" w:eastAsia="Arial" w:hAnsi="Arial"/>
                <w:sz w:val="16"/>
                <w:szCs w:val="16"/>
                <w:color w:val="auto"/>
              </w:rPr>
              <w:t>for 2025, the 17th consecutive annual increase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-1223645</wp:posOffset>
            </wp:positionV>
            <wp:extent cx="7132320" cy="4723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7231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60"/>
        <w:spacing w:after="0" w:line="311" w:lineRule="auto"/>
        <w:rPr>
          <w:sz w:val="20"/>
          <w:szCs w:val="20"/>
          <w:color w:val="auto"/>
        </w:rPr>
      </w:pPr>
      <w:r>
        <w:rPr>
          <w:rFonts w:ascii="Arial" w:cs="Arial" w:eastAsia="Arial" w:hAnsi="Arial"/>
          <w:sz w:val="17"/>
          <w:szCs w:val="17"/>
          <w:b w:val="1"/>
          <w:bCs w:val="1"/>
          <w:color w:val="00A0DD"/>
        </w:rPr>
        <w:t>Connectivity &amp;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-317500</wp:posOffset>
            </wp:positionV>
            <wp:extent cx="27432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000000"/>
                        </a:clrFrom>
                        <a:clrTo>
                          <a:srgbClr val="000000">
                            <a:alpha val="0"/>
                          </a:srgbClr>
                        </a:clrTo>
                      </a:clrChange>
                      <a:extLst>
                        <a:ext uri="{28A0092B-C50C-407E-A947-70E740481C1C}"/>
                      </a:extLst>
                    </a:blip>
                    <a:srcRect/>
                    <a:stretch>
                      <a:fillRect/>
                    </a:stretch>
                  </pic:blipFill>
                  <pic:spPr bwMode="auto">
                    <a:xfrm>
                      <a:off x="0" y="0"/>
                      <a:ext cx="274320" cy="26543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-317500</wp:posOffset>
            </wp:positionV>
            <wp:extent cx="274320" cy="265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74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b w:val="1"/>
          <w:bCs w:val="1"/>
          <w:color w:val="00A0DD"/>
        </w:rPr>
        <w:t xml:space="preserve">51.6 million customer relationships </w:t>
      </w:r>
      <w:r>
        <w:rPr>
          <w:rFonts w:ascii="Arial" w:cs="Arial" w:eastAsia="Arial" w:hAnsi="Arial"/>
          <w:sz w:val="16"/>
          <w:szCs w:val="16"/>
          <w:color w:val="000000"/>
        </w:rPr>
        <w:t>at year end, contributing more than $50 per month on average in Adjusted</w:t>
      </w:r>
      <w:r>
        <w:rPr>
          <w:rFonts w:ascii="Arial" w:cs="Arial" w:eastAsia="Arial" w:hAnsi="Arial"/>
          <w:sz w:val="16"/>
          <w:szCs w:val="16"/>
          <w:b w:val="1"/>
          <w:bCs w:val="1"/>
          <w:color w:val="00A0DD"/>
        </w:rPr>
        <w:t xml:space="preserve"> </w:t>
      </w:r>
      <w:r>
        <w:rPr>
          <w:rFonts w:ascii="Arial" w:cs="Arial" w:eastAsia="Arial" w:hAnsi="Arial"/>
          <w:sz w:val="16"/>
          <w:szCs w:val="16"/>
          <w:color w:val="000000"/>
        </w:rPr>
        <w:t>EBITDA per customer relationship</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A0DD"/>
        </w:rPr>
        <w:t xml:space="preserve">Largest broadband provider in the U.S. </w:t>
      </w:r>
      <w:r>
        <w:rPr>
          <w:rFonts w:ascii="Arial" w:cs="Arial" w:eastAsia="Arial" w:hAnsi="Arial"/>
          <w:sz w:val="16"/>
          <w:szCs w:val="16"/>
          <w:color w:val="000000"/>
        </w:rPr>
        <w:t>and second-largest provider in the U.K.</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A0DD"/>
        </w:rPr>
        <w:t>Increased homes and businesses passed by 1.2 million to 63.7 million</w:t>
      </w:r>
      <w:r>
        <w:rPr>
          <w:rFonts w:ascii="Arial" w:cs="Arial" w:eastAsia="Arial" w:hAnsi="Arial"/>
          <w:sz w:val="16"/>
          <w:szCs w:val="16"/>
          <w:color w:val="000000"/>
        </w:rPr>
        <w:t>, providing communities around the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 additional access to broadband</w:t>
      </w:r>
    </w:p>
    <w:p>
      <w:pPr>
        <w:spacing w:after="0" w:line="97"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b w:val="1"/>
          <w:bCs w:val="1"/>
          <w:color w:val="00A0DD"/>
        </w:rPr>
        <w:t xml:space="preserve">Continued to progress our broadband network upgrade </w:t>
      </w:r>
      <w:r>
        <w:rPr>
          <w:rFonts w:ascii="Arial" w:cs="Arial" w:eastAsia="Arial" w:hAnsi="Arial"/>
          <w:sz w:val="16"/>
          <w:szCs w:val="16"/>
          <w:color w:val="000000"/>
        </w:rPr>
        <w:t>that will ultimately offer multi-gigabit symmetrical speeds</w:t>
      </w:r>
      <w:r>
        <w:rPr>
          <w:rFonts w:ascii="Arial" w:cs="Arial" w:eastAsia="Arial" w:hAnsi="Arial"/>
          <w:sz w:val="16"/>
          <w:szCs w:val="16"/>
          <w:b w:val="1"/>
          <w:bCs w:val="1"/>
          <w:color w:val="00A0DD"/>
        </w:rPr>
        <w:t xml:space="preserve"> </w:t>
      </w:r>
      <w:r>
        <w:rPr>
          <w:rFonts w:ascii="Arial" w:cs="Arial" w:eastAsia="Arial" w:hAnsi="Arial"/>
          <w:sz w:val="16"/>
          <w:szCs w:val="16"/>
          <w:color w:val="000000"/>
        </w:rPr>
        <w:t>across every market we serve and incorporate AI tools</w:t>
      </w:r>
    </w:p>
    <w:p>
      <w:pPr>
        <w:spacing w:after="0" w:line="48"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b w:val="1"/>
          <w:bCs w:val="1"/>
          <w:color w:val="00A0DD"/>
        </w:rPr>
        <w:t>Grew connectivity revenue by 5.7% to $45.1 billion</w:t>
      </w:r>
      <w:r>
        <w:rPr>
          <w:rFonts w:ascii="Arial" w:cs="Arial" w:eastAsia="Arial" w:hAnsi="Arial"/>
          <w:sz w:val="16"/>
          <w:szCs w:val="16"/>
          <w:color w:val="000000"/>
        </w:rPr>
        <w:t>, reflecting growth in domestic broadband, domestic wireless,</w:t>
      </w:r>
      <w:r>
        <w:rPr>
          <w:rFonts w:ascii="Arial" w:cs="Arial" w:eastAsia="Arial" w:hAnsi="Arial"/>
          <w:sz w:val="16"/>
          <w:szCs w:val="16"/>
          <w:b w:val="1"/>
          <w:bCs w:val="1"/>
          <w:color w:val="00A0DD"/>
        </w:rPr>
        <w:t xml:space="preserve"> </w:t>
      </w:r>
      <w:r>
        <w:rPr>
          <w:rFonts w:ascii="Arial" w:cs="Arial" w:eastAsia="Arial" w:hAnsi="Arial"/>
          <w:sz w:val="16"/>
          <w:szCs w:val="16"/>
          <w:color w:val="000000"/>
        </w:rPr>
        <w:t>international connectivity and business services connectivity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-1355090</wp:posOffset>
            </wp:positionH>
            <wp:positionV relativeFrom="paragraph">
              <wp:posOffset>39370</wp:posOffset>
            </wp:positionV>
            <wp:extent cx="6780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2140" w:space="300"/>
            <w:col w:w="8800"/>
          </w:cols>
          <w:pgMar w:left="320" w:top="121" w:right="339" w:bottom="1440" w:gutter="0" w:footer="0" w:header="0"/>
          <w:type w:val="continuous"/>
        </w:sectPr>
      </w:pPr>
    </w:p>
    <w:p>
      <w:pPr>
        <w:ind w:left="2440" w:right="640"/>
        <w:spacing w:after="0" w:line="286" w:lineRule="auto"/>
        <w:rPr>
          <w:sz w:val="20"/>
          <w:szCs w:val="20"/>
          <w:color w:val="auto"/>
        </w:rPr>
      </w:pPr>
      <w:r>
        <w:rPr>
          <w:rFonts w:ascii="Arial" w:cs="Arial" w:eastAsia="Arial" w:hAnsi="Arial"/>
          <w:sz w:val="16"/>
          <w:szCs w:val="16"/>
          <w:b w:val="1"/>
          <w:bCs w:val="1"/>
          <w:color w:val="00A0DD"/>
        </w:rPr>
        <w:t>Theme Parks generated $2.9 billion in Adjusted EBITDA and finished 2024 strong</w:t>
      </w:r>
      <w:r>
        <w:rPr>
          <w:rFonts w:ascii="Arial" w:cs="Arial" w:eastAsia="Arial" w:hAnsi="Arial"/>
          <w:sz w:val="16"/>
          <w:szCs w:val="16"/>
          <w:color w:val="000000"/>
        </w:rPr>
        <w:t>; announced the May 2025</w:t>
      </w:r>
      <w:r>
        <w:rPr>
          <w:rFonts w:ascii="Arial" w:cs="Arial" w:eastAsia="Arial" w:hAnsi="Arial"/>
          <w:sz w:val="16"/>
          <w:szCs w:val="16"/>
          <w:b w:val="1"/>
          <w:bCs w:val="1"/>
          <w:color w:val="00A0DD"/>
        </w:rPr>
        <w:t xml:space="preserve"> </w:t>
      </w:r>
      <w:r>
        <w:rPr>
          <w:rFonts w:ascii="Arial" w:cs="Arial" w:eastAsia="Arial" w:hAnsi="Arial"/>
          <w:sz w:val="16"/>
          <w:szCs w:val="16"/>
          <w:color w:val="000000"/>
        </w:rPr>
        <w:t>opening of Universal Epic Universe</w:t>
      </w:r>
    </w:p>
    <w:p>
      <w:pPr>
        <w:spacing w:after="0" w:line="48" w:lineRule="exact"/>
        <w:rPr>
          <w:sz w:val="20"/>
          <w:szCs w:val="20"/>
          <w:color w:val="auto"/>
        </w:rPr>
      </w:pPr>
    </w:p>
    <w:p>
      <w:pPr>
        <w:ind w:left="2440" w:right="640"/>
        <w:spacing w:after="0" w:line="286" w:lineRule="auto"/>
        <w:rPr>
          <w:sz w:val="20"/>
          <w:szCs w:val="20"/>
          <w:color w:val="auto"/>
        </w:rPr>
      </w:pPr>
      <w:r>
        <w:rPr>
          <w:rFonts w:ascii="Arial" w:cs="Arial" w:eastAsia="Arial" w:hAnsi="Arial"/>
          <w:sz w:val="16"/>
          <w:szCs w:val="16"/>
          <w:b w:val="1"/>
          <w:bCs w:val="1"/>
          <w:color w:val="00A0DD"/>
        </w:rPr>
        <w:t>Peacock revenue increased by 46% to $4.9 billion</w:t>
      </w:r>
      <w:r>
        <w:rPr>
          <w:rFonts w:ascii="Arial" w:cs="Arial" w:eastAsia="Arial" w:hAnsi="Arial"/>
          <w:sz w:val="16"/>
          <w:szCs w:val="16"/>
          <w:color w:val="000000"/>
        </w:rPr>
        <w:t>; Adjusted EBITDA losses improved by nearly $1 billion; paid</w:t>
      </w:r>
      <w:r>
        <w:rPr>
          <w:rFonts w:ascii="Arial" w:cs="Arial" w:eastAsia="Arial" w:hAnsi="Arial"/>
          <w:sz w:val="16"/>
          <w:szCs w:val="16"/>
          <w:b w:val="1"/>
          <w:bCs w:val="1"/>
          <w:color w:val="00A0DD"/>
        </w:rPr>
        <w:t xml:space="preserve"> </w:t>
      </w:r>
      <w:r>
        <w:rPr>
          <w:rFonts w:ascii="Arial" w:cs="Arial" w:eastAsia="Arial" w:hAnsi="Arial"/>
          <w:sz w:val="16"/>
          <w:szCs w:val="16"/>
          <w:color w:val="000000"/>
        </w:rPr>
        <w:t>subscribers increased by 5 million to 36 million</w:t>
      </w:r>
    </w:p>
    <w:p>
      <w:pPr>
        <w:spacing w:after="0" w:line="48"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00A0DD"/>
        </w:rPr>
        <w:t>NBC Sports delivered its most-watched year since 2016</w:t>
      </w:r>
      <w:r>
        <w:rPr>
          <w:rFonts w:ascii="Arial" w:cs="Arial" w:eastAsia="Arial" w:hAnsi="Arial"/>
          <w:sz w:val="16"/>
          <w:szCs w:val="16"/>
          <w:color w:val="000000"/>
        </w:rPr>
        <w:t>, highlighted by our innovative broadcast of the Paris</w:t>
      </w:r>
    </w:p>
    <w:p>
      <w:pPr>
        <w:spacing w:after="0" w:line="5" w:lineRule="exact"/>
        <w:rPr>
          <w:sz w:val="20"/>
          <w:szCs w:val="20"/>
          <w:color w:val="auto"/>
        </w:rPr>
      </w:pPr>
    </w:p>
    <w:p>
      <w:pPr>
        <w:ind w:left="1060" w:right="500"/>
        <w:spacing w:after="0" w:line="260" w:lineRule="auto"/>
        <w:rPr>
          <w:sz w:val="20"/>
          <w:szCs w:val="20"/>
          <w:color w:val="auto"/>
        </w:rPr>
      </w:pPr>
      <w:r>
        <w:rPr>
          <w:rFonts w:ascii="Arial" w:cs="Arial" w:eastAsia="Arial" w:hAnsi="Arial"/>
          <w:sz w:val="18"/>
          <w:szCs w:val="18"/>
          <w:b w:val="1"/>
          <w:bCs w:val="1"/>
          <w:color w:val="00A0DD"/>
        </w:rPr>
        <w:t xml:space="preserve">Content &amp; </w:t>
      </w:r>
      <w:r>
        <w:rPr>
          <w:rFonts w:ascii="Arial" w:cs="Arial" w:eastAsia="Arial" w:hAnsi="Arial"/>
          <w:sz w:val="16"/>
          <w:szCs w:val="16"/>
          <w:color w:val="000000"/>
        </w:rPr>
        <w:t>Olympics and Peacock's first-ever exclusive live streamed NFL playoff game. Announced a new 11-year partnership</w:t>
      </w:r>
      <w:r>
        <w:rPr>
          <w:rFonts w:ascii="Arial" w:cs="Arial" w:eastAsia="Arial" w:hAnsi="Arial"/>
          <w:sz w:val="18"/>
          <w:szCs w:val="18"/>
          <w:b w:val="1"/>
          <w:bCs w:val="1"/>
          <w:color w:val="00A0DD"/>
        </w:rPr>
        <w:t xml:space="preserve"> Experiences </w:t>
      </w:r>
      <w:r>
        <w:rPr>
          <w:rFonts w:ascii="Arial" w:cs="Arial" w:eastAsia="Arial" w:hAnsi="Arial"/>
          <w:sz w:val="16"/>
          <w:szCs w:val="16"/>
          <w:color w:val="000000"/>
        </w:rPr>
        <w:t>with the NBA and WNBA, starting in October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-274955</wp:posOffset>
            </wp:positionV>
            <wp:extent cx="265430" cy="231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000000"/>
                        </a:clrFrom>
                        <a:clrTo>
                          <a:srgbClr val="000000">
                            <a:alpha val="0"/>
                          </a:srgbClr>
                        </a:clrTo>
                      </a:clrChange>
                      <a:extLst>
                        <a:ext uri="{28A0092B-C50C-407E-A947-70E740481C1C}"/>
                      </a:extLst>
                    </a:blip>
                    <a:srcRect/>
                    <a:stretch>
                      <a:fillRect/>
                    </a:stretch>
                  </pic:blipFill>
                  <pic:spPr bwMode="auto">
                    <a:xfrm>
                      <a:off x="0" y="0"/>
                      <a:ext cx="265430" cy="23177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-274955</wp:posOffset>
            </wp:positionV>
            <wp:extent cx="265430" cy="231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65430" cy="231775"/>
                    </a:xfrm>
                    <a:prstGeom prst="rect">
                      <a:avLst/>
                    </a:prstGeom>
                    <a:noFill/>
                  </pic:spPr>
                </pic:pic>
              </a:graphicData>
            </a:graphic>
          </wp:anchor>
        </w:drawing>
      </w:r>
    </w:p>
    <w:p>
      <w:pPr>
        <w:spacing w:after="0" w:line="18" w:lineRule="exact"/>
        <w:rPr>
          <w:sz w:val="20"/>
          <w:szCs w:val="20"/>
          <w:color w:val="auto"/>
        </w:rPr>
      </w:pPr>
    </w:p>
    <w:p>
      <w:pPr>
        <w:ind w:left="2440" w:right="380"/>
        <w:spacing w:after="0" w:line="266" w:lineRule="auto"/>
        <w:rPr>
          <w:sz w:val="20"/>
          <w:szCs w:val="20"/>
          <w:color w:val="auto"/>
        </w:rPr>
      </w:pPr>
      <w:r>
        <w:rPr>
          <w:rFonts w:ascii="Arial" w:cs="Arial" w:eastAsia="Arial" w:hAnsi="Arial"/>
          <w:sz w:val="16"/>
          <w:szCs w:val="16"/>
          <w:b w:val="1"/>
          <w:bCs w:val="1"/>
          <w:color w:val="00A0DD"/>
        </w:rPr>
        <w:t>NBCUniversal’s studios Adjusted EBITDA increased 11% to $1.4 billion</w:t>
      </w:r>
      <w:r>
        <w:rPr>
          <w:rFonts w:ascii="Arial" w:cs="Arial" w:eastAsia="Arial" w:hAnsi="Arial"/>
          <w:sz w:val="16"/>
          <w:szCs w:val="16"/>
          <w:color w:val="000000"/>
        </w:rPr>
        <w:t>; ranked #2 studio in worldwide box office</w:t>
      </w:r>
      <w:r>
        <w:rPr>
          <w:rFonts w:ascii="Arial" w:cs="Arial" w:eastAsia="Arial" w:hAnsi="Arial"/>
          <w:sz w:val="16"/>
          <w:szCs w:val="16"/>
          <w:b w:val="1"/>
          <w:bCs w:val="1"/>
          <w:color w:val="00A0DD"/>
        </w:rPr>
        <w:t xml:space="preserve"> </w:t>
      </w:r>
      <w:r>
        <w:rPr>
          <w:rFonts w:ascii="Arial" w:cs="Arial" w:eastAsia="Arial" w:hAnsi="Arial"/>
          <w:sz w:val="16"/>
          <w:szCs w:val="16"/>
          <w:color w:val="000000"/>
        </w:rPr>
        <w:t>in 2024, driven by the successful theatrical performance of Kung Fu Panda 4, Despicable Me 4, The Wild Robot and Wicked</w:t>
      </w:r>
    </w:p>
    <w:p>
      <w:pPr>
        <w:spacing w:after="0" w:line="63" w:lineRule="exact"/>
        <w:rPr>
          <w:sz w:val="20"/>
          <w:szCs w:val="20"/>
          <w:color w:val="auto"/>
        </w:rPr>
      </w:pPr>
    </w:p>
    <w:p>
      <w:pPr>
        <w:ind w:left="2440" w:right="320"/>
        <w:spacing w:after="0" w:line="286" w:lineRule="auto"/>
        <w:rPr>
          <w:sz w:val="20"/>
          <w:szCs w:val="20"/>
          <w:color w:val="auto"/>
        </w:rPr>
      </w:pPr>
      <w:r>
        <w:rPr>
          <w:rFonts w:ascii="Arial" w:cs="Arial" w:eastAsia="Arial" w:hAnsi="Arial"/>
          <w:sz w:val="16"/>
          <w:szCs w:val="16"/>
          <w:b w:val="1"/>
          <w:bCs w:val="1"/>
          <w:color w:val="00A0DD"/>
        </w:rPr>
        <w:t xml:space="preserve">Announced our intention to spin off </w:t>
      </w:r>
      <w:r>
        <w:rPr>
          <w:rFonts w:ascii="Arial" w:cs="Arial" w:eastAsia="Arial" w:hAnsi="Arial"/>
          <w:sz w:val="16"/>
          <w:szCs w:val="16"/>
          <w:color w:val="000000"/>
        </w:rPr>
        <w:t>a strong portfolio of cable television networks and complementary digital assets</w:t>
      </w:r>
      <w:r>
        <w:rPr>
          <w:rFonts w:ascii="Arial" w:cs="Arial" w:eastAsia="Arial" w:hAnsi="Arial"/>
          <w:sz w:val="16"/>
          <w:szCs w:val="16"/>
          <w:b w:val="1"/>
          <w:bCs w:val="1"/>
          <w:color w:val="00A0DD"/>
        </w:rPr>
        <w:t xml:space="preserve"> </w:t>
      </w:r>
      <w:r>
        <w:rPr>
          <w:rFonts w:ascii="Arial" w:cs="Arial" w:eastAsia="Arial" w:hAnsi="Arial"/>
          <w:sz w:val="16"/>
          <w:szCs w:val="16"/>
          <w:color w:val="000000"/>
        </w:rPr>
        <w:t>in a tax-free transaction, subject to customary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39370</wp:posOffset>
            </wp:positionV>
            <wp:extent cx="6943725" cy="76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3725" cy="76835"/>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 ABOUT FORWARD-LOOKING STATEMENTS</w:t>
      </w:r>
    </w:p>
    <w:p>
      <w:pPr>
        <w:spacing w:after="0" w:line="222"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This proxy statement includes statements that may constitute “forward-looking statements” within the meaning of the Private Securities Litigation Reform Act of 1995, Section 27A of the Securities Act of 1933 and Section 21E of the Securities Exchange Act of 1934 (the “Exchange Act”).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and statements regarding our corporate responsibility initiatives, progress, plans and goals, which are based on current expectations and assumptions that are subject to risks and uncertainties that may cause actual results to differ materially. These forward-looking statements generally are identified by words such as “believe,” “project,” “expect,” “anticipate,” “estimate,” “intend,” “potential,” “strategy,” “future,” “opportunity,” “commit,” “plan,” “goal,” “may,” “should,” “could,” “will,” “would,” “will be,” “will continue,” “will likely result” and similar expressions. Factors that could cause our actual results to differ materially from these forward-looking statements include changes in and/or risks associated with: the competitive environment; consumer behavior; the advertising market; consumer acceptance of our content; programming costs;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labor disputes; laws and regulations; adverse decisions in litigation or governmental investigations; and other risks described from time to time in reports and other documents we file with the Securities and Exchange Commission (“SEC”). There are also certain risks and challenges we may face in meeting our environmental goals that are beyond our control, including political, economic, regulatory and geopolitical conditions, supply chain and labor issues, supplier emissions reductions, the evolution of carbon offset markets and innovations in technology and infrastructure.</w:t>
      </w:r>
    </w:p>
    <w:p>
      <w:pPr>
        <w:spacing w:after="0" w:line="191" w:lineRule="exact"/>
        <w:rPr>
          <w:sz w:val="20"/>
          <w:szCs w:val="20"/>
          <w:color w:val="auto"/>
        </w:rPr>
      </w:pPr>
    </w:p>
    <w:p>
      <w:pPr>
        <w:ind w:right="20"/>
        <w:spacing w:after="0" w:line="248" w:lineRule="auto"/>
        <w:rPr>
          <w:sz w:val="20"/>
          <w:szCs w:val="20"/>
          <w:color w:val="auto"/>
        </w:rPr>
      </w:pPr>
      <w:r>
        <w:rPr>
          <w:rFonts w:ascii="Arial" w:cs="Arial" w:eastAsia="Arial" w:hAnsi="Arial"/>
          <w:sz w:val="14"/>
          <w:szCs w:val="14"/>
          <w:color w:val="auto"/>
        </w:rPr>
        <w:t>In evaluating these statements, you should consider various factors, including the risks and uncertainties we describe in the “Risk Factors” sections of our most recent Annual Report on Form 10-K, our most recent Quarterly Report on Form 10-Q and other reports filed with the SEC. The inclusion of forward-looking and other statements in this proxy statement or on our website that may address our corporate responsibility initiatives, progress, plans and goals is not an indication that they are necessarily material to investors or required to be disclosed in our filings with the SEC. Such statements may contain estimates, make assumptions based on developing standards that may change and provide aspirational goals and commitments that are not intended to be promises or guarantees. Readers are cautioned not to place undue reliance on forward-looking statements or such other statements, which speak only as of the date they are made. We undertake no obligation to update or revise publicly any forward-looking or such other statements, whether because of new information, future events or otherwise.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020" w:type="dxa"/>
            <w:vAlign w:val="bottom"/>
          </w:tcPr>
          <w:p>
            <w:pPr>
              <w:ind w:left="960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1</w:t>
            </w:r>
          </w:p>
        </w:tc>
      </w:tr>
      <w:tr>
        <w:trPr>
          <w:trHeight w:val="231"/>
        </w:trPr>
        <w:tc>
          <w:tcPr>
            <w:tcW w:w="11020" w:type="dxa"/>
            <w:vAlign w:val="bottom"/>
            <w:tcBorders>
              <w:bottom w:val="single" w:sz="8" w:color="A1A1A1"/>
            </w:tcBorders>
          </w:tcPr>
          <w:p>
            <w:pPr>
              <w:spacing w:after="0"/>
              <w:rPr>
                <w:sz w:val="20"/>
                <w:szCs w:val="20"/>
                <w:color w:val="auto"/>
              </w:rPr>
            </w:pPr>
          </w:p>
        </w:tc>
        <w:tc>
          <w:tcPr>
            <w:tcW w:w="22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2" w:lineRule="exact"/>
        <w:rPr>
          <w:sz w:val="20"/>
          <w:szCs w:val="20"/>
          <w:color w:val="auto"/>
        </w:rPr>
      </w:pPr>
    </w:p>
    <w:p>
      <w:pPr>
        <w:ind w:right="2280"/>
        <w:spacing w:after="0" w:line="290" w:lineRule="auto"/>
        <w:rPr>
          <w:sz w:val="20"/>
          <w:szCs w:val="20"/>
          <w:color w:val="auto"/>
        </w:rPr>
      </w:pPr>
      <w:r>
        <w:rPr>
          <w:rFonts w:ascii="Arial" w:cs="Arial" w:eastAsia="Arial" w:hAnsi="Arial"/>
          <w:sz w:val="36"/>
          <w:szCs w:val="36"/>
          <w:b w:val="1"/>
          <w:bCs w:val="1"/>
          <w:color w:val="auto"/>
        </w:rPr>
        <w:t>Message from Our Chairman and CEO and Our Lead Independent Director</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Dear Shareholders,</w:t>
      </w:r>
    </w:p>
    <w:p>
      <w:pPr>
        <w:spacing w:after="0" w:line="210"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We are proud to report that 2024 was once again a record year for Comcast. We delivered some of the best financial results in our history, returned $13.5 billion of capital to shareholders and raised our dividend for the 17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consecutive time.</w:t>
      </w:r>
    </w:p>
    <w:p>
      <w:pPr>
        <w:spacing w:after="0" w:line="23"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Despite rapid change and intense competition, our continued financial performance and strong balance sheet is a testament to the strength of our six growth businesses – residential broadband, wireless, business services, theme parks, streaming and studios – which together make up close to 60 percent of our total revenue.</w:t>
      </w:r>
    </w:p>
    <w:p>
      <w:pPr>
        <w:spacing w:after="0" w:line="17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Our connectivity businesses grew revenue, reflecting growth in domestic broadband, domestic wireless, international connectivity and business services. We expanded our network to reach 64 million homes and businesses and ended the year with nearly 32 million broadband customers and nearly eight million wireless lines in the United States. With our Project Genesis, we continued to drive our broadband network upgrade, which is approximately 50% complete, that will ultimately deliver multi-gigabit symmetrical speeds across our footprint. We will also seek to leverage our WiFi network – the largest and fastest in North America – to accelerate growth in wireless and further differentiate our converged offerings, which combine our broadband and mobile capabilities. Finally, business services generated nearly $10 billion in revenue in 2024 with very healthy margins.</w:t>
      </w:r>
    </w:p>
    <w:p>
      <w:pPr>
        <w:spacing w:after="0" w:line="18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 xml:space="preserve">Meanwhile, our entertainment businesses also had a solid year – from the Paris Olympic Games as the largest media event of all time to our 11-year partnership with the NBA and WNBA, bringing basketball back to NBC and onto Peacock. At the same time, our studios demonstrated their strength in both film and television, with box office success for </w:t>
      </w:r>
      <w:r>
        <w:rPr>
          <w:rFonts w:ascii="Arial" w:cs="Arial" w:eastAsia="Arial" w:hAnsi="Arial"/>
          <w:sz w:val="17"/>
          <w:szCs w:val="17"/>
          <w:i w:val="1"/>
          <w:iCs w:val="1"/>
          <w:color w:val="auto"/>
        </w:rPr>
        <w:t>Wicked</w:t>
      </w:r>
      <w:r>
        <w:rPr>
          <w:rFonts w:ascii="Arial" w:cs="Arial" w:eastAsia="Arial" w:hAnsi="Arial"/>
          <w:sz w:val="17"/>
          <w:szCs w:val="17"/>
          <w:color w:val="auto"/>
        </w:rPr>
        <w:t xml:space="preserve"> and </w:t>
      </w:r>
      <w:r>
        <w:rPr>
          <w:rFonts w:ascii="Arial" w:cs="Arial" w:eastAsia="Arial" w:hAnsi="Arial"/>
          <w:sz w:val="17"/>
          <w:szCs w:val="17"/>
          <w:i w:val="1"/>
          <w:iCs w:val="1"/>
          <w:color w:val="auto"/>
        </w:rPr>
        <w:t>Despicable Me 4,</w:t>
      </w:r>
      <w:r>
        <w:rPr>
          <w:rFonts w:ascii="Arial" w:cs="Arial" w:eastAsia="Arial" w:hAnsi="Arial"/>
          <w:sz w:val="17"/>
          <w:szCs w:val="17"/>
          <w:color w:val="auto"/>
        </w:rPr>
        <w:t xml:space="preserve"> and our TV studio ended 2024 with more top 10 series than any other studio. Our theme park business continues to be a standout, with a pipeline of exciting new attractions and parks coming soon, including the much-anticipated opening of Epic Universe this year.</w:t>
      </w:r>
    </w:p>
    <w:p>
      <w:pPr>
        <w:spacing w:after="0" w:line="180"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have a wonderful company that was built on a founding principle to lean into change and constantly focus on growth. Across our businesses, we have announced strategic and organizational changes in seeking to better position us as we compete in an evolving market and position ourselves for the future.</w:t>
      </w:r>
    </w:p>
    <w:p>
      <w:pPr>
        <w:spacing w:after="0" w:line="175"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As always, we remain grateful to the stewardship of our Board, who provide invaluable insight and leadership, as well as our passionate employees around the world who propel our company forward every day. We appreciate your continued trust and support.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4612005" cy="1209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12005" cy="12090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00A0DD"/>
        </w:rPr>
        <w:t>Brian L. Roberts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Chairman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00A0DD"/>
        </w:rPr>
        <w:t>Edward D. Breen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Lead Independent Director</w:t>
      </w:r>
    </w:p>
    <w:p>
      <w:pPr>
        <w:spacing w:after="0" w:line="198" w:lineRule="exact"/>
        <w:rPr>
          <w:sz w:val="20"/>
          <w:szCs w:val="20"/>
          <w:color w:val="auto"/>
        </w:rPr>
      </w:pPr>
    </w:p>
    <w:p>
      <w:pPr>
        <w:sectPr>
          <w:pgSz w:w="11900" w:h="16838" w:orient="portrait"/>
          <w:cols w:equalWidth="0" w:num="2">
            <w:col w:w="5020" w:space="720"/>
            <w:col w:w="5500"/>
          </w:cols>
          <w:pgMar w:left="320" w:top="122" w:right="339" w:bottom="1440" w:gutter="0" w:footer="0" w:header="0"/>
          <w:type w:val="continuous"/>
        </w:sectPr>
      </w:pPr>
    </w:p>
    <w:p>
      <w:pPr>
        <w:ind w:left="320" w:hanging="312"/>
        <w:spacing w:after="0"/>
        <w:tabs>
          <w:tab w:leader="none" w:pos="320"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2025 </w:t>
      </w:r>
      <w:r>
        <w:rPr>
          <w:rFonts w:ascii="Arial" w:cs="Arial" w:eastAsia="Arial" w:hAnsi="Arial"/>
          <w:sz w:val="12"/>
          <w:szCs w:val="12"/>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2" w:lineRule="exact"/>
        <w:rPr>
          <w:sz w:val="20"/>
          <w:szCs w:val="20"/>
          <w:color w:val="auto"/>
        </w:rPr>
      </w:pPr>
    </w:p>
    <w:p>
      <w:pPr>
        <w:ind w:right="2740"/>
        <w:spacing w:after="0" w:line="290" w:lineRule="auto"/>
        <w:rPr>
          <w:sz w:val="20"/>
          <w:szCs w:val="20"/>
          <w:color w:val="auto"/>
        </w:rPr>
      </w:pPr>
      <w:r>
        <w:rPr>
          <w:rFonts w:ascii="Arial" w:cs="Arial" w:eastAsia="Arial" w:hAnsi="Arial"/>
          <w:sz w:val="36"/>
          <w:szCs w:val="36"/>
          <w:b w:val="1"/>
          <w:bCs w:val="1"/>
          <w:color w:val="auto"/>
        </w:rPr>
        <w:t>Notice of 2025 Annual Meeting of Shareholders of Comcast Corporation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321"/>
        </w:trPr>
        <w:tc>
          <w:tcPr>
            <w:tcW w:w="2040" w:type="dxa"/>
            <w:vAlign w:val="bottom"/>
            <w:shd w:val="clear" w:color="auto" w:fill="D8EDF7"/>
          </w:tcPr>
          <w:p>
            <w:pPr>
              <w:ind w:left="120"/>
              <w:spacing w:after="0"/>
              <w:rPr>
                <w:sz w:val="20"/>
                <w:szCs w:val="20"/>
                <w:color w:val="auto"/>
              </w:rPr>
            </w:pPr>
            <w:r>
              <w:rPr>
                <w:rFonts w:ascii="Arial" w:cs="Arial" w:eastAsia="Arial" w:hAnsi="Arial"/>
                <w:sz w:val="17"/>
                <w:szCs w:val="17"/>
                <w:b w:val="1"/>
                <w:bCs w:val="1"/>
                <w:color w:val="00A0DD"/>
              </w:rPr>
              <w:t>Date</w:t>
            </w:r>
          </w:p>
        </w:tc>
        <w:tc>
          <w:tcPr>
            <w:tcW w:w="3140" w:type="dxa"/>
            <w:vAlign w:val="bottom"/>
            <w:shd w:val="clear" w:color="auto" w:fill="D8EDF7"/>
          </w:tcPr>
          <w:p>
            <w:pPr>
              <w:ind w:left="240"/>
              <w:spacing w:after="0"/>
              <w:rPr>
                <w:sz w:val="20"/>
                <w:szCs w:val="20"/>
                <w:color w:val="auto"/>
              </w:rPr>
            </w:pPr>
            <w:r>
              <w:rPr>
                <w:rFonts w:ascii="Arial" w:cs="Arial" w:eastAsia="Arial" w:hAnsi="Arial"/>
                <w:sz w:val="17"/>
                <w:szCs w:val="17"/>
                <w:b w:val="1"/>
                <w:bCs w:val="1"/>
                <w:color w:val="00A0DD"/>
              </w:rPr>
              <w:t>Time</w:t>
            </w:r>
          </w:p>
        </w:tc>
        <w:tc>
          <w:tcPr>
            <w:tcW w:w="3420" w:type="dxa"/>
            <w:vAlign w:val="bottom"/>
            <w:shd w:val="clear" w:color="auto" w:fill="D8EDF7"/>
          </w:tcPr>
          <w:p>
            <w:pPr>
              <w:ind w:left="280"/>
              <w:spacing w:after="0"/>
              <w:rPr>
                <w:sz w:val="20"/>
                <w:szCs w:val="20"/>
                <w:color w:val="auto"/>
              </w:rPr>
            </w:pPr>
            <w:r>
              <w:rPr>
                <w:rFonts w:ascii="Arial" w:cs="Arial" w:eastAsia="Arial" w:hAnsi="Arial"/>
                <w:sz w:val="17"/>
                <w:szCs w:val="17"/>
                <w:b w:val="1"/>
                <w:bCs w:val="1"/>
                <w:color w:val="00A0DD"/>
              </w:rPr>
              <w:t>Place</w:t>
            </w:r>
          </w:p>
        </w:tc>
        <w:tc>
          <w:tcPr>
            <w:tcW w:w="2640" w:type="dxa"/>
            <w:vAlign w:val="bottom"/>
            <w:shd w:val="clear" w:color="auto" w:fill="D8EDF7"/>
          </w:tcPr>
          <w:p>
            <w:pPr>
              <w:ind w:left="120"/>
              <w:spacing w:after="0"/>
              <w:rPr>
                <w:sz w:val="20"/>
                <w:szCs w:val="20"/>
                <w:color w:val="auto"/>
              </w:rPr>
            </w:pPr>
            <w:r>
              <w:rPr>
                <w:rFonts w:ascii="Arial" w:cs="Arial" w:eastAsia="Arial" w:hAnsi="Arial"/>
                <w:sz w:val="17"/>
                <w:szCs w:val="17"/>
                <w:b w:val="1"/>
                <w:bCs w:val="1"/>
                <w:color w:val="00A0DD"/>
              </w:rPr>
              <w:t>Who Can Vote</w:t>
            </w:r>
          </w:p>
        </w:tc>
      </w:tr>
      <w:tr>
        <w:trPr>
          <w:trHeight w:val="251"/>
        </w:trPr>
        <w:tc>
          <w:tcPr>
            <w:tcW w:w="2040" w:type="dxa"/>
            <w:vAlign w:val="bottom"/>
            <w:shd w:val="clear" w:color="auto" w:fill="D8EDF7"/>
          </w:tcPr>
          <w:p>
            <w:pPr>
              <w:ind w:left="120"/>
              <w:spacing w:after="0"/>
              <w:rPr>
                <w:sz w:val="20"/>
                <w:szCs w:val="20"/>
                <w:color w:val="auto"/>
              </w:rPr>
            </w:pPr>
            <w:r>
              <w:rPr>
                <w:rFonts w:ascii="Arial" w:cs="Arial" w:eastAsia="Arial" w:hAnsi="Arial"/>
                <w:sz w:val="17"/>
                <w:szCs w:val="17"/>
                <w:color w:val="auto"/>
              </w:rPr>
              <w:t>June 18, 2025</w:t>
            </w:r>
          </w:p>
        </w:tc>
        <w:tc>
          <w:tcPr>
            <w:tcW w:w="3140" w:type="dxa"/>
            <w:vAlign w:val="bottom"/>
            <w:shd w:val="clear" w:color="auto" w:fill="D8EDF7"/>
          </w:tcPr>
          <w:p>
            <w:pPr>
              <w:ind w:left="240"/>
              <w:spacing w:after="0"/>
              <w:rPr>
                <w:sz w:val="20"/>
                <w:szCs w:val="20"/>
                <w:color w:val="auto"/>
              </w:rPr>
            </w:pPr>
            <w:r>
              <w:rPr>
                <w:rFonts w:ascii="Arial" w:cs="Arial" w:eastAsia="Arial" w:hAnsi="Arial"/>
                <w:sz w:val="17"/>
                <w:szCs w:val="17"/>
                <w:color w:val="auto"/>
              </w:rPr>
              <w:t>Online check-in opens: 8:45 a.m.</w:t>
            </w:r>
          </w:p>
        </w:tc>
        <w:tc>
          <w:tcPr>
            <w:tcW w:w="3420" w:type="dxa"/>
            <w:vAlign w:val="bottom"/>
            <w:shd w:val="clear" w:color="auto" w:fill="D8EDF7"/>
          </w:tcPr>
          <w:p>
            <w:pPr>
              <w:ind w:left="280"/>
              <w:spacing w:after="0"/>
              <w:rPr>
                <w:sz w:val="20"/>
                <w:szCs w:val="20"/>
                <w:color w:val="auto"/>
              </w:rPr>
            </w:pPr>
            <w:r>
              <w:rPr>
                <w:rFonts w:ascii="Arial" w:cs="Arial" w:eastAsia="Arial" w:hAnsi="Arial"/>
                <w:sz w:val="17"/>
                <w:szCs w:val="17"/>
                <w:color w:val="auto"/>
              </w:rPr>
              <w:t>Meeting live via the internet:</w:t>
            </w:r>
          </w:p>
        </w:tc>
        <w:tc>
          <w:tcPr>
            <w:tcW w:w="2640" w:type="dxa"/>
            <w:vAlign w:val="bottom"/>
            <w:shd w:val="clear" w:color="auto" w:fill="D8EDF7"/>
          </w:tcPr>
          <w:p>
            <w:pPr>
              <w:ind w:left="120"/>
              <w:spacing w:after="0"/>
              <w:rPr>
                <w:sz w:val="20"/>
                <w:szCs w:val="20"/>
                <w:color w:val="auto"/>
              </w:rPr>
            </w:pPr>
            <w:r>
              <w:rPr>
                <w:rFonts w:ascii="Arial" w:cs="Arial" w:eastAsia="Arial" w:hAnsi="Arial"/>
                <w:sz w:val="17"/>
                <w:szCs w:val="17"/>
                <w:color w:val="auto"/>
              </w:rPr>
              <w:t>Shareholders of record on April</w:t>
            </w:r>
          </w:p>
        </w:tc>
      </w:tr>
      <w:tr>
        <w:trPr>
          <w:trHeight w:val="225"/>
        </w:trPr>
        <w:tc>
          <w:tcPr>
            <w:tcW w:w="2040" w:type="dxa"/>
            <w:vAlign w:val="bottom"/>
            <w:shd w:val="clear" w:color="auto" w:fill="D8EDF7"/>
          </w:tcPr>
          <w:p>
            <w:pPr>
              <w:spacing w:after="0"/>
              <w:rPr>
                <w:sz w:val="19"/>
                <w:szCs w:val="19"/>
                <w:color w:val="auto"/>
              </w:rPr>
            </w:pPr>
          </w:p>
        </w:tc>
        <w:tc>
          <w:tcPr>
            <w:tcW w:w="3140" w:type="dxa"/>
            <w:vAlign w:val="bottom"/>
            <w:shd w:val="clear" w:color="auto" w:fill="D8EDF7"/>
          </w:tcPr>
          <w:p>
            <w:pPr>
              <w:ind w:left="240"/>
              <w:spacing w:after="0"/>
              <w:rPr>
                <w:sz w:val="20"/>
                <w:szCs w:val="20"/>
                <w:color w:val="auto"/>
              </w:rPr>
            </w:pPr>
            <w:r>
              <w:rPr>
                <w:rFonts w:ascii="Arial" w:cs="Arial" w:eastAsia="Arial" w:hAnsi="Arial"/>
                <w:sz w:val="17"/>
                <w:szCs w:val="17"/>
                <w:color w:val="auto"/>
              </w:rPr>
              <w:t>Eastern Time</w:t>
            </w:r>
          </w:p>
        </w:tc>
        <w:tc>
          <w:tcPr>
            <w:tcW w:w="3420" w:type="dxa"/>
            <w:vAlign w:val="bottom"/>
            <w:shd w:val="clear" w:color="auto" w:fill="D8EDF7"/>
          </w:tcPr>
          <w:p>
            <w:pPr>
              <w:ind w:left="280"/>
              <w:spacing w:after="0"/>
              <w:rPr>
                <w:sz w:val="20"/>
                <w:szCs w:val="20"/>
                <w:color w:val="auto"/>
              </w:rPr>
            </w:pPr>
            <w:r>
              <w:rPr>
                <w:rFonts w:ascii="Arial" w:cs="Arial" w:eastAsia="Arial" w:hAnsi="Arial"/>
                <w:sz w:val="17"/>
                <w:szCs w:val="17"/>
                <w:color w:val="auto"/>
              </w:rPr>
              <w:t>comcast.onlineshareholdermeeting.com</w:t>
            </w:r>
          </w:p>
        </w:tc>
        <w:tc>
          <w:tcPr>
            <w:tcW w:w="2640" w:type="dxa"/>
            <w:vAlign w:val="bottom"/>
            <w:shd w:val="clear" w:color="auto" w:fill="D8EDF7"/>
          </w:tcPr>
          <w:p>
            <w:pPr>
              <w:ind w:left="120"/>
              <w:spacing w:after="0"/>
              <w:rPr>
                <w:sz w:val="20"/>
                <w:szCs w:val="20"/>
                <w:color w:val="auto"/>
              </w:rPr>
            </w:pPr>
            <w:r>
              <w:rPr>
                <w:rFonts w:ascii="Arial" w:cs="Arial" w:eastAsia="Arial" w:hAnsi="Arial"/>
                <w:sz w:val="17"/>
                <w:szCs w:val="17"/>
                <w:color w:val="auto"/>
              </w:rPr>
              <w:t>8, 2025</w:t>
            </w:r>
          </w:p>
        </w:tc>
      </w:tr>
      <w:tr>
        <w:trPr>
          <w:trHeight w:val="261"/>
        </w:trPr>
        <w:tc>
          <w:tcPr>
            <w:tcW w:w="2040" w:type="dxa"/>
            <w:vAlign w:val="bottom"/>
            <w:shd w:val="clear" w:color="auto" w:fill="D8EDF7"/>
          </w:tcPr>
          <w:p>
            <w:pPr>
              <w:spacing w:after="0"/>
              <w:rPr>
                <w:sz w:val="22"/>
                <w:szCs w:val="22"/>
                <w:color w:val="auto"/>
              </w:rPr>
            </w:pPr>
          </w:p>
        </w:tc>
        <w:tc>
          <w:tcPr>
            <w:tcW w:w="3140" w:type="dxa"/>
            <w:vAlign w:val="bottom"/>
            <w:shd w:val="clear" w:color="auto" w:fill="D8EDF7"/>
          </w:tcPr>
          <w:p>
            <w:pPr>
              <w:ind w:left="240"/>
              <w:spacing w:after="0"/>
              <w:rPr>
                <w:sz w:val="20"/>
                <w:szCs w:val="20"/>
                <w:color w:val="auto"/>
              </w:rPr>
            </w:pPr>
            <w:r>
              <w:rPr>
                <w:rFonts w:ascii="Arial" w:cs="Arial" w:eastAsia="Arial" w:hAnsi="Arial"/>
                <w:sz w:val="17"/>
                <w:szCs w:val="17"/>
                <w:color w:val="auto"/>
              </w:rPr>
              <w:t>Meeting begins: 9:00 a.m. Eastern</w:t>
            </w:r>
          </w:p>
        </w:tc>
        <w:tc>
          <w:tcPr>
            <w:tcW w:w="3420" w:type="dxa"/>
            <w:vAlign w:val="bottom"/>
            <w:shd w:val="clear" w:color="auto" w:fill="D8EDF7"/>
          </w:tcPr>
          <w:p>
            <w:pPr>
              <w:spacing w:after="0"/>
              <w:rPr>
                <w:sz w:val="22"/>
                <w:szCs w:val="22"/>
                <w:color w:val="auto"/>
              </w:rPr>
            </w:pPr>
          </w:p>
        </w:tc>
        <w:tc>
          <w:tcPr>
            <w:tcW w:w="2640" w:type="dxa"/>
            <w:vAlign w:val="bottom"/>
            <w:shd w:val="clear" w:color="auto" w:fill="D8EDF7"/>
          </w:tcPr>
          <w:p>
            <w:pPr>
              <w:spacing w:after="0"/>
              <w:rPr>
                <w:sz w:val="22"/>
                <w:szCs w:val="22"/>
                <w:color w:val="auto"/>
              </w:rPr>
            </w:pPr>
          </w:p>
        </w:tc>
      </w:tr>
      <w:tr>
        <w:trPr>
          <w:trHeight w:val="225"/>
        </w:trPr>
        <w:tc>
          <w:tcPr>
            <w:tcW w:w="2040" w:type="dxa"/>
            <w:vAlign w:val="bottom"/>
            <w:shd w:val="clear" w:color="auto" w:fill="D8EDF7"/>
          </w:tcPr>
          <w:p>
            <w:pPr>
              <w:spacing w:after="0"/>
              <w:rPr>
                <w:sz w:val="19"/>
                <w:szCs w:val="19"/>
                <w:color w:val="auto"/>
              </w:rPr>
            </w:pPr>
          </w:p>
        </w:tc>
        <w:tc>
          <w:tcPr>
            <w:tcW w:w="3140" w:type="dxa"/>
            <w:vAlign w:val="bottom"/>
            <w:shd w:val="clear" w:color="auto" w:fill="D8EDF7"/>
          </w:tcPr>
          <w:p>
            <w:pPr>
              <w:ind w:left="240"/>
              <w:spacing w:after="0"/>
              <w:rPr>
                <w:sz w:val="20"/>
                <w:szCs w:val="20"/>
                <w:color w:val="auto"/>
              </w:rPr>
            </w:pPr>
            <w:r>
              <w:rPr>
                <w:rFonts w:ascii="Arial" w:cs="Arial" w:eastAsia="Arial" w:hAnsi="Arial"/>
                <w:sz w:val="17"/>
                <w:szCs w:val="17"/>
                <w:color w:val="auto"/>
              </w:rPr>
              <w:t>Time</w:t>
            </w:r>
          </w:p>
        </w:tc>
        <w:tc>
          <w:tcPr>
            <w:tcW w:w="3420" w:type="dxa"/>
            <w:vAlign w:val="bottom"/>
            <w:shd w:val="clear" w:color="auto" w:fill="D8EDF7"/>
          </w:tcPr>
          <w:p>
            <w:pPr>
              <w:spacing w:after="0"/>
              <w:rPr>
                <w:sz w:val="19"/>
                <w:szCs w:val="19"/>
                <w:color w:val="auto"/>
              </w:rPr>
            </w:pPr>
          </w:p>
        </w:tc>
        <w:tc>
          <w:tcPr>
            <w:tcW w:w="2640" w:type="dxa"/>
            <w:vAlign w:val="bottom"/>
            <w:shd w:val="clear" w:color="auto" w:fill="D8EDF7"/>
          </w:tcPr>
          <w:p>
            <w:pPr>
              <w:spacing w:after="0"/>
              <w:rPr>
                <w:sz w:val="19"/>
                <w:szCs w:val="19"/>
                <w:color w:val="auto"/>
              </w:rPr>
            </w:pPr>
          </w:p>
        </w:tc>
      </w:tr>
      <w:tr>
        <w:trPr>
          <w:trHeight w:val="94"/>
        </w:trPr>
        <w:tc>
          <w:tcPr>
            <w:tcW w:w="2040" w:type="dxa"/>
            <w:vAlign w:val="bottom"/>
            <w:shd w:val="clear" w:color="auto" w:fill="D8EDF7"/>
          </w:tcPr>
          <w:p>
            <w:pPr>
              <w:spacing w:after="0"/>
              <w:rPr>
                <w:sz w:val="8"/>
                <w:szCs w:val="8"/>
                <w:color w:val="auto"/>
              </w:rPr>
            </w:pPr>
          </w:p>
        </w:tc>
        <w:tc>
          <w:tcPr>
            <w:tcW w:w="3140" w:type="dxa"/>
            <w:vAlign w:val="bottom"/>
            <w:shd w:val="clear" w:color="auto" w:fill="D8EDF7"/>
          </w:tcPr>
          <w:p>
            <w:pPr>
              <w:spacing w:after="0"/>
              <w:rPr>
                <w:sz w:val="8"/>
                <w:szCs w:val="8"/>
                <w:color w:val="auto"/>
              </w:rPr>
            </w:pPr>
          </w:p>
        </w:tc>
        <w:tc>
          <w:tcPr>
            <w:tcW w:w="3420" w:type="dxa"/>
            <w:vAlign w:val="bottom"/>
            <w:shd w:val="clear" w:color="auto" w:fill="D8EDF7"/>
          </w:tcPr>
          <w:p>
            <w:pPr>
              <w:spacing w:after="0"/>
              <w:rPr>
                <w:sz w:val="8"/>
                <w:szCs w:val="8"/>
                <w:color w:val="auto"/>
              </w:rPr>
            </w:pPr>
          </w:p>
        </w:tc>
        <w:tc>
          <w:tcPr>
            <w:tcW w:w="2640" w:type="dxa"/>
            <w:vAlign w:val="bottom"/>
            <w:shd w:val="clear" w:color="auto" w:fill="D8EDF7"/>
          </w:tcPr>
          <w:p>
            <w:pPr>
              <w:spacing w:after="0"/>
              <w:rPr>
                <w:sz w:val="8"/>
                <w:szCs w:val="8"/>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00" w:type="dxa"/>
            <w:vAlign w:val="bottom"/>
          </w:tcPr>
          <w:p>
            <w:pPr>
              <w:ind w:left="80"/>
              <w:spacing w:after="0"/>
              <w:rPr>
                <w:sz w:val="20"/>
                <w:szCs w:val="20"/>
                <w:color w:val="auto"/>
              </w:rPr>
            </w:pPr>
            <w:r>
              <w:rPr>
                <w:rFonts w:ascii="Arial" w:cs="Arial" w:eastAsia="Arial" w:hAnsi="Arial"/>
                <w:sz w:val="17"/>
                <w:szCs w:val="17"/>
                <w:b w:val="1"/>
                <w:bCs w:val="1"/>
                <w:color w:val="auto"/>
              </w:rPr>
              <w:t>Voting Items</w:t>
            </w:r>
          </w:p>
        </w:tc>
        <w:tc>
          <w:tcPr>
            <w:tcW w:w="3640" w:type="dxa"/>
            <w:vAlign w:val="bottom"/>
          </w:tcPr>
          <w:p>
            <w:pPr>
              <w:jc w:val="center"/>
              <w:spacing w:after="0"/>
              <w:rPr>
                <w:sz w:val="20"/>
                <w:szCs w:val="20"/>
                <w:color w:val="auto"/>
              </w:rPr>
            </w:pPr>
            <w:r>
              <w:rPr>
                <w:rFonts w:ascii="Arial" w:cs="Arial" w:eastAsia="Arial" w:hAnsi="Arial"/>
                <w:sz w:val="17"/>
                <w:szCs w:val="17"/>
                <w:b w:val="1"/>
                <w:bCs w:val="1"/>
                <w:color w:val="auto"/>
                <w:w w:val="99"/>
              </w:rPr>
              <w:t>Board Voting Recommendation</w:t>
            </w:r>
          </w:p>
        </w:tc>
      </w:tr>
      <w:tr>
        <w:trPr>
          <w:trHeight w:val="243"/>
        </w:trPr>
        <w:tc>
          <w:tcPr>
            <w:tcW w:w="7600" w:type="dxa"/>
            <w:vAlign w:val="bottom"/>
          </w:tcPr>
          <w:p>
            <w:pPr>
              <w:ind w:left="80"/>
              <w:spacing w:after="0"/>
              <w:rPr>
                <w:sz w:val="20"/>
                <w:szCs w:val="20"/>
                <w:color w:val="auto"/>
              </w:rPr>
            </w:pPr>
            <w:r>
              <w:rPr>
                <w:rFonts w:ascii="Arial" w:cs="Arial" w:eastAsia="Arial" w:hAnsi="Arial"/>
                <w:sz w:val="17"/>
                <w:szCs w:val="17"/>
                <w:b w:val="1"/>
                <w:bCs w:val="1"/>
                <w:color w:val="00A0DD"/>
              </w:rPr>
              <w:t xml:space="preserve">PROPOSAL 1: </w:t>
            </w:r>
            <w:r>
              <w:rPr>
                <w:rFonts w:ascii="Arial" w:cs="Arial" w:eastAsia="Arial" w:hAnsi="Arial"/>
                <w:sz w:val="17"/>
                <w:szCs w:val="17"/>
                <w:color w:val="000000"/>
              </w:rPr>
              <w:t>Elect Directors</w:t>
            </w:r>
          </w:p>
        </w:tc>
        <w:tc>
          <w:tcPr>
            <w:tcW w:w="3640" w:type="dxa"/>
            <w:vAlign w:val="bottom"/>
          </w:tcPr>
          <w:p>
            <w:pPr>
              <w:jc w:val="center"/>
              <w:spacing w:after="0"/>
              <w:rPr>
                <w:sz w:val="20"/>
                <w:szCs w:val="20"/>
                <w:color w:val="auto"/>
              </w:rPr>
            </w:pPr>
            <w:r>
              <w:rPr>
                <w:rFonts w:ascii="Arial" w:cs="Arial" w:eastAsia="Arial" w:hAnsi="Arial"/>
                <w:sz w:val="17"/>
                <w:szCs w:val="17"/>
                <w:b w:val="1"/>
                <w:bCs w:val="1"/>
                <w:color w:val="00A0DD"/>
              </w:rPr>
              <w:t xml:space="preserve">FOR </w:t>
            </w:r>
            <w:r>
              <w:rPr>
                <w:rFonts w:ascii="Arial" w:cs="Arial" w:eastAsia="Arial" w:hAnsi="Arial"/>
                <w:sz w:val="17"/>
                <w:szCs w:val="17"/>
                <w:color w:val="000000"/>
              </w:rPr>
              <w:t>each nominee</w:t>
            </w:r>
          </w:p>
        </w:tc>
      </w:tr>
      <w:tr>
        <w:trPr>
          <w:trHeight w:val="58"/>
        </w:trPr>
        <w:tc>
          <w:tcPr>
            <w:tcW w:w="7600" w:type="dxa"/>
            <w:vAlign w:val="bottom"/>
            <w:tcBorders>
              <w:bottom w:val="single" w:sz="8" w:color="DCDDDE"/>
            </w:tcBorders>
          </w:tcPr>
          <w:p>
            <w:pPr>
              <w:spacing w:after="0"/>
              <w:rPr>
                <w:sz w:val="5"/>
                <w:szCs w:val="5"/>
                <w:color w:val="auto"/>
              </w:rPr>
            </w:pPr>
          </w:p>
        </w:tc>
        <w:tc>
          <w:tcPr>
            <w:tcW w:w="3640" w:type="dxa"/>
            <w:vAlign w:val="bottom"/>
            <w:tcBorders>
              <w:bottom w:val="single" w:sz="8" w:color="DCDDDE"/>
            </w:tcBorders>
          </w:tcPr>
          <w:p>
            <w:pPr>
              <w:spacing w:after="0"/>
              <w:rPr>
                <w:sz w:val="5"/>
                <w:szCs w:val="5"/>
                <w:color w:val="auto"/>
              </w:rPr>
            </w:pPr>
          </w:p>
        </w:tc>
      </w:tr>
      <w:tr>
        <w:trPr>
          <w:trHeight w:val="233"/>
        </w:trPr>
        <w:tc>
          <w:tcPr>
            <w:tcW w:w="7600" w:type="dxa"/>
            <w:vAlign w:val="bottom"/>
          </w:tcPr>
          <w:p>
            <w:pPr>
              <w:ind w:left="80"/>
              <w:spacing w:after="0"/>
              <w:rPr>
                <w:sz w:val="20"/>
                <w:szCs w:val="20"/>
                <w:color w:val="auto"/>
              </w:rPr>
            </w:pPr>
            <w:r>
              <w:rPr>
                <w:rFonts w:ascii="Arial" w:cs="Arial" w:eastAsia="Arial" w:hAnsi="Arial"/>
                <w:sz w:val="17"/>
                <w:szCs w:val="17"/>
                <w:b w:val="1"/>
                <w:bCs w:val="1"/>
                <w:color w:val="00A0DD"/>
              </w:rPr>
              <w:t xml:space="preserve">PROPOSAL 2: </w:t>
            </w:r>
            <w:r>
              <w:rPr>
                <w:rFonts w:ascii="Arial" w:cs="Arial" w:eastAsia="Arial" w:hAnsi="Arial"/>
                <w:sz w:val="17"/>
                <w:szCs w:val="17"/>
                <w:color w:val="000000"/>
              </w:rPr>
              <w:t>Ratify appointment of independent auditors</w:t>
            </w:r>
          </w:p>
        </w:tc>
        <w:tc>
          <w:tcPr>
            <w:tcW w:w="3640" w:type="dxa"/>
            <w:vAlign w:val="bottom"/>
          </w:tcPr>
          <w:p>
            <w:pPr>
              <w:jc w:val="center"/>
              <w:spacing w:after="0"/>
              <w:rPr>
                <w:sz w:val="20"/>
                <w:szCs w:val="20"/>
                <w:color w:val="auto"/>
              </w:rPr>
            </w:pPr>
            <w:r>
              <w:rPr>
                <w:rFonts w:ascii="Arial" w:cs="Arial" w:eastAsia="Arial" w:hAnsi="Arial"/>
                <w:sz w:val="17"/>
                <w:szCs w:val="17"/>
                <w:b w:val="1"/>
                <w:bCs w:val="1"/>
                <w:color w:val="00A0DD"/>
              </w:rPr>
              <w:t>FOR</w:t>
            </w:r>
          </w:p>
        </w:tc>
      </w:tr>
      <w:tr>
        <w:trPr>
          <w:trHeight w:val="57"/>
        </w:trPr>
        <w:tc>
          <w:tcPr>
            <w:tcW w:w="7600" w:type="dxa"/>
            <w:vAlign w:val="bottom"/>
            <w:tcBorders>
              <w:bottom w:val="single" w:sz="8" w:color="DCDDDE"/>
            </w:tcBorders>
          </w:tcPr>
          <w:p>
            <w:pPr>
              <w:spacing w:after="0"/>
              <w:rPr>
                <w:sz w:val="5"/>
                <w:szCs w:val="5"/>
                <w:color w:val="auto"/>
              </w:rPr>
            </w:pPr>
          </w:p>
        </w:tc>
        <w:tc>
          <w:tcPr>
            <w:tcW w:w="3640" w:type="dxa"/>
            <w:vAlign w:val="bottom"/>
            <w:tcBorders>
              <w:bottom w:val="single" w:sz="8" w:color="DCDDDE"/>
            </w:tcBorders>
          </w:tcPr>
          <w:p>
            <w:pPr>
              <w:spacing w:after="0"/>
              <w:rPr>
                <w:sz w:val="5"/>
                <w:szCs w:val="5"/>
                <w:color w:val="auto"/>
              </w:rPr>
            </w:pPr>
          </w:p>
        </w:tc>
      </w:tr>
      <w:tr>
        <w:trPr>
          <w:trHeight w:val="187"/>
        </w:trPr>
        <w:tc>
          <w:tcPr>
            <w:tcW w:w="7600" w:type="dxa"/>
            <w:vAlign w:val="bottom"/>
          </w:tcPr>
          <w:p>
            <w:pPr>
              <w:ind w:left="80"/>
              <w:spacing w:after="0" w:line="187" w:lineRule="exact"/>
              <w:rPr>
                <w:sz w:val="20"/>
                <w:szCs w:val="20"/>
                <w:color w:val="auto"/>
              </w:rPr>
            </w:pPr>
            <w:r>
              <w:rPr>
                <w:rFonts w:ascii="Arial" w:cs="Arial" w:eastAsia="Arial" w:hAnsi="Arial"/>
                <w:sz w:val="17"/>
                <w:szCs w:val="17"/>
                <w:b w:val="1"/>
                <w:bCs w:val="1"/>
                <w:color w:val="00A0DD"/>
              </w:rPr>
              <w:t xml:space="preserve">PROPOSAL 3: </w:t>
            </w:r>
            <w:r>
              <w:rPr>
                <w:rFonts w:ascii="Arial" w:cs="Arial" w:eastAsia="Arial" w:hAnsi="Arial"/>
                <w:sz w:val="17"/>
                <w:szCs w:val="17"/>
                <w:color w:val="000000"/>
              </w:rPr>
              <w:t>Increase share authorization under Comcast-NBCUniversal 2011 Employee</w:t>
            </w:r>
          </w:p>
        </w:tc>
        <w:tc>
          <w:tcPr>
            <w:tcW w:w="3640" w:type="dxa"/>
            <w:vAlign w:val="bottom"/>
          </w:tcPr>
          <w:p>
            <w:pPr>
              <w:jc w:val="center"/>
              <w:spacing w:after="0" w:line="187" w:lineRule="exact"/>
              <w:rPr>
                <w:sz w:val="20"/>
                <w:szCs w:val="20"/>
                <w:color w:val="auto"/>
              </w:rPr>
            </w:pPr>
            <w:r>
              <w:rPr>
                <w:rFonts w:ascii="Arial" w:cs="Arial" w:eastAsia="Arial" w:hAnsi="Arial"/>
                <w:sz w:val="17"/>
                <w:szCs w:val="17"/>
                <w:b w:val="1"/>
                <w:bCs w:val="1"/>
                <w:color w:val="00A0DD"/>
              </w:rPr>
              <w:t>FOR</w:t>
            </w:r>
          </w:p>
        </w:tc>
      </w:tr>
      <w:tr>
        <w:trPr>
          <w:trHeight w:val="232"/>
        </w:trPr>
        <w:tc>
          <w:tcPr>
            <w:tcW w:w="7600" w:type="dxa"/>
            <w:vAlign w:val="bottom"/>
            <w:tcBorders>
              <w:bottom w:val="single" w:sz="8" w:color="DCDDDE"/>
            </w:tcBorders>
          </w:tcPr>
          <w:p>
            <w:pPr>
              <w:ind w:left="80"/>
              <w:spacing w:after="0"/>
              <w:rPr>
                <w:sz w:val="20"/>
                <w:szCs w:val="20"/>
                <w:color w:val="auto"/>
              </w:rPr>
            </w:pPr>
            <w:r>
              <w:rPr>
                <w:rFonts w:ascii="Arial" w:cs="Arial" w:eastAsia="Arial" w:hAnsi="Arial"/>
                <w:sz w:val="17"/>
                <w:szCs w:val="17"/>
                <w:color w:val="auto"/>
              </w:rPr>
              <w:t>Stock Purchase Plan</w:t>
            </w:r>
          </w:p>
        </w:tc>
        <w:tc>
          <w:tcPr>
            <w:tcW w:w="3640" w:type="dxa"/>
            <w:vAlign w:val="bottom"/>
            <w:tcBorders>
              <w:bottom w:val="single" w:sz="8" w:color="DCDDDE"/>
            </w:tcBorders>
          </w:tcPr>
          <w:p>
            <w:pPr>
              <w:spacing w:after="0"/>
              <w:rPr>
                <w:sz w:val="20"/>
                <w:szCs w:val="20"/>
                <w:color w:val="auto"/>
              </w:rPr>
            </w:pPr>
          </w:p>
        </w:tc>
      </w:tr>
      <w:tr>
        <w:trPr>
          <w:trHeight w:val="240"/>
        </w:trPr>
        <w:tc>
          <w:tcPr>
            <w:tcW w:w="7600" w:type="dxa"/>
            <w:vAlign w:val="bottom"/>
          </w:tcPr>
          <w:p>
            <w:pPr>
              <w:ind w:left="80"/>
              <w:spacing w:after="0"/>
              <w:rPr>
                <w:sz w:val="20"/>
                <w:szCs w:val="20"/>
                <w:color w:val="auto"/>
              </w:rPr>
            </w:pPr>
            <w:r>
              <w:rPr>
                <w:rFonts w:ascii="Arial" w:cs="Arial" w:eastAsia="Arial" w:hAnsi="Arial"/>
                <w:sz w:val="17"/>
                <w:szCs w:val="17"/>
                <w:b w:val="1"/>
                <w:bCs w:val="1"/>
                <w:color w:val="00A0DD"/>
              </w:rPr>
              <w:t xml:space="preserve">PROPOSAL 4: </w:t>
            </w:r>
            <w:r>
              <w:rPr>
                <w:rFonts w:ascii="Arial" w:cs="Arial" w:eastAsia="Arial" w:hAnsi="Arial"/>
                <w:sz w:val="17"/>
                <w:szCs w:val="17"/>
                <w:color w:val="000000"/>
              </w:rPr>
              <w:t>Advisory vote to approve executive compensation</w:t>
            </w:r>
          </w:p>
        </w:tc>
        <w:tc>
          <w:tcPr>
            <w:tcW w:w="3640" w:type="dxa"/>
            <w:vAlign w:val="bottom"/>
          </w:tcPr>
          <w:p>
            <w:pPr>
              <w:jc w:val="center"/>
              <w:spacing w:after="0"/>
              <w:rPr>
                <w:sz w:val="20"/>
                <w:szCs w:val="20"/>
                <w:color w:val="auto"/>
              </w:rPr>
            </w:pPr>
            <w:r>
              <w:rPr>
                <w:rFonts w:ascii="Arial" w:cs="Arial" w:eastAsia="Arial" w:hAnsi="Arial"/>
                <w:sz w:val="17"/>
                <w:szCs w:val="17"/>
                <w:b w:val="1"/>
                <w:bCs w:val="1"/>
                <w:color w:val="00A0DD"/>
              </w:rPr>
              <w:t>FOR</w:t>
            </w:r>
          </w:p>
        </w:tc>
      </w:tr>
      <w:tr>
        <w:trPr>
          <w:trHeight w:val="58"/>
        </w:trPr>
        <w:tc>
          <w:tcPr>
            <w:tcW w:w="7600" w:type="dxa"/>
            <w:vAlign w:val="bottom"/>
            <w:tcBorders>
              <w:bottom w:val="single" w:sz="8" w:color="DCDDDE"/>
            </w:tcBorders>
          </w:tcPr>
          <w:p>
            <w:pPr>
              <w:spacing w:after="0"/>
              <w:rPr>
                <w:sz w:val="5"/>
                <w:szCs w:val="5"/>
                <w:color w:val="auto"/>
              </w:rPr>
            </w:pPr>
          </w:p>
        </w:tc>
        <w:tc>
          <w:tcPr>
            <w:tcW w:w="3640" w:type="dxa"/>
            <w:vAlign w:val="bottom"/>
            <w:tcBorders>
              <w:bottom w:val="single" w:sz="8" w:color="DCDDDE"/>
            </w:tcBorders>
          </w:tcPr>
          <w:p>
            <w:pPr>
              <w:spacing w:after="0"/>
              <w:rPr>
                <w:sz w:val="5"/>
                <w:szCs w:val="5"/>
                <w:color w:val="auto"/>
              </w:rPr>
            </w:pPr>
          </w:p>
        </w:tc>
      </w:tr>
      <w:tr>
        <w:trPr>
          <w:trHeight w:val="284"/>
        </w:trPr>
        <w:tc>
          <w:tcPr>
            <w:tcW w:w="7600" w:type="dxa"/>
            <w:vAlign w:val="bottom"/>
            <w:tcBorders>
              <w:bottom w:val="single" w:sz="8" w:color="DCDDDE"/>
            </w:tcBorders>
          </w:tcPr>
          <w:p>
            <w:pPr>
              <w:ind w:left="80"/>
              <w:spacing w:after="0"/>
              <w:rPr>
                <w:sz w:val="20"/>
                <w:szCs w:val="20"/>
                <w:color w:val="auto"/>
              </w:rPr>
            </w:pPr>
            <w:r>
              <w:rPr>
                <w:rFonts w:ascii="Arial" w:cs="Arial" w:eastAsia="Arial" w:hAnsi="Arial"/>
                <w:sz w:val="17"/>
                <w:szCs w:val="17"/>
                <w:b w:val="1"/>
                <w:bCs w:val="1"/>
                <w:color w:val="808080"/>
              </w:rPr>
              <w:t xml:space="preserve">PROPOSALS 5-6: </w:t>
            </w:r>
            <w:r>
              <w:rPr>
                <w:rFonts w:ascii="Arial" w:cs="Arial" w:eastAsia="Arial" w:hAnsi="Arial"/>
                <w:sz w:val="17"/>
                <w:szCs w:val="17"/>
                <w:color w:val="000000"/>
              </w:rPr>
              <w:t>Vote on shareholder proposals if properly presented</w:t>
            </w:r>
          </w:p>
        </w:tc>
        <w:tc>
          <w:tcPr>
            <w:tcW w:w="3640" w:type="dxa"/>
            <w:vAlign w:val="bottom"/>
            <w:tcBorders>
              <w:bottom w:val="single" w:sz="8" w:color="DCDDDE"/>
            </w:tcBorders>
          </w:tcPr>
          <w:p>
            <w:pPr>
              <w:jc w:val="center"/>
              <w:spacing w:after="0"/>
              <w:rPr>
                <w:sz w:val="20"/>
                <w:szCs w:val="20"/>
                <w:color w:val="auto"/>
              </w:rPr>
            </w:pPr>
            <w:r>
              <w:rPr>
                <w:rFonts w:ascii="Arial" w:cs="Arial" w:eastAsia="Arial" w:hAnsi="Arial"/>
                <w:sz w:val="17"/>
                <w:szCs w:val="17"/>
                <w:b w:val="1"/>
                <w:bCs w:val="1"/>
                <w:color w:val="6D6E71"/>
              </w:rPr>
              <w:t>AGAINST</w:t>
            </w:r>
          </w:p>
        </w:tc>
      </w:tr>
    </w:tbl>
    <w:p>
      <w:pPr>
        <w:spacing w:after="0" w:line="194"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Only shareholders of record on April 8, 2025 may vote and participate during the meeting. If the meeting is adjourned because a quorum is not present, then shareholders who attend the reconvened meeting will constitute a quorum for the purpose of acting upon the matters presented at that meeting pursuant to the rules described in “Information about Stock Ownership – Outstanding Shares and Voting Rights” in the attached proxy statement.</w:t>
      </w:r>
    </w:p>
    <w:p>
      <w:pPr>
        <w:spacing w:after="0" w:line="177"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 Notice of Internet Availability of Proxy Materials is being mailed, and the attached proxy statement is being made available, to our shareholders beginning on or about April 25, 2025.</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Your vote is important. Please vote your shares promptly. To vote your shares, you 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164465</wp:posOffset>
            </wp:positionV>
            <wp:extent cx="342900"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0" cy="31686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147320</wp:posOffset>
            </wp:positionV>
            <wp:extent cx="197485" cy="334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7485" cy="33401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155575</wp:posOffset>
            </wp:positionV>
            <wp:extent cx="342900"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0" cy="3257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color w:val="auto"/>
        </w:rPr>
        <w:t>Use the internet, as described in the Notice of Internet Availability of Proxy Materials and on your proxy card.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April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130302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020" cy="24003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00A0DD"/>
        </w:rPr>
        <w:t>Thomas J. Reid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Call the toll-free telephone number set forth in the attached proxy statement and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988695</wp:posOffset>
            </wp:positionV>
            <wp:extent cx="7132320"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color w:val="auto"/>
        </w:rPr>
        <w:t>Complete, sign and date your proxy card and return your proxy card by mail.</w:t>
      </w:r>
    </w:p>
    <w:p>
      <w:pPr>
        <w:spacing w:after="0" w:line="1710" w:lineRule="exact"/>
        <w:rPr>
          <w:sz w:val="20"/>
          <w:szCs w:val="20"/>
          <w:color w:val="auto"/>
        </w:rPr>
      </w:pPr>
    </w:p>
    <w:p>
      <w:pPr>
        <w:sectPr>
          <w:pgSz w:w="11900" w:h="16838" w:orient="portrait"/>
          <w:cols w:equalWidth="0" w:num="3">
            <w:col w:w="3520" w:space="340"/>
            <w:col w:w="3600" w:space="260"/>
            <w:col w:w="3520"/>
          </w:cols>
          <w:pgMar w:left="320" w:top="122" w:right="339" w:bottom="1440" w:gutter="0" w:footer="0" w:header="0"/>
          <w:type w:val="continuous"/>
        </w:sectPr>
      </w:pPr>
    </w:p>
    <w:p>
      <w:pPr>
        <w:spacing w:after="0" w:line="169" w:lineRule="exact"/>
        <w:rPr>
          <w:sz w:val="20"/>
          <w:szCs w:val="20"/>
          <w:color w:val="auto"/>
        </w:rPr>
      </w:pPr>
    </w:p>
    <w:p>
      <w:pPr>
        <w:jc w:val="center"/>
        <w:spacing w:after="0" w:line="280" w:lineRule="auto"/>
        <w:rPr>
          <w:sz w:val="20"/>
          <w:szCs w:val="20"/>
          <w:color w:val="auto"/>
        </w:rPr>
      </w:pPr>
      <w:r>
        <w:rPr>
          <w:rFonts w:ascii="Arial" w:cs="Arial" w:eastAsia="Arial" w:hAnsi="Arial"/>
          <w:sz w:val="17"/>
          <w:szCs w:val="17"/>
          <w:color w:val="auto"/>
        </w:rPr>
        <w:t xml:space="preserve">Important Notice Regarding the Availability of Proxy Materials for the Annual Meeting of Shareholders to Be Held on June 18, 2025: Our proxy statement and our Annual Report on Form 10-K for the fiscal year ended December 31, 2024 are available at </w:t>
      </w:r>
      <w:r>
        <w:rPr>
          <w:rFonts w:ascii="Arial" w:cs="Arial" w:eastAsia="Arial" w:hAnsi="Arial"/>
          <w:sz w:val="17"/>
          <w:szCs w:val="17"/>
          <w:b w:val="1"/>
          <w:bCs w:val="1"/>
          <w:i w:val="1"/>
          <w:iCs w:val="1"/>
          <w:color w:val="auto"/>
        </w:rPr>
        <w:t>www.proxyvote.com</w:t>
      </w:r>
      <w:r>
        <w:rPr>
          <w:rFonts w:ascii="Arial" w:cs="Arial" w:eastAsia="Arial" w:hAnsi="Arial"/>
          <w:sz w:val="17"/>
          <w:szCs w:val="17"/>
          <w:color w:val="auto"/>
        </w:rPr>
        <w:t>.</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020" w:type="dxa"/>
            <w:vAlign w:val="bottom"/>
          </w:tcPr>
          <w:p>
            <w:pPr>
              <w:ind w:left="960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3</w:t>
            </w:r>
          </w:p>
        </w:tc>
      </w:tr>
      <w:tr>
        <w:trPr>
          <w:trHeight w:val="231"/>
        </w:trPr>
        <w:tc>
          <w:tcPr>
            <w:tcW w:w="11020" w:type="dxa"/>
            <w:vAlign w:val="bottom"/>
            <w:tcBorders>
              <w:bottom w:val="single" w:sz="8" w:color="A1A1A1"/>
            </w:tcBorders>
          </w:tcPr>
          <w:p>
            <w:pPr>
              <w:spacing w:after="0"/>
              <w:rPr>
                <w:sz w:val="20"/>
                <w:szCs w:val="20"/>
                <w:color w:val="auto"/>
              </w:rPr>
            </w:pPr>
          </w:p>
        </w:tc>
        <w:tc>
          <w:tcPr>
            <w:tcW w:w="22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Table of Contents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ind w:left="80"/>
              <w:spacing w:after="0"/>
              <w:rPr>
                <w:sz w:val="20"/>
                <w:szCs w:val="20"/>
                <w:color w:val="auto"/>
              </w:rPr>
            </w:pPr>
            <w:r>
              <w:rPr>
                <w:rFonts w:ascii="Arial" w:cs="Arial" w:eastAsia="Arial" w:hAnsi="Arial"/>
                <w:sz w:val="17"/>
                <w:szCs w:val="17"/>
                <w:b w:val="1"/>
                <w:bCs w:val="1"/>
                <w:color w:val="auto"/>
              </w:rPr>
              <w:t>Message from Our Chairman and CEO and Our Lead</w:t>
            </w:r>
          </w:p>
        </w:tc>
        <w:tc>
          <w:tcPr>
            <w:tcW w:w="320" w:type="dxa"/>
            <w:vAlign w:val="bottom"/>
          </w:tcPr>
          <w:p>
            <w:pPr>
              <w:spacing w:after="0"/>
              <w:rPr>
                <w:sz w:val="16"/>
                <w:szCs w:val="16"/>
                <w:color w:val="auto"/>
              </w:rPr>
            </w:pPr>
          </w:p>
        </w:tc>
      </w:tr>
      <w:tr>
        <w:trPr>
          <w:trHeight w:val="236"/>
        </w:trPr>
        <w:tc>
          <w:tcPr>
            <w:tcW w:w="508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Independent Director</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r>
      <w:tr>
        <w:trPr>
          <w:trHeight w:val="230"/>
        </w:trPr>
        <w:tc>
          <w:tcPr>
            <w:tcW w:w="5080" w:type="dxa"/>
            <w:vAlign w:val="bottom"/>
          </w:tcPr>
          <w:p>
            <w:pPr>
              <w:ind w:left="80"/>
              <w:spacing w:after="0"/>
              <w:rPr>
                <w:sz w:val="20"/>
                <w:szCs w:val="20"/>
                <w:color w:val="auto"/>
              </w:rPr>
            </w:pPr>
            <w:r>
              <w:rPr>
                <w:rFonts w:ascii="Arial" w:cs="Arial" w:eastAsia="Arial" w:hAnsi="Arial"/>
                <w:sz w:val="17"/>
                <w:szCs w:val="17"/>
                <w:b w:val="1"/>
                <w:bCs w:val="1"/>
                <w:color w:val="auto"/>
              </w:rPr>
              <w:t>Notice of 2025 Annual Meeting of Shareholders of Comcast</w:t>
            </w:r>
          </w:p>
        </w:tc>
        <w:tc>
          <w:tcPr>
            <w:tcW w:w="320" w:type="dxa"/>
            <w:vAlign w:val="bottom"/>
          </w:tcPr>
          <w:p>
            <w:pPr>
              <w:spacing w:after="0"/>
              <w:rPr>
                <w:sz w:val="19"/>
                <w:szCs w:val="19"/>
                <w:color w:val="auto"/>
              </w:rPr>
            </w:pPr>
          </w:p>
        </w:tc>
      </w:tr>
      <w:tr>
        <w:trPr>
          <w:trHeight w:val="236"/>
        </w:trPr>
        <w:tc>
          <w:tcPr>
            <w:tcW w:w="508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Corporation</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r>
      <w:tr>
        <w:trPr>
          <w:trHeight w:val="277"/>
        </w:trPr>
        <w:tc>
          <w:tcPr>
            <w:tcW w:w="508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About Comcast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w:t>
            </w:r>
          </w:p>
        </w:tc>
      </w:tr>
      <w:tr>
        <w:trPr>
          <w:trHeight w:val="277"/>
        </w:trPr>
        <w:tc>
          <w:tcPr>
            <w:tcW w:w="508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Corporate Governance and Board Matters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w:t>
            </w:r>
          </w:p>
        </w:tc>
      </w:tr>
      <w:tr>
        <w:trPr>
          <w:trHeight w:val="331"/>
        </w:trPr>
        <w:tc>
          <w:tcPr>
            <w:tcW w:w="5080" w:type="dxa"/>
            <w:vAlign w:val="bottom"/>
            <w:tcBorders>
              <w:bottom w:val="single" w:sz="8" w:color="00A1E0"/>
            </w:tcBorders>
          </w:tcPr>
          <w:p>
            <w:pPr>
              <w:ind w:left="80"/>
              <w:spacing w:after="0"/>
              <w:rPr>
                <w:sz w:val="20"/>
                <w:szCs w:val="20"/>
                <w:color w:val="auto"/>
              </w:rPr>
            </w:pPr>
            <w:r>
              <w:rPr>
                <w:rFonts w:ascii="Arial" w:cs="Arial" w:eastAsia="Arial" w:hAnsi="Arial"/>
                <w:sz w:val="17"/>
                <w:szCs w:val="17"/>
                <w:b w:val="1"/>
                <w:bCs w:val="1"/>
                <w:color w:val="00A1E0"/>
              </w:rPr>
              <w:t>PROPOSAL 1: Election of Directors</w:t>
            </w:r>
          </w:p>
        </w:tc>
        <w:tc>
          <w:tcPr>
            <w:tcW w:w="320" w:type="dxa"/>
            <w:vAlign w:val="bottom"/>
            <w:tcBorders>
              <w:bottom w:val="single" w:sz="8" w:color="00A1E0"/>
            </w:tcBorders>
          </w:tcPr>
          <w:p>
            <w:pPr>
              <w:spacing w:after="0"/>
              <w:rPr>
                <w:sz w:val="24"/>
                <w:szCs w:val="24"/>
                <w:color w:val="auto"/>
              </w:rPr>
            </w:pPr>
          </w:p>
        </w:tc>
      </w:tr>
      <w:tr>
        <w:trPr>
          <w:trHeight w:val="265"/>
        </w:trPr>
        <w:tc>
          <w:tcPr>
            <w:tcW w:w="5080" w:type="dxa"/>
            <w:vAlign w:val="bottom"/>
          </w:tcPr>
          <w:p>
            <w:pPr>
              <w:ind w:left="80"/>
              <w:spacing w:after="0"/>
              <w:rPr>
                <w:sz w:val="20"/>
                <w:szCs w:val="20"/>
                <w:color w:val="auto"/>
              </w:rPr>
            </w:pPr>
            <w:r>
              <w:rPr>
                <w:rFonts w:ascii="Arial" w:cs="Arial" w:eastAsia="Arial" w:hAnsi="Arial"/>
                <w:sz w:val="17"/>
                <w:szCs w:val="17"/>
                <w:color w:val="auto"/>
              </w:rPr>
              <w:t>Board of Directors Nominees</w:t>
            </w:r>
          </w:p>
        </w:tc>
        <w:tc>
          <w:tcPr>
            <w:tcW w:w="3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84"/>
        </w:trPr>
        <w:tc>
          <w:tcPr>
            <w:tcW w:w="5080" w:type="dxa"/>
            <w:vAlign w:val="bottom"/>
          </w:tcPr>
          <w:p>
            <w:pPr>
              <w:ind w:left="80"/>
              <w:spacing w:after="0"/>
              <w:rPr>
                <w:sz w:val="20"/>
                <w:szCs w:val="20"/>
                <w:color w:val="auto"/>
              </w:rPr>
            </w:pPr>
            <w:r>
              <w:rPr>
                <w:rFonts w:ascii="Arial" w:cs="Arial" w:eastAsia="Arial" w:hAnsi="Arial"/>
                <w:sz w:val="17"/>
                <w:szCs w:val="17"/>
                <w:color w:val="auto"/>
              </w:rPr>
              <w:t>Board Structure and Responsibilities</w:t>
            </w:r>
          </w:p>
        </w:tc>
        <w:tc>
          <w:tcPr>
            <w:tcW w:w="3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83"/>
        </w:trPr>
        <w:tc>
          <w:tcPr>
            <w:tcW w:w="5080" w:type="dxa"/>
            <w:vAlign w:val="bottom"/>
          </w:tcPr>
          <w:p>
            <w:pPr>
              <w:ind w:left="80"/>
              <w:spacing w:after="0"/>
              <w:rPr>
                <w:sz w:val="20"/>
                <w:szCs w:val="20"/>
                <w:color w:val="auto"/>
              </w:rPr>
            </w:pPr>
            <w:r>
              <w:rPr>
                <w:rFonts w:ascii="Arial" w:cs="Arial" w:eastAsia="Arial" w:hAnsi="Arial"/>
                <w:sz w:val="17"/>
                <w:szCs w:val="17"/>
                <w:color w:val="auto"/>
              </w:rPr>
              <w:t>Corporate Governance Practices, Policies and Processes</w:t>
            </w:r>
          </w:p>
        </w:tc>
        <w:tc>
          <w:tcPr>
            <w:tcW w:w="3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95"/>
        </w:trPr>
        <w:tc>
          <w:tcPr>
            <w:tcW w:w="508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Audit Committee Matters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w:t>
            </w:r>
          </w:p>
        </w:tc>
      </w:tr>
      <w:tr>
        <w:trPr>
          <w:trHeight w:val="331"/>
        </w:trPr>
        <w:tc>
          <w:tcPr>
            <w:tcW w:w="5080" w:type="dxa"/>
            <w:vAlign w:val="bottom"/>
            <w:tcBorders>
              <w:bottom w:val="single" w:sz="8" w:color="00A1E0"/>
            </w:tcBorders>
          </w:tcPr>
          <w:p>
            <w:pPr>
              <w:ind w:left="80"/>
              <w:spacing w:after="0"/>
              <w:rPr>
                <w:sz w:val="20"/>
                <w:szCs w:val="20"/>
                <w:color w:val="auto"/>
              </w:rPr>
            </w:pPr>
            <w:r>
              <w:rPr>
                <w:rFonts w:ascii="Arial" w:cs="Arial" w:eastAsia="Arial" w:hAnsi="Arial"/>
                <w:sz w:val="17"/>
                <w:szCs w:val="17"/>
                <w:b w:val="1"/>
                <w:bCs w:val="1"/>
                <w:color w:val="00A1E0"/>
              </w:rPr>
              <w:t>PROPOSAL 2: Ratify Appointment of Independent Auditors</w:t>
            </w:r>
          </w:p>
        </w:tc>
        <w:tc>
          <w:tcPr>
            <w:tcW w:w="320" w:type="dxa"/>
            <w:vAlign w:val="bottom"/>
            <w:tcBorders>
              <w:bottom w:val="single" w:sz="8" w:color="00A1E0"/>
            </w:tcBorders>
          </w:tcPr>
          <w:p>
            <w:pPr>
              <w:spacing w:after="0"/>
              <w:rPr>
                <w:sz w:val="24"/>
                <w:szCs w:val="24"/>
                <w:color w:val="auto"/>
              </w:rPr>
            </w:pPr>
          </w:p>
        </w:tc>
      </w:tr>
      <w:tr>
        <w:trPr>
          <w:trHeight w:val="272"/>
        </w:trPr>
        <w:tc>
          <w:tcPr>
            <w:tcW w:w="508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Report of the Audit Committee</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234"/>
        </w:trPr>
        <w:tc>
          <w:tcPr>
            <w:tcW w:w="5080" w:type="dxa"/>
            <w:vAlign w:val="bottom"/>
          </w:tcPr>
          <w:p>
            <w:pPr>
              <w:ind w:left="80"/>
              <w:spacing w:after="0"/>
              <w:rPr>
                <w:sz w:val="20"/>
                <w:szCs w:val="20"/>
                <w:color w:val="auto"/>
              </w:rPr>
            </w:pPr>
            <w:r>
              <w:rPr>
                <w:rFonts w:ascii="Arial" w:cs="Arial" w:eastAsia="Arial" w:hAnsi="Arial"/>
                <w:sz w:val="17"/>
                <w:szCs w:val="17"/>
                <w:b w:val="1"/>
                <w:bCs w:val="1"/>
                <w:color w:val="00A1E0"/>
              </w:rPr>
              <w:t>PROPOSAL 3: Increase Share Authorization Under Comcast-</w:t>
            </w:r>
          </w:p>
        </w:tc>
        <w:tc>
          <w:tcPr>
            <w:tcW w:w="320" w:type="dxa"/>
            <w:vAlign w:val="bottom"/>
          </w:tcPr>
          <w:p>
            <w:pPr>
              <w:spacing w:after="0"/>
              <w:rPr>
                <w:sz w:val="20"/>
                <w:szCs w:val="20"/>
                <w:color w:val="auto"/>
              </w:rPr>
            </w:pPr>
          </w:p>
        </w:tc>
      </w:tr>
      <w:tr>
        <w:trPr>
          <w:trHeight w:val="236"/>
        </w:trPr>
        <w:tc>
          <w:tcPr>
            <w:tcW w:w="5080" w:type="dxa"/>
            <w:vAlign w:val="bottom"/>
            <w:tcBorders>
              <w:bottom w:val="single" w:sz="8" w:color="00A1E0"/>
            </w:tcBorders>
          </w:tcPr>
          <w:p>
            <w:pPr>
              <w:ind w:left="80"/>
              <w:spacing w:after="0"/>
              <w:rPr>
                <w:sz w:val="20"/>
                <w:szCs w:val="20"/>
                <w:color w:val="auto"/>
              </w:rPr>
            </w:pPr>
            <w:r>
              <w:rPr>
                <w:rFonts w:ascii="Arial" w:cs="Arial" w:eastAsia="Arial" w:hAnsi="Arial"/>
                <w:sz w:val="17"/>
                <w:szCs w:val="17"/>
                <w:b w:val="1"/>
                <w:bCs w:val="1"/>
                <w:color w:val="00A1E0"/>
              </w:rPr>
              <w:t>NBCUniversal 2011 Employee Stock Purchase Plan</w:t>
            </w:r>
          </w:p>
        </w:tc>
        <w:tc>
          <w:tcPr>
            <w:tcW w:w="320" w:type="dxa"/>
            <w:vAlign w:val="bottom"/>
            <w:tcBorders>
              <w:bottom w:val="single" w:sz="8" w:color="00A1E0"/>
            </w:tcBorders>
          </w:tcPr>
          <w:p>
            <w:pPr>
              <w:spacing w:after="0"/>
              <w:rPr>
                <w:sz w:val="20"/>
                <w:szCs w:val="20"/>
                <w:color w:val="auto"/>
              </w:rPr>
            </w:pPr>
          </w:p>
        </w:tc>
      </w:tr>
      <w:tr>
        <w:trPr>
          <w:trHeight w:val="277"/>
        </w:trPr>
        <w:tc>
          <w:tcPr>
            <w:tcW w:w="508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Executive Compensation</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w:t>
            </w:r>
          </w:p>
        </w:tc>
      </w:tr>
      <w:tr>
        <w:trPr>
          <w:trHeight w:val="230"/>
        </w:trPr>
        <w:tc>
          <w:tcPr>
            <w:tcW w:w="5080" w:type="dxa"/>
            <w:vAlign w:val="bottom"/>
          </w:tcPr>
          <w:p>
            <w:pPr>
              <w:ind w:left="80"/>
              <w:spacing w:after="0"/>
              <w:rPr>
                <w:sz w:val="20"/>
                <w:szCs w:val="20"/>
                <w:color w:val="auto"/>
              </w:rPr>
            </w:pPr>
            <w:r>
              <w:rPr>
                <w:rFonts w:ascii="Arial" w:cs="Arial" w:eastAsia="Arial" w:hAnsi="Arial"/>
                <w:sz w:val="17"/>
                <w:szCs w:val="17"/>
                <w:b w:val="1"/>
                <w:bCs w:val="1"/>
                <w:color w:val="00A1E0"/>
              </w:rPr>
              <w:t>PROPOSAL 4: Advisory Vote to Approve Executive</w:t>
            </w:r>
          </w:p>
        </w:tc>
        <w:tc>
          <w:tcPr>
            <w:tcW w:w="320" w:type="dxa"/>
            <w:vAlign w:val="bottom"/>
          </w:tcPr>
          <w:p>
            <w:pPr>
              <w:spacing w:after="0"/>
              <w:rPr>
                <w:sz w:val="19"/>
                <w:szCs w:val="19"/>
                <w:color w:val="auto"/>
              </w:rPr>
            </w:pPr>
          </w:p>
        </w:tc>
      </w:tr>
      <w:tr>
        <w:trPr>
          <w:trHeight w:val="236"/>
        </w:trPr>
        <w:tc>
          <w:tcPr>
            <w:tcW w:w="5080" w:type="dxa"/>
            <w:vAlign w:val="bottom"/>
            <w:tcBorders>
              <w:bottom w:val="single" w:sz="8" w:color="00A1E0"/>
            </w:tcBorders>
          </w:tcPr>
          <w:p>
            <w:pPr>
              <w:ind w:left="80"/>
              <w:spacing w:after="0"/>
              <w:rPr>
                <w:sz w:val="20"/>
                <w:szCs w:val="20"/>
                <w:color w:val="auto"/>
              </w:rPr>
            </w:pPr>
            <w:r>
              <w:rPr>
                <w:rFonts w:ascii="Arial" w:cs="Arial" w:eastAsia="Arial" w:hAnsi="Arial"/>
                <w:sz w:val="17"/>
                <w:szCs w:val="17"/>
                <w:b w:val="1"/>
                <w:bCs w:val="1"/>
                <w:color w:val="00A1E0"/>
              </w:rPr>
              <w:t>Compensation</w:t>
            </w:r>
          </w:p>
        </w:tc>
        <w:tc>
          <w:tcPr>
            <w:tcW w:w="320" w:type="dxa"/>
            <w:vAlign w:val="bottom"/>
            <w:tcBorders>
              <w:bottom w:val="single" w:sz="8" w:color="00A1E0"/>
            </w:tcBorders>
          </w:tcPr>
          <w:p>
            <w:pPr>
              <w:spacing w:after="0"/>
              <w:rPr>
                <w:sz w:val="20"/>
                <w:szCs w:val="20"/>
                <w:color w:val="auto"/>
              </w:rPr>
            </w:pPr>
          </w:p>
        </w:tc>
      </w:tr>
      <w:tr>
        <w:trPr>
          <w:trHeight w:val="265"/>
        </w:trPr>
        <w:tc>
          <w:tcPr>
            <w:tcW w:w="5080" w:type="dxa"/>
            <w:vAlign w:val="bottom"/>
          </w:tcPr>
          <w:p>
            <w:pPr>
              <w:ind w:left="80"/>
              <w:spacing w:after="0"/>
              <w:rPr>
                <w:sz w:val="20"/>
                <w:szCs w:val="20"/>
                <w:color w:val="auto"/>
              </w:rPr>
            </w:pPr>
            <w:r>
              <w:rPr>
                <w:rFonts w:ascii="Arial" w:cs="Arial" w:eastAsia="Arial" w:hAnsi="Arial"/>
                <w:sz w:val="17"/>
                <w:szCs w:val="17"/>
                <w:color w:val="auto"/>
              </w:rPr>
              <w:t>Compensation Discussion and Analysis</w:t>
            </w:r>
          </w:p>
        </w:tc>
        <w:tc>
          <w:tcPr>
            <w:tcW w:w="3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84"/>
        </w:trPr>
        <w:tc>
          <w:tcPr>
            <w:tcW w:w="5080" w:type="dxa"/>
            <w:vAlign w:val="bottom"/>
          </w:tcPr>
          <w:p>
            <w:pPr>
              <w:ind w:left="80"/>
              <w:spacing w:after="0"/>
              <w:rPr>
                <w:sz w:val="20"/>
                <w:szCs w:val="20"/>
                <w:color w:val="auto"/>
              </w:rPr>
            </w:pPr>
            <w:r>
              <w:rPr>
                <w:rFonts w:ascii="Arial" w:cs="Arial" w:eastAsia="Arial" w:hAnsi="Arial"/>
                <w:sz w:val="17"/>
                <w:szCs w:val="17"/>
                <w:color w:val="auto"/>
              </w:rPr>
              <w:t>Compensation and Human Capital Committee Report</w:t>
            </w:r>
          </w:p>
        </w:tc>
        <w:tc>
          <w:tcPr>
            <w:tcW w:w="3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84"/>
        </w:trPr>
        <w:tc>
          <w:tcPr>
            <w:tcW w:w="5080" w:type="dxa"/>
            <w:vAlign w:val="bottom"/>
          </w:tcPr>
          <w:p>
            <w:pPr>
              <w:ind w:left="80"/>
              <w:spacing w:after="0"/>
              <w:rPr>
                <w:sz w:val="20"/>
                <w:szCs w:val="20"/>
                <w:color w:val="auto"/>
              </w:rPr>
            </w:pPr>
            <w:r>
              <w:rPr>
                <w:rFonts w:ascii="Arial" w:cs="Arial" w:eastAsia="Arial" w:hAnsi="Arial"/>
                <w:sz w:val="17"/>
                <w:szCs w:val="17"/>
                <w:color w:val="auto"/>
              </w:rPr>
              <w:t>Executive Compensation Tables</w:t>
            </w:r>
          </w:p>
        </w:tc>
        <w:tc>
          <w:tcPr>
            <w:tcW w:w="3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83"/>
        </w:trPr>
        <w:tc>
          <w:tcPr>
            <w:tcW w:w="5080" w:type="dxa"/>
            <w:vAlign w:val="bottom"/>
          </w:tcPr>
          <w:p>
            <w:pPr>
              <w:ind w:left="260"/>
              <w:spacing w:after="0"/>
              <w:rPr>
                <w:sz w:val="20"/>
                <w:szCs w:val="20"/>
                <w:color w:val="auto"/>
              </w:rPr>
            </w:pPr>
            <w:r>
              <w:rPr>
                <w:rFonts w:ascii="Arial" w:cs="Arial" w:eastAsia="Arial" w:hAnsi="Arial"/>
                <w:sz w:val="17"/>
                <w:szCs w:val="17"/>
                <w:color w:val="auto"/>
              </w:rPr>
              <w:t>Summary Compensation Table</w:t>
            </w:r>
          </w:p>
        </w:tc>
        <w:tc>
          <w:tcPr>
            <w:tcW w:w="3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83"/>
        </w:trPr>
        <w:tc>
          <w:tcPr>
            <w:tcW w:w="5080" w:type="dxa"/>
            <w:vAlign w:val="bottom"/>
          </w:tcPr>
          <w:p>
            <w:pPr>
              <w:ind w:left="260"/>
              <w:spacing w:after="0"/>
              <w:rPr>
                <w:sz w:val="20"/>
                <w:szCs w:val="20"/>
                <w:color w:val="auto"/>
              </w:rPr>
            </w:pPr>
            <w:r>
              <w:rPr>
                <w:rFonts w:ascii="Arial" w:cs="Arial" w:eastAsia="Arial" w:hAnsi="Arial"/>
                <w:sz w:val="17"/>
                <w:szCs w:val="17"/>
                <w:color w:val="auto"/>
              </w:rPr>
              <w:t>Grants of Plan-Based Awards</w:t>
            </w:r>
          </w:p>
        </w:tc>
        <w:tc>
          <w:tcPr>
            <w:tcW w:w="3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84"/>
        </w:trPr>
        <w:tc>
          <w:tcPr>
            <w:tcW w:w="5080" w:type="dxa"/>
            <w:vAlign w:val="bottom"/>
          </w:tcPr>
          <w:p>
            <w:pPr>
              <w:ind w:left="260"/>
              <w:spacing w:after="0"/>
              <w:rPr>
                <w:sz w:val="20"/>
                <w:szCs w:val="20"/>
                <w:color w:val="auto"/>
              </w:rPr>
            </w:pPr>
            <w:r>
              <w:rPr>
                <w:rFonts w:ascii="Arial" w:cs="Arial" w:eastAsia="Arial" w:hAnsi="Arial"/>
                <w:sz w:val="17"/>
                <w:szCs w:val="17"/>
                <w:color w:val="auto"/>
              </w:rPr>
              <w:t>Outstanding Equity Awards at Fiscal Year-End</w:t>
            </w:r>
          </w:p>
        </w:tc>
        <w:tc>
          <w:tcPr>
            <w:tcW w:w="3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83"/>
        </w:trPr>
        <w:tc>
          <w:tcPr>
            <w:tcW w:w="5080" w:type="dxa"/>
            <w:vAlign w:val="bottom"/>
          </w:tcPr>
          <w:p>
            <w:pPr>
              <w:ind w:left="260"/>
              <w:spacing w:after="0"/>
              <w:rPr>
                <w:sz w:val="20"/>
                <w:szCs w:val="20"/>
                <w:color w:val="auto"/>
              </w:rPr>
            </w:pPr>
            <w:r>
              <w:rPr>
                <w:rFonts w:ascii="Arial" w:cs="Arial" w:eastAsia="Arial" w:hAnsi="Arial"/>
                <w:sz w:val="17"/>
                <w:szCs w:val="17"/>
                <w:color w:val="auto"/>
              </w:rPr>
              <w:t>Option Exercises and Stock Vested</w:t>
            </w:r>
          </w:p>
        </w:tc>
        <w:tc>
          <w:tcPr>
            <w:tcW w:w="32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48"/>
        </w:trPr>
        <w:tc>
          <w:tcPr>
            <w:tcW w:w="5080" w:type="dxa"/>
            <w:vAlign w:val="bottom"/>
          </w:tcPr>
          <w:p>
            <w:pPr>
              <w:ind w:left="260"/>
              <w:spacing w:after="0"/>
              <w:rPr>
                <w:sz w:val="20"/>
                <w:szCs w:val="20"/>
                <w:color w:val="auto"/>
              </w:rPr>
            </w:pPr>
            <w:r>
              <w:rPr>
                <w:rFonts w:ascii="Arial" w:cs="Arial" w:eastAsia="Arial" w:hAnsi="Arial"/>
                <w:sz w:val="17"/>
                <w:szCs w:val="17"/>
                <w:color w:val="auto"/>
              </w:rPr>
              <w:t>Nonqualified Deferred Compensation in and as of Fiscal Year-</w:t>
            </w:r>
          </w:p>
        </w:tc>
        <w:tc>
          <w:tcPr>
            <w:tcW w:w="320" w:type="dxa"/>
            <w:vAlign w:val="bottom"/>
          </w:tcPr>
          <w:p>
            <w:pPr>
              <w:spacing w:after="0"/>
              <w:rPr>
                <w:sz w:val="21"/>
                <w:szCs w:val="21"/>
                <w:color w:val="auto"/>
              </w:rPr>
            </w:pPr>
          </w:p>
        </w:tc>
      </w:tr>
      <w:tr>
        <w:trPr>
          <w:trHeight w:val="225"/>
        </w:trPr>
        <w:tc>
          <w:tcPr>
            <w:tcW w:w="5080" w:type="dxa"/>
            <w:vAlign w:val="bottom"/>
          </w:tcPr>
          <w:p>
            <w:pPr>
              <w:ind w:left="260"/>
              <w:spacing w:after="0"/>
              <w:rPr>
                <w:sz w:val="20"/>
                <w:szCs w:val="20"/>
                <w:color w:val="auto"/>
              </w:rPr>
            </w:pPr>
            <w:r>
              <w:rPr>
                <w:rFonts w:ascii="Arial" w:cs="Arial" w:eastAsia="Arial" w:hAnsi="Arial"/>
                <w:sz w:val="17"/>
                <w:szCs w:val="17"/>
                <w:color w:val="auto"/>
              </w:rPr>
              <w:t>End</w:t>
            </w:r>
          </w:p>
        </w:tc>
        <w:tc>
          <w:tcPr>
            <w:tcW w:w="32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83"/>
        </w:trPr>
        <w:tc>
          <w:tcPr>
            <w:tcW w:w="5080" w:type="dxa"/>
            <w:vAlign w:val="bottom"/>
          </w:tcPr>
          <w:p>
            <w:pPr>
              <w:ind w:left="260"/>
              <w:spacing w:after="0"/>
              <w:rPr>
                <w:sz w:val="20"/>
                <w:szCs w:val="20"/>
                <w:color w:val="auto"/>
              </w:rPr>
            </w:pPr>
            <w:r>
              <w:rPr>
                <w:rFonts w:ascii="Arial" w:cs="Arial" w:eastAsia="Arial" w:hAnsi="Arial"/>
                <w:sz w:val="17"/>
                <w:szCs w:val="17"/>
                <w:color w:val="auto"/>
              </w:rPr>
              <w:t>Agreements with Our Named Executive Officers</w:t>
            </w:r>
          </w:p>
        </w:tc>
        <w:tc>
          <w:tcPr>
            <w:tcW w:w="3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84"/>
        </w:trPr>
        <w:tc>
          <w:tcPr>
            <w:tcW w:w="5080" w:type="dxa"/>
            <w:vAlign w:val="bottom"/>
          </w:tcPr>
          <w:p>
            <w:pPr>
              <w:ind w:left="260"/>
              <w:spacing w:after="0"/>
              <w:rPr>
                <w:sz w:val="20"/>
                <w:szCs w:val="20"/>
                <w:color w:val="auto"/>
              </w:rPr>
            </w:pPr>
            <w:r>
              <w:rPr>
                <w:rFonts w:ascii="Arial" w:cs="Arial" w:eastAsia="Arial" w:hAnsi="Arial"/>
                <w:sz w:val="17"/>
                <w:szCs w:val="17"/>
                <w:color w:val="auto"/>
              </w:rPr>
              <w:t>Potential Payments upon Termination or Change in Control</w:t>
            </w:r>
          </w:p>
        </w:tc>
        <w:tc>
          <w:tcPr>
            <w:tcW w:w="3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83"/>
        </w:trPr>
        <w:tc>
          <w:tcPr>
            <w:tcW w:w="5080" w:type="dxa"/>
            <w:vAlign w:val="bottom"/>
          </w:tcPr>
          <w:p>
            <w:pPr>
              <w:ind w:left="260"/>
              <w:spacing w:after="0"/>
              <w:rPr>
                <w:sz w:val="20"/>
                <w:szCs w:val="20"/>
                <w:color w:val="auto"/>
              </w:rPr>
            </w:pPr>
            <w:r>
              <w:rPr>
                <w:rFonts w:ascii="Arial" w:cs="Arial" w:eastAsia="Arial" w:hAnsi="Arial"/>
                <w:sz w:val="17"/>
                <w:szCs w:val="17"/>
                <w:color w:val="auto"/>
              </w:rPr>
              <w:t>Equity Compensation Plan Information</w:t>
            </w:r>
          </w:p>
        </w:tc>
        <w:tc>
          <w:tcPr>
            <w:tcW w:w="3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83"/>
        </w:trPr>
        <w:tc>
          <w:tcPr>
            <w:tcW w:w="5080" w:type="dxa"/>
            <w:vAlign w:val="bottom"/>
          </w:tcPr>
          <w:p>
            <w:pPr>
              <w:ind w:left="260"/>
              <w:spacing w:after="0"/>
              <w:rPr>
                <w:sz w:val="20"/>
                <w:szCs w:val="20"/>
                <w:color w:val="auto"/>
              </w:rPr>
            </w:pPr>
            <w:r>
              <w:rPr>
                <w:rFonts w:ascii="Arial" w:cs="Arial" w:eastAsia="Arial" w:hAnsi="Arial"/>
                <w:sz w:val="17"/>
                <w:szCs w:val="17"/>
                <w:color w:val="auto"/>
              </w:rPr>
              <w:t>CEO Pay Ratio</w:t>
            </w:r>
          </w:p>
        </w:tc>
        <w:tc>
          <w:tcPr>
            <w:tcW w:w="3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84"/>
        </w:trPr>
        <w:tc>
          <w:tcPr>
            <w:tcW w:w="5080" w:type="dxa"/>
            <w:vAlign w:val="bottom"/>
          </w:tcPr>
          <w:p>
            <w:pPr>
              <w:ind w:left="260"/>
              <w:spacing w:after="0"/>
              <w:rPr>
                <w:sz w:val="20"/>
                <w:szCs w:val="20"/>
                <w:color w:val="auto"/>
              </w:rPr>
            </w:pPr>
            <w:r>
              <w:rPr>
                <w:rFonts w:ascii="Arial" w:cs="Arial" w:eastAsia="Arial" w:hAnsi="Arial"/>
                <w:sz w:val="17"/>
                <w:szCs w:val="17"/>
                <w:color w:val="auto"/>
              </w:rPr>
              <w:t>Pay Versus Performance</w:t>
            </w:r>
          </w:p>
        </w:tc>
        <w:tc>
          <w:tcPr>
            <w:tcW w:w="320" w:type="dxa"/>
            <w:vAlign w:val="bottom"/>
          </w:tcPr>
          <w:p>
            <w:pPr>
              <w:jc w:val="right"/>
              <w:spacing w:after="0"/>
              <w:rPr>
                <w:sz w:val="20"/>
                <w:szCs w:val="20"/>
                <w:color w:val="auto"/>
              </w:rPr>
            </w:pPr>
            <w:r>
              <w:rPr>
                <w:rFonts w:ascii="Arial" w:cs="Arial" w:eastAsia="Arial" w:hAnsi="Arial"/>
                <w:sz w:val="17"/>
                <w:szCs w:val="17"/>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-4577080</wp:posOffset>
            </wp:positionV>
            <wp:extent cx="15430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-3625850</wp:posOffset>
            </wp:positionV>
            <wp:extent cx="15430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-3128645</wp:posOffset>
            </wp:positionV>
            <wp:extent cx="15430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-2631440</wp:posOffset>
            </wp:positionV>
            <wp:extent cx="15430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192"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50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Shareholder Proposals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w:t>
            </w:r>
          </w:p>
        </w:tc>
      </w:tr>
      <w:tr>
        <w:trPr>
          <w:trHeight w:val="340"/>
        </w:trPr>
        <w:tc>
          <w:tcPr>
            <w:tcW w:w="5000" w:type="dxa"/>
            <w:vAlign w:val="bottom"/>
            <w:tcBorders>
              <w:bottom w:val="single" w:sz="8" w:color="C2C2C2"/>
            </w:tcBorders>
          </w:tcPr>
          <w:p>
            <w:pPr>
              <w:ind w:left="60"/>
              <w:spacing w:after="0"/>
              <w:rPr>
                <w:sz w:val="20"/>
                <w:szCs w:val="20"/>
                <w:color w:val="auto"/>
              </w:rPr>
            </w:pPr>
            <w:r>
              <w:rPr>
                <w:rFonts w:ascii="Arial" w:cs="Arial" w:eastAsia="Arial" w:hAnsi="Arial"/>
                <w:sz w:val="17"/>
                <w:szCs w:val="17"/>
                <w:b w:val="1"/>
                <w:bCs w:val="1"/>
                <w:color w:val="404040"/>
              </w:rPr>
              <w:t>PROPOSALS 5-6: Shareholder Proposals</w:t>
            </w:r>
          </w:p>
        </w:tc>
        <w:tc>
          <w:tcPr>
            <w:tcW w:w="380" w:type="dxa"/>
            <w:vAlign w:val="bottom"/>
            <w:tcBorders>
              <w:bottom w:val="single" w:sz="8" w:color="C2C2C2"/>
            </w:tcBorders>
          </w:tcPr>
          <w:p>
            <w:pPr>
              <w:spacing w:after="0"/>
              <w:rPr>
                <w:sz w:val="24"/>
                <w:szCs w:val="24"/>
                <w:color w:val="auto"/>
              </w:rPr>
            </w:pPr>
          </w:p>
        </w:tc>
      </w:tr>
      <w:tr>
        <w:trPr>
          <w:trHeight w:val="282"/>
        </w:trPr>
        <w:tc>
          <w:tcPr>
            <w:tcW w:w="50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Information about Stock Ownership</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w:t>
            </w:r>
          </w:p>
        </w:tc>
      </w:tr>
      <w:tr>
        <w:trPr>
          <w:trHeight w:val="277"/>
        </w:trPr>
        <w:tc>
          <w:tcPr>
            <w:tcW w:w="50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Compensation of Directors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w:t>
            </w:r>
          </w:p>
        </w:tc>
      </w:tr>
      <w:tr>
        <w:trPr>
          <w:trHeight w:val="277"/>
        </w:trPr>
        <w:tc>
          <w:tcPr>
            <w:tcW w:w="50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Related Party Transactions Policy and Certain Transactions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w:t>
            </w:r>
          </w:p>
        </w:tc>
      </w:tr>
      <w:tr>
        <w:trPr>
          <w:trHeight w:val="277"/>
        </w:trPr>
        <w:tc>
          <w:tcPr>
            <w:tcW w:w="50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Other Information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w:t>
            </w:r>
          </w:p>
        </w:tc>
      </w:tr>
      <w:tr>
        <w:trPr>
          <w:trHeight w:val="230"/>
        </w:trPr>
        <w:tc>
          <w:tcPr>
            <w:tcW w:w="5000" w:type="dxa"/>
            <w:vAlign w:val="bottom"/>
          </w:tcPr>
          <w:p>
            <w:pPr>
              <w:ind w:left="60"/>
              <w:spacing w:after="0"/>
              <w:rPr>
                <w:sz w:val="20"/>
                <w:szCs w:val="20"/>
                <w:color w:val="auto"/>
              </w:rPr>
            </w:pPr>
            <w:r>
              <w:rPr>
                <w:rFonts w:ascii="Arial" w:cs="Arial" w:eastAsia="Arial" w:hAnsi="Arial"/>
                <w:sz w:val="17"/>
                <w:szCs w:val="17"/>
                <w:b w:val="1"/>
                <w:bCs w:val="1"/>
                <w:color w:val="auto"/>
              </w:rPr>
              <w:t>Appendix A: Reconciliations of Non-GAAP Financial</w:t>
            </w:r>
          </w:p>
        </w:tc>
        <w:tc>
          <w:tcPr>
            <w:tcW w:w="380" w:type="dxa"/>
            <w:vAlign w:val="bottom"/>
          </w:tcPr>
          <w:p>
            <w:pPr>
              <w:spacing w:after="0"/>
              <w:rPr>
                <w:sz w:val="19"/>
                <w:szCs w:val="19"/>
                <w:color w:val="auto"/>
              </w:rPr>
            </w:pPr>
          </w:p>
        </w:tc>
      </w:tr>
      <w:tr>
        <w:trPr>
          <w:trHeight w:val="236"/>
        </w:trPr>
        <w:tc>
          <w:tcPr>
            <w:tcW w:w="50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Measures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A-1</w:t>
            </w:r>
          </w:p>
        </w:tc>
      </w:tr>
      <w:tr>
        <w:trPr>
          <w:trHeight w:val="230"/>
        </w:trPr>
        <w:tc>
          <w:tcPr>
            <w:tcW w:w="5000" w:type="dxa"/>
            <w:vAlign w:val="bottom"/>
          </w:tcPr>
          <w:p>
            <w:pPr>
              <w:ind w:left="60"/>
              <w:spacing w:after="0"/>
              <w:rPr>
                <w:sz w:val="20"/>
                <w:szCs w:val="20"/>
                <w:color w:val="auto"/>
              </w:rPr>
            </w:pPr>
            <w:r>
              <w:rPr>
                <w:rFonts w:ascii="Arial" w:cs="Arial" w:eastAsia="Arial" w:hAnsi="Arial"/>
                <w:sz w:val="17"/>
                <w:szCs w:val="17"/>
                <w:b w:val="1"/>
                <w:bCs w:val="1"/>
                <w:color w:val="auto"/>
              </w:rPr>
              <w:t>Appendix B: Amended and Restated Comcast-NBCUniversal</w:t>
            </w:r>
          </w:p>
        </w:tc>
        <w:tc>
          <w:tcPr>
            <w:tcW w:w="380" w:type="dxa"/>
            <w:vAlign w:val="bottom"/>
          </w:tcPr>
          <w:p>
            <w:pPr>
              <w:spacing w:after="0"/>
              <w:rPr>
                <w:sz w:val="19"/>
                <w:szCs w:val="19"/>
                <w:color w:val="auto"/>
              </w:rPr>
            </w:pPr>
          </w:p>
        </w:tc>
      </w:tr>
      <w:tr>
        <w:trPr>
          <w:trHeight w:val="236"/>
        </w:trPr>
        <w:tc>
          <w:tcPr>
            <w:tcW w:w="50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2011 Employee Stock Purchase Plan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B-1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-1559560</wp:posOffset>
            </wp:positionV>
            <wp:extent cx="15430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2">
            <w:col w:w="5400" w:space="460"/>
            <w:col w:w="538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About Comcast</w:t>
      </w: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Our Company</w:t>
      </w:r>
    </w:p>
    <w:p>
      <w:pPr>
        <w:spacing w:after="0" w:line="232"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Comcast Corporation (“Comcast,” the “Company,” “we,” “our” or “us”) is a global media and technology company. From the connectivity and platforms we provide, to the content and experiences we create, our businesses reach customers, viewers and guests worldwide. We deliver world-class broadband, wireless, video and voice services through Xfinity, Comcast Business and Sky; produce, distribute and stream leading entertainment, sports and news through brands including NBC, Telemundo, Universal, Peacock and Sky; and bring incredible theme parks and attractions to life through Universal Destinations &amp; Experiences.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2024 Performance Overview</w:t>
      </w:r>
    </w:p>
    <w:p>
      <w:pPr>
        <w:spacing w:after="0" w:line="23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produced strong financial results and continued to execute against our long-term strategy in 2024. We continued to invest in our business, maintained a strong balance sheet and returned significant capital to shareholders. Our consolidated financial results reflected the accomplishments and contributions from across our company, underscoring our business resilience, strategic decision-making and capital allocation priorities, driven with a view toward positioning our company for the future. As described in “Compensation Discussion and Analysis” below, revenue, Adjusted EBITDA and Free Cash Flow are among the key metrics used in our executive compensation program.</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320" w:type="dxa"/>
            <w:vAlign w:val="bottom"/>
          </w:tcPr>
          <w:p>
            <w:pPr>
              <w:spacing w:after="0"/>
              <w:rPr>
                <w:sz w:val="20"/>
                <w:szCs w:val="20"/>
                <w:color w:val="auto"/>
              </w:rPr>
            </w:pPr>
            <w:r>
              <w:rPr>
                <w:rFonts w:ascii="Arial" w:cs="Arial" w:eastAsia="Arial" w:hAnsi="Arial"/>
                <w:sz w:val="18"/>
                <w:szCs w:val="18"/>
                <w:b w:val="1"/>
                <w:bCs w:val="1"/>
                <w:color w:val="00A0E0"/>
              </w:rPr>
              <w:t>Revenue</w:t>
            </w:r>
          </w:p>
        </w:tc>
        <w:tc>
          <w:tcPr>
            <w:tcW w:w="4460" w:type="dxa"/>
            <w:vAlign w:val="bottom"/>
          </w:tcPr>
          <w:p>
            <w:pPr>
              <w:ind w:left="1520"/>
              <w:spacing w:after="0"/>
              <w:rPr>
                <w:sz w:val="20"/>
                <w:szCs w:val="20"/>
                <w:color w:val="auto"/>
              </w:rPr>
            </w:pPr>
            <w:r>
              <w:rPr>
                <w:rFonts w:ascii="Arial" w:cs="Arial" w:eastAsia="Arial" w:hAnsi="Arial"/>
                <w:sz w:val="18"/>
                <w:szCs w:val="18"/>
                <w:b w:val="1"/>
                <w:bCs w:val="1"/>
                <w:color w:val="00A0E0"/>
              </w:rPr>
              <w:t>Net Income Attributable</w:t>
            </w:r>
          </w:p>
        </w:tc>
        <w:tc>
          <w:tcPr>
            <w:tcW w:w="2560" w:type="dxa"/>
            <w:vAlign w:val="bottom"/>
          </w:tcPr>
          <w:p>
            <w:pPr>
              <w:ind w:left="900"/>
              <w:spacing w:after="0"/>
              <w:rPr>
                <w:sz w:val="20"/>
                <w:szCs w:val="20"/>
                <w:color w:val="auto"/>
              </w:rPr>
            </w:pPr>
            <w:r>
              <w:rPr>
                <w:rFonts w:ascii="Arial" w:cs="Arial" w:eastAsia="Arial" w:hAnsi="Arial"/>
                <w:sz w:val="18"/>
                <w:szCs w:val="18"/>
                <w:b w:val="1"/>
                <w:bCs w:val="1"/>
                <w:color w:val="00A0E0"/>
                <w:w w:val="94"/>
              </w:rPr>
              <w:t>Adjusted EBITDA</w:t>
            </w:r>
            <w:r>
              <w:rPr>
                <w:rFonts w:ascii="Arial" w:cs="Arial" w:eastAsia="Arial" w:hAnsi="Arial"/>
                <w:sz w:val="29"/>
                <w:szCs w:val="29"/>
                <w:b w:val="1"/>
                <w:bCs w:val="1"/>
                <w:color w:val="00A0E0"/>
                <w:w w:val="94"/>
                <w:vertAlign w:val="superscript"/>
              </w:rPr>
              <w:t>(1)</w:t>
            </w:r>
          </w:p>
        </w:tc>
      </w:tr>
      <w:tr>
        <w:trPr>
          <w:trHeight w:val="193"/>
        </w:trPr>
        <w:tc>
          <w:tcPr>
            <w:tcW w:w="2320" w:type="dxa"/>
            <w:vAlign w:val="bottom"/>
          </w:tcPr>
          <w:p>
            <w:pPr>
              <w:spacing w:after="0"/>
              <w:rPr>
                <w:sz w:val="20"/>
                <w:szCs w:val="20"/>
                <w:color w:val="auto"/>
              </w:rPr>
            </w:pPr>
            <w:r>
              <w:rPr>
                <w:rFonts w:ascii="Arial" w:cs="Arial" w:eastAsia="Arial" w:hAnsi="Arial"/>
                <w:sz w:val="14"/>
                <w:szCs w:val="14"/>
                <w:color w:val="auto"/>
              </w:rPr>
              <w:t>($ in billions)</w:t>
            </w:r>
          </w:p>
        </w:tc>
        <w:tc>
          <w:tcPr>
            <w:tcW w:w="4460" w:type="dxa"/>
            <w:vAlign w:val="bottom"/>
          </w:tcPr>
          <w:p>
            <w:pPr>
              <w:ind w:left="1520"/>
              <w:spacing w:after="0" w:line="194" w:lineRule="exact"/>
              <w:rPr>
                <w:sz w:val="20"/>
                <w:szCs w:val="20"/>
                <w:color w:val="auto"/>
              </w:rPr>
            </w:pPr>
            <w:r>
              <w:rPr>
                <w:rFonts w:ascii="Arial" w:cs="Arial" w:eastAsia="Arial" w:hAnsi="Arial"/>
                <w:sz w:val="18"/>
                <w:szCs w:val="18"/>
                <w:b w:val="1"/>
                <w:bCs w:val="1"/>
                <w:color w:val="00A0E0"/>
              </w:rPr>
              <w:t>to Comcast</w:t>
            </w:r>
          </w:p>
        </w:tc>
        <w:tc>
          <w:tcPr>
            <w:tcW w:w="2560" w:type="dxa"/>
            <w:vAlign w:val="bottom"/>
          </w:tcPr>
          <w:p>
            <w:pPr>
              <w:ind w:left="900"/>
              <w:spacing w:after="0"/>
              <w:rPr>
                <w:sz w:val="20"/>
                <w:szCs w:val="20"/>
                <w:color w:val="auto"/>
              </w:rPr>
            </w:pPr>
            <w:r>
              <w:rPr>
                <w:rFonts w:ascii="Arial" w:cs="Arial" w:eastAsia="Arial" w:hAnsi="Arial"/>
                <w:sz w:val="14"/>
                <w:szCs w:val="14"/>
                <w:color w:val="auto"/>
              </w:rPr>
              <w:t>($ in billions)</w:t>
            </w:r>
          </w:p>
        </w:tc>
      </w:tr>
      <w:tr>
        <w:trPr>
          <w:trHeight w:val="190"/>
        </w:trPr>
        <w:tc>
          <w:tcPr>
            <w:tcW w:w="2320" w:type="dxa"/>
            <w:vAlign w:val="bottom"/>
          </w:tcPr>
          <w:p>
            <w:pPr>
              <w:spacing w:after="0"/>
              <w:rPr>
                <w:sz w:val="16"/>
                <w:szCs w:val="16"/>
                <w:color w:val="auto"/>
              </w:rPr>
            </w:pPr>
          </w:p>
        </w:tc>
        <w:tc>
          <w:tcPr>
            <w:tcW w:w="4460" w:type="dxa"/>
            <w:vAlign w:val="bottom"/>
          </w:tcPr>
          <w:p>
            <w:pPr>
              <w:ind w:left="1520"/>
              <w:spacing w:after="0"/>
              <w:rPr>
                <w:sz w:val="20"/>
                <w:szCs w:val="20"/>
                <w:color w:val="auto"/>
              </w:rPr>
            </w:pPr>
            <w:r>
              <w:rPr>
                <w:rFonts w:ascii="Arial" w:cs="Arial" w:eastAsia="Arial" w:hAnsi="Arial"/>
                <w:sz w:val="14"/>
                <w:szCs w:val="14"/>
                <w:color w:val="auto"/>
              </w:rPr>
              <w:t>($ in billions)</w:t>
            </w:r>
          </w:p>
        </w:tc>
        <w:tc>
          <w:tcPr>
            <w:tcW w:w="25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56515</wp:posOffset>
            </wp:positionV>
            <wp:extent cx="6412230" cy="13798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860" w:type="dxa"/>
            <w:vAlign w:val="bottom"/>
          </w:tcPr>
          <w:p>
            <w:pPr>
              <w:spacing w:after="0"/>
              <w:rPr>
                <w:sz w:val="20"/>
                <w:szCs w:val="20"/>
                <w:color w:val="auto"/>
              </w:rPr>
            </w:pPr>
            <w:r>
              <w:rPr>
                <w:rFonts w:ascii="Arial" w:cs="Arial" w:eastAsia="Arial" w:hAnsi="Arial"/>
                <w:sz w:val="18"/>
                <w:szCs w:val="18"/>
                <w:b w:val="1"/>
                <w:bCs w:val="1"/>
                <w:color w:val="00A0E0"/>
              </w:rPr>
              <w:t>Net Cash Provided by</w:t>
            </w:r>
          </w:p>
        </w:tc>
        <w:tc>
          <w:tcPr>
            <w:tcW w:w="2760" w:type="dxa"/>
            <w:vAlign w:val="bottom"/>
          </w:tcPr>
          <w:p>
            <w:pPr>
              <w:ind w:left="980"/>
              <w:spacing w:after="0"/>
              <w:rPr>
                <w:sz w:val="20"/>
                <w:szCs w:val="20"/>
                <w:color w:val="auto"/>
              </w:rPr>
            </w:pPr>
            <w:r>
              <w:rPr>
                <w:rFonts w:ascii="Arial" w:cs="Arial" w:eastAsia="Arial" w:hAnsi="Arial"/>
                <w:sz w:val="18"/>
                <w:szCs w:val="18"/>
                <w:b w:val="1"/>
                <w:bCs w:val="1"/>
                <w:color w:val="00A0E0"/>
                <w:w w:val="92"/>
              </w:rPr>
              <w:t>Free Cash Flow</w:t>
            </w:r>
            <w:r>
              <w:rPr>
                <w:rFonts w:ascii="Arial" w:cs="Arial" w:eastAsia="Arial" w:hAnsi="Arial"/>
                <w:sz w:val="29"/>
                <w:szCs w:val="29"/>
                <w:b w:val="1"/>
                <w:bCs w:val="1"/>
                <w:color w:val="00A0E0"/>
                <w:w w:val="92"/>
                <w:vertAlign w:val="superscript"/>
              </w:rPr>
              <w:t>(1), (2)</w:t>
            </w:r>
          </w:p>
        </w:tc>
      </w:tr>
      <w:tr>
        <w:trPr>
          <w:trHeight w:val="193"/>
        </w:trPr>
        <w:tc>
          <w:tcPr>
            <w:tcW w:w="2860" w:type="dxa"/>
            <w:vAlign w:val="bottom"/>
          </w:tcPr>
          <w:p>
            <w:pPr>
              <w:spacing w:after="0" w:line="194" w:lineRule="exact"/>
              <w:rPr>
                <w:sz w:val="20"/>
                <w:szCs w:val="20"/>
                <w:color w:val="auto"/>
              </w:rPr>
            </w:pPr>
            <w:r>
              <w:rPr>
                <w:rFonts w:ascii="Arial" w:cs="Arial" w:eastAsia="Arial" w:hAnsi="Arial"/>
                <w:sz w:val="18"/>
                <w:szCs w:val="18"/>
                <w:b w:val="1"/>
                <w:bCs w:val="1"/>
                <w:color w:val="00A0E0"/>
              </w:rPr>
              <w:t>Operating Activities</w:t>
            </w:r>
          </w:p>
        </w:tc>
        <w:tc>
          <w:tcPr>
            <w:tcW w:w="2760" w:type="dxa"/>
            <w:vAlign w:val="bottom"/>
          </w:tcPr>
          <w:p>
            <w:pPr>
              <w:ind w:left="980"/>
              <w:spacing w:after="0"/>
              <w:rPr>
                <w:sz w:val="20"/>
                <w:szCs w:val="20"/>
                <w:color w:val="auto"/>
              </w:rPr>
            </w:pPr>
            <w:r>
              <w:rPr>
                <w:rFonts w:ascii="Arial" w:cs="Arial" w:eastAsia="Arial" w:hAnsi="Arial"/>
                <w:sz w:val="14"/>
                <w:szCs w:val="14"/>
                <w:color w:val="auto"/>
              </w:rPr>
              <w:t>($ in billions)</w:t>
            </w:r>
          </w:p>
        </w:tc>
      </w:tr>
      <w:tr>
        <w:trPr>
          <w:trHeight w:val="190"/>
        </w:trPr>
        <w:tc>
          <w:tcPr>
            <w:tcW w:w="2860" w:type="dxa"/>
            <w:vAlign w:val="bottom"/>
          </w:tcPr>
          <w:p>
            <w:pPr>
              <w:spacing w:after="0"/>
              <w:rPr>
                <w:sz w:val="20"/>
                <w:szCs w:val="20"/>
                <w:color w:val="auto"/>
              </w:rPr>
            </w:pPr>
            <w:r>
              <w:rPr>
                <w:rFonts w:ascii="Arial" w:cs="Arial" w:eastAsia="Arial" w:hAnsi="Arial"/>
                <w:sz w:val="14"/>
                <w:szCs w:val="14"/>
                <w:color w:val="auto"/>
              </w:rPr>
              <w:t>($ in billions)</w:t>
            </w:r>
          </w:p>
        </w:tc>
        <w:tc>
          <w:tcPr>
            <w:tcW w:w="27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937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0" w:hanging="299"/>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5"/>
          <w:szCs w:val="15"/>
          <w:color w:val="auto"/>
        </w:rPr>
        <w:t xml:space="preserve">Reconciliations of non-GAAP financial metrics to GAAP are set forth in </w:t>
      </w:r>
      <w:r>
        <w:rPr>
          <w:rFonts w:ascii="Arial" w:cs="Arial" w:eastAsia="Arial" w:hAnsi="Arial"/>
          <w:sz w:val="15"/>
          <w:szCs w:val="15"/>
          <w:u w:val="single" w:color="auto"/>
          <w:color w:val="auto"/>
        </w:rPr>
        <w:t>Appendix A</w:t>
      </w:r>
      <w:r>
        <w:rPr>
          <w:rFonts w:ascii="Arial" w:cs="Arial" w:eastAsia="Arial" w:hAnsi="Arial"/>
          <w:sz w:val="15"/>
          <w:szCs w:val="15"/>
          <w:color w:val="auto"/>
        </w:rPr>
        <w:t>.</w:t>
      </w:r>
    </w:p>
    <w:p>
      <w:pPr>
        <w:spacing w:after="0" w:line="70" w:lineRule="exact"/>
        <w:rPr>
          <w:rFonts w:ascii="Arial" w:cs="Arial" w:eastAsia="Arial" w:hAnsi="Arial"/>
          <w:sz w:val="13"/>
          <w:szCs w:val="13"/>
          <w:color w:val="auto"/>
        </w:rPr>
      </w:pPr>
    </w:p>
    <w:p>
      <w:pPr>
        <w:ind w:left="500" w:hanging="299"/>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5"/>
          <w:szCs w:val="15"/>
          <w:color w:val="auto"/>
        </w:rPr>
        <w:t>Free Cash Flow in 2024 includes a tax payment related to the previously announced Hulu transaction and other tax related matters.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020" w:type="dxa"/>
            <w:vAlign w:val="bottom"/>
          </w:tcPr>
          <w:p>
            <w:pPr>
              <w:ind w:left="960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5</w:t>
            </w:r>
          </w:p>
        </w:tc>
      </w:tr>
      <w:tr>
        <w:trPr>
          <w:trHeight w:val="231"/>
        </w:trPr>
        <w:tc>
          <w:tcPr>
            <w:tcW w:w="11020" w:type="dxa"/>
            <w:vAlign w:val="bottom"/>
            <w:tcBorders>
              <w:bottom w:val="single" w:sz="8" w:color="A1A1A1"/>
            </w:tcBorders>
          </w:tcPr>
          <w:p>
            <w:pPr>
              <w:spacing w:after="0"/>
              <w:rPr>
                <w:sz w:val="20"/>
                <w:szCs w:val="20"/>
                <w:color w:val="auto"/>
              </w:rPr>
            </w:pPr>
          </w:p>
        </w:tc>
        <w:tc>
          <w:tcPr>
            <w:tcW w:w="22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2024 key reported results included:</w:t>
      </w:r>
    </w:p>
    <w:p>
      <w:pPr>
        <w:spacing w:after="0" w:line="210" w:lineRule="exact"/>
        <w:rPr>
          <w:sz w:val="20"/>
          <w:szCs w:val="20"/>
          <w:color w:val="auto"/>
        </w:rPr>
      </w:pPr>
    </w:p>
    <w:p>
      <w:pPr>
        <w:ind w:left="260" w:right="20" w:hanging="252"/>
        <w:spacing w:after="0" w:line="242" w:lineRule="auto"/>
        <w:tabs>
          <w:tab w:leader="none" w:pos="260" w:val="left"/>
        </w:tabs>
        <w:numPr>
          <w:ilvl w:val="0"/>
          <w:numId w:val="7"/>
        </w:numPr>
        <w:rPr>
          <w:rFonts w:ascii="Arial" w:cs="Arial" w:eastAsia="Arial" w:hAnsi="Arial"/>
          <w:sz w:val="17"/>
          <w:szCs w:val="17"/>
          <w:color w:val="00A0E0"/>
        </w:rPr>
      </w:pPr>
      <w:r>
        <w:rPr>
          <w:rFonts w:ascii="Arial" w:cs="Arial" w:eastAsia="Arial" w:hAnsi="Arial"/>
          <w:sz w:val="17"/>
          <w:szCs w:val="17"/>
          <w:b w:val="1"/>
          <w:bCs w:val="1"/>
          <w:color w:val="auto"/>
        </w:rPr>
        <w:t xml:space="preserve">Connectivity &amp; Platforms </w:t>
      </w:r>
      <w:r>
        <w:rPr>
          <w:rFonts w:ascii="Arial" w:cs="Arial" w:eastAsia="Arial" w:hAnsi="Arial"/>
          <w:sz w:val="17"/>
          <w:szCs w:val="17"/>
          <w:color w:val="auto"/>
        </w:rPr>
        <w:t>– We continued to make significant investments in our technology and network to stay ahead of data consumption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trends that reflect customers’ increasing demands and to further differentiate our broadband offering and experience. We increased the number of domestic homes and businesses passed by 1.2 million to 63.7 million and continued to enhance our domestic network capabilities, including deploying technology in select markets that will enable us to deliver multi-gigabit symmetrical speeds. Connectivity &amp; Platforms revenue was consistent with the prior year period at $81.3 billion. Adjusted EBITDA increased 1.9% to $32.8 billion, or 1.7% on a constant currency basis. See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for a reconciliation.</w:t>
      </w:r>
    </w:p>
    <w:p>
      <w:pPr>
        <w:spacing w:after="0" w:line="32" w:lineRule="exact"/>
        <w:rPr>
          <w:rFonts w:ascii="Arial" w:cs="Arial" w:eastAsia="Arial" w:hAnsi="Arial"/>
          <w:sz w:val="17"/>
          <w:szCs w:val="17"/>
          <w:color w:val="00A0E0"/>
        </w:rPr>
      </w:pPr>
    </w:p>
    <w:p>
      <w:pPr>
        <w:ind w:left="260" w:hanging="252"/>
        <w:spacing w:after="0" w:line="239" w:lineRule="auto"/>
        <w:tabs>
          <w:tab w:leader="none" w:pos="260" w:val="left"/>
        </w:tabs>
        <w:numPr>
          <w:ilvl w:val="0"/>
          <w:numId w:val="7"/>
        </w:numPr>
        <w:rPr>
          <w:rFonts w:ascii="Arial" w:cs="Arial" w:eastAsia="Arial" w:hAnsi="Arial"/>
          <w:sz w:val="17"/>
          <w:szCs w:val="17"/>
          <w:color w:val="00A0E0"/>
        </w:rPr>
      </w:pPr>
      <w:r>
        <w:rPr>
          <w:rFonts w:ascii="Arial" w:cs="Arial" w:eastAsia="Arial" w:hAnsi="Arial"/>
          <w:sz w:val="17"/>
          <w:szCs w:val="17"/>
          <w:b w:val="1"/>
          <w:bCs w:val="1"/>
          <w:color w:val="auto"/>
        </w:rPr>
        <w:t xml:space="preserve">Content &amp; Experiences </w:t>
      </w:r>
      <w:r>
        <w:rPr>
          <w:rFonts w:ascii="Arial" w:cs="Arial" w:eastAsia="Arial" w:hAnsi="Arial"/>
          <w:sz w:val="17"/>
          <w:szCs w:val="17"/>
          <w:color w:val="auto"/>
        </w:rPr>
        <w:t>– We continued to entertain and inspire our audiences and guests by creating and leveraging our world-class IP and fan</w:t>
      </w:r>
      <w:r>
        <w:rPr>
          <w:rFonts w:ascii="Arial" w:cs="Arial" w:eastAsia="Arial" w:hAnsi="Arial"/>
          <w:sz w:val="17"/>
          <w:szCs w:val="17"/>
          <w:b w:val="1"/>
          <w:bCs w:val="1"/>
          <w:color w:val="auto"/>
        </w:rPr>
        <w:t xml:space="preserve"> </w:t>
      </w:r>
      <w:r>
        <w:rPr>
          <w:rFonts w:ascii="Arial" w:cs="Arial" w:eastAsia="Arial" w:hAnsi="Arial"/>
          <w:sz w:val="17"/>
          <w:szCs w:val="17"/>
          <w:color w:val="auto"/>
        </w:rPr>
        <w:t>favorite franchises. In 2024, NBC Sports delivered its most-watched year since 2016, highlighted by our innovative broadcasts of the Paris Olympics and Peacock's first-ever exclusive live streamed NFL playoff game. We also announced an 11-year agreement to present NBA and WNBA games beginning with the 2025-26 season. Universal Pictures ranked #2 at the worldwide box office, and we opened Donkey Kong Country at Universal Studios Japan and announced the May 2025 opening of Universal Epic Universe in Orlando. Content &amp; Experiences revenue increased 4.4% to $45.1 billion and Adjusted EBITDA was consistent with the prior year period at $6.7 billion.</w:t>
      </w:r>
    </w:p>
    <w:p>
      <w:pPr>
        <w:spacing w:after="0" w:line="182" w:lineRule="exact"/>
        <w:rPr>
          <w:sz w:val="20"/>
          <w:szCs w:val="20"/>
          <w:color w:val="auto"/>
        </w:rPr>
      </w:pPr>
    </w:p>
    <w:p>
      <w:pPr>
        <w:jc w:val="both"/>
        <w:ind w:right="260"/>
        <w:spacing w:after="0" w:line="249" w:lineRule="auto"/>
        <w:rPr>
          <w:sz w:val="20"/>
          <w:szCs w:val="20"/>
          <w:color w:val="auto"/>
        </w:rPr>
      </w:pPr>
      <w:r>
        <w:rPr>
          <w:rFonts w:ascii="Arial" w:cs="Arial" w:eastAsia="Arial" w:hAnsi="Arial"/>
          <w:sz w:val="17"/>
          <w:szCs w:val="17"/>
          <w:color w:val="auto"/>
        </w:rPr>
        <w:t>In 2024, we made cash dividend payments of $4.8 billion and repurchased $8.6 billion of our common stock, resulting in a total return of capital to shareholders of $13.5 billion. In January 2025, we announced our 17th consecutive annual increase to our planned annual dividend by $0.08 per share, or 6.5%, to $1.32 per share on an annualized basis.</w:t>
      </w:r>
    </w:p>
    <w:p>
      <w:pPr>
        <w:spacing w:after="0" w:line="179"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891540"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91540" cy="291465"/>
                    </a:xfrm>
                    <a:prstGeom prst="rect">
                      <a:avLst/>
                    </a:prstGeom>
                    <a:noFill/>
                  </pic:spPr>
                </pic:pic>
              </a:graphicData>
            </a:graphic>
          </wp:anchor>
        </w:drawing>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FFFFFF"/>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6172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00A0E0"/>
        </w:rPr>
        <w:t>Election of Directors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Our Board unanimously recommends that shareholders vote </w:t>
      </w:r>
      <w:r>
        <w:rPr>
          <w:rFonts w:ascii="Arial" w:cs="Arial" w:eastAsia="Arial" w:hAnsi="Arial"/>
          <w:sz w:val="17"/>
          <w:szCs w:val="17"/>
          <w:b w:val="1"/>
          <w:bCs w:val="1"/>
          <w:color w:val="00A0E0"/>
        </w:rPr>
        <w:t>“FOR”</w:t>
      </w:r>
      <w:r>
        <w:rPr>
          <w:rFonts w:ascii="Arial" w:cs="Arial" w:eastAsia="Arial" w:hAnsi="Arial"/>
          <w:sz w:val="17"/>
          <w:szCs w:val="17"/>
          <w:color w:val="auto"/>
        </w:rPr>
        <w:t xml:space="preserve"> the election of each of the nominees for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Board of Directors Nominees</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color w:val="auto"/>
        </w:rPr>
        <w:t>Board Snapshot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20" w:type="dxa"/>
            <w:vAlign w:val="bottom"/>
            <w:shd w:val="clear" w:color="auto" w:fill="EDF5FB"/>
          </w:tcPr>
          <w:p>
            <w:pPr>
              <w:spacing w:after="0"/>
              <w:rPr>
                <w:sz w:val="19"/>
                <w:szCs w:val="19"/>
                <w:color w:val="auto"/>
              </w:rPr>
            </w:pPr>
          </w:p>
        </w:tc>
        <w:tc>
          <w:tcPr>
            <w:tcW w:w="5400" w:type="dxa"/>
            <w:vAlign w:val="bottom"/>
            <w:shd w:val="clear" w:color="auto" w:fill="EDF5FB"/>
          </w:tcPr>
          <w:p>
            <w:pPr>
              <w:spacing w:after="0"/>
              <w:rPr>
                <w:sz w:val="19"/>
                <w:szCs w:val="19"/>
                <w:color w:val="auto"/>
              </w:rPr>
            </w:pPr>
          </w:p>
        </w:tc>
        <w:tc>
          <w:tcPr>
            <w:tcW w:w="120" w:type="dxa"/>
            <w:vAlign w:val="bottom"/>
            <w:shd w:val="clear" w:color="auto" w:fill="EDF5FB"/>
          </w:tcPr>
          <w:p>
            <w:pPr>
              <w:spacing w:after="0"/>
              <w:rPr>
                <w:sz w:val="19"/>
                <w:szCs w:val="19"/>
                <w:color w:val="auto"/>
              </w:rPr>
            </w:pPr>
          </w:p>
        </w:tc>
        <w:tc>
          <w:tcPr>
            <w:tcW w:w="5500" w:type="dxa"/>
            <w:vAlign w:val="bottom"/>
            <w:shd w:val="clear" w:color="auto" w:fill="EDF5FB"/>
          </w:tcPr>
          <w:p>
            <w:pPr>
              <w:spacing w:after="0"/>
              <w:rPr>
                <w:sz w:val="19"/>
                <w:szCs w:val="19"/>
                <w:color w:val="auto"/>
              </w:rPr>
            </w:pPr>
          </w:p>
        </w:tc>
        <w:tc>
          <w:tcPr>
            <w:tcW w:w="100" w:type="dxa"/>
            <w:vAlign w:val="bottom"/>
            <w:shd w:val="clear" w:color="auto" w:fill="EDF5FB"/>
          </w:tcPr>
          <w:p>
            <w:pPr>
              <w:spacing w:after="0"/>
              <w:rPr>
                <w:sz w:val="19"/>
                <w:szCs w:val="19"/>
                <w:color w:val="auto"/>
              </w:rPr>
            </w:pPr>
          </w:p>
        </w:tc>
      </w:tr>
      <w:tr>
        <w:trPr>
          <w:trHeight w:val="336"/>
        </w:trPr>
        <w:tc>
          <w:tcPr>
            <w:tcW w:w="120" w:type="dxa"/>
            <w:vAlign w:val="bottom"/>
            <w:shd w:val="clear" w:color="auto" w:fill="EDF5FB"/>
          </w:tcPr>
          <w:p>
            <w:pPr>
              <w:spacing w:after="0"/>
              <w:rPr>
                <w:sz w:val="24"/>
                <w:szCs w:val="24"/>
                <w:color w:val="auto"/>
              </w:rPr>
            </w:pPr>
          </w:p>
        </w:tc>
        <w:tc>
          <w:tcPr>
            <w:tcW w:w="5400" w:type="dxa"/>
            <w:vAlign w:val="bottom"/>
          </w:tcPr>
          <w:p>
            <w:pPr>
              <w:ind w:left="120"/>
              <w:spacing w:after="0"/>
              <w:rPr>
                <w:sz w:val="20"/>
                <w:szCs w:val="20"/>
                <w:color w:val="auto"/>
              </w:rPr>
            </w:pPr>
            <w:r>
              <w:rPr>
                <w:rFonts w:ascii="Arial" w:cs="Arial" w:eastAsia="Arial" w:hAnsi="Arial"/>
                <w:sz w:val="18"/>
                <w:szCs w:val="18"/>
                <w:b w:val="1"/>
                <w:bCs w:val="1"/>
                <w:color w:val="00A1E0"/>
              </w:rPr>
              <w:t>INDEPENDENCE</w:t>
            </w:r>
          </w:p>
        </w:tc>
        <w:tc>
          <w:tcPr>
            <w:tcW w:w="120" w:type="dxa"/>
            <w:vAlign w:val="bottom"/>
            <w:shd w:val="clear" w:color="auto" w:fill="EDF5FB"/>
          </w:tcPr>
          <w:p>
            <w:pPr>
              <w:spacing w:after="0"/>
              <w:rPr>
                <w:sz w:val="24"/>
                <w:szCs w:val="24"/>
                <w:color w:val="auto"/>
              </w:rPr>
            </w:pPr>
          </w:p>
        </w:tc>
        <w:tc>
          <w:tcPr>
            <w:tcW w:w="5500" w:type="dxa"/>
            <w:vAlign w:val="bottom"/>
          </w:tcPr>
          <w:p>
            <w:pPr>
              <w:ind w:left="1280"/>
              <w:spacing w:after="0"/>
              <w:rPr>
                <w:sz w:val="20"/>
                <w:szCs w:val="20"/>
                <w:color w:val="auto"/>
              </w:rPr>
            </w:pPr>
            <w:r>
              <w:rPr>
                <w:rFonts w:ascii="Arial" w:cs="Arial" w:eastAsia="Arial" w:hAnsi="Arial"/>
                <w:sz w:val="17"/>
                <w:szCs w:val="17"/>
                <w:b w:val="1"/>
                <w:bCs w:val="1"/>
                <w:color w:val="00A1E0"/>
              </w:rPr>
              <w:t>INDEPENDENT DIRECTOR TENURE</w:t>
            </w:r>
          </w:p>
        </w:tc>
        <w:tc>
          <w:tcPr>
            <w:tcW w:w="100" w:type="dxa"/>
            <w:vAlign w:val="bottom"/>
          </w:tcPr>
          <w:p>
            <w:pPr>
              <w:spacing w:after="0"/>
              <w:rPr>
                <w:sz w:val="24"/>
                <w:szCs w:val="24"/>
                <w:color w:val="auto"/>
              </w:rPr>
            </w:pPr>
          </w:p>
        </w:tc>
      </w:tr>
      <w:tr>
        <w:trPr>
          <w:trHeight w:val="1095"/>
        </w:trPr>
        <w:tc>
          <w:tcPr>
            <w:tcW w:w="120" w:type="dxa"/>
            <w:vAlign w:val="bottom"/>
            <w:shd w:val="clear" w:color="auto" w:fill="EDF5FB"/>
          </w:tcPr>
          <w:p>
            <w:pPr>
              <w:spacing w:after="0"/>
              <w:rPr>
                <w:sz w:val="24"/>
                <w:szCs w:val="24"/>
                <w:color w:val="auto"/>
              </w:rPr>
            </w:pPr>
          </w:p>
        </w:tc>
        <w:tc>
          <w:tcPr>
            <w:tcW w:w="5400" w:type="dxa"/>
            <w:vAlign w:val="bottom"/>
          </w:tcPr>
          <w:p>
            <w:pPr>
              <w:spacing w:after="0"/>
              <w:rPr>
                <w:sz w:val="24"/>
                <w:szCs w:val="24"/>
                <w:color w:val="auto"/>
              </w:rPr>
            </w:pPr>
          </w:p>
        </w:tc>
        <w:tc>
          <w:tcPr>
            <w:tcW w:w="120" w:type="dxa"/>
            <w:vAlign w:val="bottom"/>
            <w:shd w:val="clear" w:color="auto" w:fill="EDF5FB"/>
          </w:tcPr>
          <w:p>
            <w:pPr>
              <w:spacing w:after="0"/>
              <w:rPr>
                <w:sz w:val="24"/>
                <w:szCs w:val="24"/>
                <w:color w:val="auto"/>
              </w:rPr>
            </w:pPr>
          </w:p>
        </w:tc>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56"/>
        </w:trPr>
        <w:tc>
          <w:tcPr>
            <w:tcW w:w="120" w:type="dxa"/>
            <w:vAlign w:val="bottom"/>
            <w:shd w:val="clear" w:color="auto" w:fill="EDF5FB"/>
          </w:tcPr>
          <w:p>
            <w:pPr>
              <w:spacing w:after="0"/>
              <w:rPr>
                <w:sz w:val="24"/>
                <w:szCs w:val="24"/>
                <w:color w:val="auto"/>
              </w:rPr>
            </w:pPr>
          </w:p>
        </w:tc>
        <w:tc>
          <w:tcPr>
            <w:tcW w:w="5400" w:type="dxa"/>
            <w:vAlign w:val="bottom"/>
            <w:shd w:val="clear" w:color="auto" w:fill="EDF5FB"/>
          </w:tcPr>
          <w:p>
            <w:pPr>
              <w:spacing w:after="0"/>
              <w:rPr>
                <w:sz w:val="24"/>
                <w:szCs w:val="24"/>
                <w:color w:val="auto"/>
              </w:rPr>
            </w:pPr>
          </w:p>
        </w:tc>
        <w:tc>
          <w:tcPr>
            <w:tcW w:w="120" w:type="dxa"/>
            <w:vAlign w:val="bottom"/>
            <w:shd w:val="clear" w:color="auto" w:fill="EDF5FB"/>
          </w:tcPr>
          <w:p>
            <w:pPr>
              <w:spacing w:after="0"/>
              <w:rPr>
                <w:sz w:val="24"/>
                <w:szCs w:val="24"/>
                <w:color w:val="auto"/>
              </w:rPr>
            </w:pPr>
          </w:p>
        </w:tc>
        <w:tc>
          <w:tcPr>
            <w:tcW w:w="5500" w:type="dxa"/>
            <w:vAlign w:val="bottom"/>
            <w:shd w:val="clear" w:color="auto" w:fill="EDF5FB"/>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-4817110</wp:posOffset>
            </wp:positionV>
            <wp:extent cx="7132320" cy="5126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5126355"/>
                    </a:xfrm>
                    <a:prstGeom prst="rect">
                      <a:avLst/>
                    </a:prstGeom>
                    <a:noFill/>
                  </pic:spPr>
                </pic:pic>
              </a:graphicData>
            </a:graphic>
          </wp:anchor>
        </w:drawing>
      </w:r>
    </w:p>
    <w:p>
      <w:pPr>
        <w:spacing w:after="0" w:line="71" w:lineRule="exact"/>
        <w:rPr>
          <w:sz w:val="20"/>
          <w:szCs w:val="20"/>
          <w:color w:val="auto"/>
        </w:rPr>
      </w:pPr>
    </w:p>
    <w:p>
      <w:pPr>
        <w:ind w:left="340" w:hanging="224"/>
        <w:spacing w:after="0"/>
        <w:tabs>
          <w:tab w:leader="none" w:pos="340" w:val="left"/>
        </w:tabs>
        <w:numPr>
          <w:ilvl w:val="0"/>
          <w:numId w:val="9"/>
        </w:numPr>
        <w:rPr>
          <w:rFonts w:ascii="Arial" w:cs="Arial" w:eastAsia="Arial" w:hAnsi="Arial"/>
          <w:sz w:val="15"/>
          <w:szCs w:val="15"/>
          <w:color w:val="auto"/>
          <w:highlight w:val="white"/>
        </w:rPr>
      </w:pPr>
      <w:r>
        <w:rPr>
          <w:rFonts w:ascii="Arial" w:cs="Arial" w:eastAsia="Arial" w:hAnsi="Arial"/>
          <w:sz w:val="15"/>
          <w:szCs w:val="15"/>
          <w:color w:val="auto"/>
        </w:rPr>
        <w:t>Audit Committee Financial Expert</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020" w:type="dxa"/>
            <w:vAlign w:val="bottom"/>
          </w:tcPr>
          <w:p>
            <w:pPr>
              <w:ind w:left="960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7</w:t>
            </w:r>
          </w:p>
        </w:tc>
      </w:tr>
      <w:tr>
        <w:trPr>
          <w:trHeight w:val="231"/>
        </w:trPr>
        <w:tc>
          <w:tcPr>
            <w:tcW w:w="11020" w:type="dxa"/>
            <w:vAlign w:val="bottom"/>
            <w:tcBorders>
              <w:bottom w:val="single" w:sz="8" w:color="A1A1A1"/>
            </w:tcBorders>
          </w:tcPr>
          <w:p>
            <w:pPr>
              <w:spacing w:after="0"/>
              <w:rPr>
                <w:sz w:val="20"/>
                <w:szCs w:val="20"/>
                <w:color w:val="auto"/>
              </w:rPr>
            </w:pPr>
          </w:p>
        </w:tc>
        <w:tc>
          <w:tcPr>
            <w:tcW w:w="22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color w:val="auto"/>
        </w:rPr>
        <w:t>Board Refreshment</w:t>
      </w:r>
    </w:p>
    <w:p>
      <w:pPr>
        <w:spacing w:after="0" w:line="226"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have added three new independent directors to our Board within the past three years, including Thomas J. Baltimore, Jr. in March 2023, Louise F. Brady in October 2023 and Wonya Y. Lucas in April 2024. Gerald L. Hassell and Maritza G. Montiel stepped down from our Board at our 2024 annual meeting due to having reached our then current retirement age. In connection with our planned spin-off of a strong portfolio of cable networks and complementary digital assets (“SpinCo”), David C. Novak will become Chairman of the Board of Directors of SpinCo upon completion of the spin-off, which is expected to occur by the end of 2025. At such time, Mr. Novak will vacate his current position on our Board.</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color w:val="auto"/>
        </w:rPr>
        <w:t>Director Skills and Experience</w:t>
      </w:r>
    </w:p>
    <w:p>
      <w:pPr>
        <w:spacing w:after="0" w:line="226"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As baseline director qualifications, our Board seeks, and each of our directors possesses, key attributes that we deem critical in being a director, including strong and effective decision-making, communication and leadership skills; high ethical standards, integrity and values; and a commitment to representing the long-term interests of our shareholders. Our Board, and the Governance Committee in turn, also consider certain director qualifications and skills, including those highlighted below, and seek directors that bring to the Board a range of experiences, viewpoints, perspectives, professional knowledge, business expertise, financial expertise, industry knowledge, entrepreneurial background and experience, and high-level business management experience to oversee and address the current issues facing our company.</w:t>
      </w:r>
    </w:p>
    <w:p>
      <w:pPr>
        <w:spacing w:after="0" w:line="182"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Our Board and each of its committees assess their effectiveness as part of their annual self-assessment, which, among other things, evaluates the overall composition of our Board. In evaluating current directors for renomination to the Board or reappointment to Board committees, the Governance Committee considers the director’s performance, as well as the current challenges and needs of the Board and each committee. The Governance Committee further considers each director’s ability to dedicate sufficient time, energy and attention to the fulfillment of his or her duties, including other obligations and commitments and leadership positions on other boards. In accordance with our corporate governance guidelines, an independent director who is a chief executive officer of a public company may serve on the boards of no more than two other public companies in addition to our Board, while all other independent directors may serve on up to four public company boards in total. In renominating directors for election at our 2025 annual meeting, the Governance Committee and Board have determined that each of our director nominees is currently in compliance with our corporate governance guidelines and has sufficient time, energy and attention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132715</wp:posOffset>
            </wp:positionV>
            <wp:extent cx="5623560" cy="34290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2356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color w:val="auto"/>
        </w:rPr>
        <w:t>Director Nominee Biographies</w:t>
      </w:r>
    </w:p>
    <w:p>
      <w:pPr>
        <w:spacing w:after="0" w:line="32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Kenneth J. Bacon</w:t>
      </w:r>
    </w:p>
    <w:p>
      <w:pPr>
        <w:spacing w:after="0" w:line="285"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Partner at RailField Partners</w:t>
      </w:r>
    </w:p>
    <w:p>
      <w:pPr>
        <w:spacing w:after="0" w:line="136" w:lineRule="exact"/>
        <w:rPr>
          <w:sz w:val="20"/>
          <w:szCs w:val="20"/>
          <w:color w:val="auto"/>
        </w:rPr>
      </w:pPr>
    </w:p>
    <w:p>
      <w:pPr>
        <w:ind w:left="164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70</w:t>
      </w:r>
    </w:p>
    <w:p>
      <w:pPr>
        <w:spacing w:after="0" w:line="71" w:lineRule="exact"/>
        <w:rPr>
          <w:sz w:val="20"/>
          <w:szCs w:val="20"/>
          <w:color w:val="auto"/>
        </w:rPr>
      </w:pPr>
    </w:p>
    <w:p>
      <w:pPr>
        <w:ind w:left="164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November 2002</w:t>
      </w:r>
    </w:p>
    <w:p>
      <w:pPr>
        <w:spacing w:after="0" w:line="57" w:lineRule="exact"/>
        <w:rPr>
          <w:sz w:val="20"/>
          <w:szCs w:val="20"/>
          <w:color w:val="auto"/>
        </w:rPr>
      </w:pPr>
    </w:p>
    <w:p>
      <w:pPr>
        <w:ind w:left="164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Governance and Corporate</w:t>
      </w:r>
    </w:p>
    <w:p>
      <w:pPr>
        <w:spacing w:after="0" w:line="6"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Responsibility</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00A0E0"/>
        </w:rPr>
        <w:t>Career Highlights:</w:t>
      </w:r>
    </w:p>
    <w:p>
      <w:pPr>
        <w:spacing w:after="0" w:line="218" w:lineRule="exact"/>
        <w:rPr>
          <w:sz w:val="20"/>
          <w:szCs w:val="20"/>
          <w:color w:val="auto"/>
        </w:rPr>
      </w:pPr>
    </w:p>
    <w:p>
      <w:pPr>
        <w:ind w:left="260" w:hanging="252"/>
        <w:spacing w:after="0" w:line="220" w:lineRule="auto"/>
        <w:tabs>
          <w:tab w:leader="none" w:pos="260" w:val="left"/>
        </w:tabs>
        <w:numPr>
          <w:ilvl w:val="0"/>
          <w:numId w:val="11"/>
        </w:numPr>
        <w:rPr>
          <w:rFonts w:ascii="Arial" w:cs="Arial" w:eastAsia="Arial" w:hAnsi="Arial"/>
          <w:sz w:val="17"/>
          <w:szCs w:val="17"/>
          <w:color w:val="00A0E0"/>
        </w:rPr>
      </w:pPr>
      <w:r>
        <w:rPr>
          <w:rFonts w:ascii="Arial" w:cs="Arial" w:eastAsia="Arial" w:hAnsi="Arial"/>
          <w:sz w:val="15"/>
          <w:szCs w:val="15"/>
          <w:color w:val="auto"/>
        </w:rPr>
        <w:t>Partner, RailField Partners, a financial advisory and asset management firm, 2012 – Present</w:t>
      </w:r>
    </w:p>
    <w:p>
      <w:pPr>
        <w:ind w:left="260" w:right="40" w:hanging="252"/>
        <w:spacing w:after="0" w:line="227" w:lineRule="auto"/>
        <w:tabs>
          <w:tab w:leader="none" w:pos="260" w:val="left"/>
        </w:tabs>
        <w:numPr>
          <w:ilvl w:val="0"/>
          <w:numId w:val="11"/>
        </w:numPr>
        <w:rPr>
          <w:rFonts w:ascii="Arial" w:cs="Arial" w:eastAsia="Arial" w:hAnsi="Arial"/>
          <w:sz w:val="17"/>
          <w:szCs w:val="17"/>
          <w:color w:val="00A0E0"/>
        </w:rPr>
      </w:pPr>
      <w:r>
        <w:rPr>
          <w:rFonts w:ascii="Arial" w:cs="Arial" w:eastAsia="Arial" w:hAnsi="Arial"/>
          <w:sz w:val="15"/>
          <w:szCs w:val="15"/>
          <w:color w:val="auto"/>
        </w:rPr>
        <w:t>Executive Vice President, multifamily mortgage business, Fannie Mae, 2005 – 2012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0A0E0"/>
        </w:rPr>
        <w:t>Skills and Qualifications: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180"/>
        <w:spacing w:after="0"/>
        <w:rPr>
          <w:sz w:val="20"/>
          <w:szCs w:val="20"/>
          <w:color w:val="auto"/>
        </w:rPr>
      </w:pP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-210185</wp:posOffset>
            </wp:positionV>
            <wp:extent cx="7132320" cy="13290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290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Current Public Company Directorships:</w:t>
      </w:r>
    </w:p>
    <w:p>
      <w:pPr>
        <w:spacing w:after="0" w:line="233" w:lineRule="auto"/>
        <w:rPr>
          <w:sz w:val="20"/>
          <w:szCs w:val="20"/>
          <w:color w:val="auto"/>
        </w:rPr>
      </w:pPr>
      <w:r>
        <w:rPr>
          <w:rFonts w:ascii="Arial" w:cs="Arial" w:eastAsia="Arial" w:hAnsi="Arial"/>
          <w:sz w:val="15"/>
          <w:szCs w:val="15"/>
          <w:color w:val="auto"/>
        </w:rPr>
        <w:t>Ally Financial Inc., Arbor Realty Trust, Inc.,</w:t>
      </w:r>
    </w:p>
    <w:p>
      <w:pPr>
        <w:spacing w:after="0"/>
        <w:rPr>
          <w:sz w:val="20"/>
          <w:szCs w:val="20"/>
          <w:color w:val="auto"/>
        </w:rPr>
      </w:pPr>
      <w:r>
        <w:rPr>
          <w:rFonts w:ascii="Arial" w:cs="Arial" w:eastAsia="Arial" w:hAnsi="Arial"/>
          <w:sz w:val="15"/>
          <w:szCs w:val="15"/>
          <w:color w:val="auto"/>
        </w:rPr>
        <w:t>Welltower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80" w:right="200" w:hanging="251"/>
        <w:spacing w:after="0" w:line="220" w:lineRule="auto"/>
        <w:tabs>
          <w:tab w:leader="none" w:pos="580" w:val="left"/>
        </w:tabs>
        <w:numPr>
          <w:ilvl w:val="0"/>
          <w:numId w:val="12"/>
        </w:numPr>
        <w:rPr>
          <w:rFonts w:ascii="Arial" w:cs="Arial" w:eastAsia="Arial" w:hAnsi="Arial"/>
          <w:sz w:val="17"/>
          <w:szCs w:val="17"/>
          <w:color w:val="00A0E0"/>
        </w:rPr>
      </w:pPr>
      <w:r>
        <w:rPr>
          <w:rFonts w:ascii="Arial" w:cs="Arial" w:eastAsia="Arial" w:hAnsi="Arial"/>
          <w:sz w:val="15"/>
          <w:szCs w:val="15"/>
          <w:color w:val="auto"/>
        </w:rPr>
        <w:t>Interim Executive Vice President, Housing and Community Development, Fannie Mae, January 2005 – July 2005</w:t>
      </w:r>
    </w:p>
    <w:p>
      <w:pPr>
        <w:ind w:left="580" w:hanging="251"/>
        <w:spacing w:after="0" w:line="228" w:lineRule="auto"/>
        <w:tabs>
          <w:tab w:leader="none" w:pos="580" w:val="left"/>
        </w:tabs>
        <w:numPr>
          <w:ilvl w:val="0"/>
          <w:numId w:val="12"/>
        </w:numPr>
        <w:rPr>
          <w:rFonts w:ascii="Arial" w:cs="Arial" w:eastAsia="Arial" w:hAnsi="Arial"/>
          <w:sz w:val="17"/>
          <w:szCs w:val="17"/>
          <w:color w:val="00A0E0"/>
        </w:rPr>
      </w:pPr>
      <w:r>
        <w:rPr>
          <w:rFonts w:ascii="Arial" w:cs="Arial" w:eastAsia="Arial" w:hAnsi="Arial"/>
          <w:sz w:val="15"/>
          <w:szCs w:val="15"/>
          <w:color w:val="auto"/>
        </w:rPr>
        <w:t>Member, National Multifamily Housing Council</w:t>
      </w:r>
    </w:p>
    <w:p>
      <w:pPr>
        <w:spacing w:after="0" w:line="727" w:lineRule="exact"/>
        <w:rPr>
          <w:sz w:val="20"/>
          <w:szCs w:val="20"/>
          <w:color w:val="auto"/>
        </w:rPr>
      </w:pPr>
    </w:p>
    <w:p>
      <w:pPr>
        <w:sectPr>
          <w:pgSz w:w="11900" w:h="16838" w:orient="portrait"/>
          <w:cols w:equalWidth="0" w:num="2">
            <w:col w:w="5080" w:space="440"/>
            <w:col w:w="5720"/>
          </w:cols>
          <w:pgMar w:left="320" w:top="122" w:right="339" w:bottom="1440" w:gutter="0" w:footer="0" w:header="0"/>
        </w:sectPr>
      </w:pPr>
    </w:p>
    <w:p>
      <w:pPr>
        <w:spacing w:after="0" w:line="18" w:lineRule="exact"/>
        <w:rPr>
          <w:sz w:val="20"/>
          <w:szCs w:val="20"/>
          <w:color w:val="auto"/>
        </w:rPr>
      </w:pPr>
    </w:p>
    <w:p>
      <w:pPr>
        <w:ind w:right="40"/>
        <w:spacing w:after="0" w:line="233" w:lineRule="auto"/>
        <w:rPr>
          <w:sz w:val="20"/>
          <w:szCs w:val="20"/>
          <w:color w:val="auto"/>
        </w:rPr>
      </w:pPr>
      <w:r>
        <w:rPr>
          <w:rFonts w:ascii="Arial" w:cs="Arial" w:eastAsia="Arial" w:hAnsi="Arial"/>
          <w:sz w:val="15"/>
          <w:szCs w:val="15"/>
          <w:color w:val="auto"/>
        </w:rPr>
        <w:t>Mr. Bacon has held executive roles across the financial services, real estate and housing industries, currently as a partner at RailField Partners. He previously held various leadership roles at Fannie Mae, a leading source of mortgage financing across the United States, where he oversaw a portfolio of nearly $200 billion in assets and ran the company’s multifamily division, affordable lending and community development initiatives. As an industry veteran and seasoned leader in the housing market and multifamily asset class, Mr. Bacon is deeply acquainted with regulatory affairs at federal, state and municipal levels. This background enables him to provide unique perspectives in discussions of how regulatory affairs and government relations impact our business broadly. Mr. Bacon’s deep experience in finance and risk management oversight enables him to contribute to our Governance Committee’s oversight of our compliance and privacy programs. His ongoing service on other public company boards of directors allows him to bring a multi-faceted view on current events and emerging governance-related areas of focus.</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1480" w:type="dxa"/>
            <w:vAlign w:val="bottom"/>
            <w:vMerge w:val="restart"/>
          </w:tcPr>
          <w:p>
            <w:pPr>
              <w:spacing w:after="0"/>
              <w:rPr>
                <w:sz w:val="20"/>
                <w:szCs w:val="20"/>
                <w:color w:val="auto"/>
              </w:rPr>
            </w:pPr>
            <w:r>
              <w:rPr>
                <w:rFonts w:ascii="Arial" w:cs="Arial" w:eastAsia="Arial" w:hAnsi="Arial"/>
                <w:sz w:val="15"/>
                <w:szCs w:val="15"/>
                <w:color w:val="auto"/>
              </w:rPr>
              <w:t>Executive</w:t>
            </w:r>
          </w:p>
        </w:tc>
        <w:tc>
          <w:tcPr>
            <w:tcW w:w="2200" w:type="dxa"/>
            <w:vAlign w:val="bottom"/>
            <w:vMerge w:val="restart"/>
          </w:tcPr>
          <w:p>
            <w:pPr>
              <w:ind w:left="720"/>
              <w:spacing w:after="0"/>
              <w:rPr>
                <w:sz w:val="20"/>
                <w:szCs w:val="20"/>
                <w:color w:val="auto"/>
              </w:rPr>
            </w:pPr>
            <w:r>
              <w:rPr>
                <w:rFonts w:ascii="Arial" w:cs="Arial" w:eastAsia="Arial" w:hAnsi="Arial"/>
                <w:sz w:val="15"/>
                <w:szCs w:val="15"/>
                <w:color w:val="auto"/>
              </w:rPr>
              <w:t>Financial/</w:t>
            </w:r>
          </w:p>
        </w:tc>
        <w:tc>
          <w:tcPr>
            <w:tcW w:w="2520" w:type="dxa"/>
            <w:vAlign w:val="bottom"/>
            <w:vMerge w:val="restart"/>
          </w:tcPr>
          <w:p>
            <w:pPr>
              <w:ind w:left="720"/>
              <w:spacing w:after="0"/>
              <w:rPr>
                <w:sz w:val="20"/>
                <w:szCs w:val="20"/>
                <w:color w:val="auto"/>
              </w:rPr>
            </w:pPr>
            <w:r>
              <w:rPr>
                <w:rFonts w:ascii="Arial" w:cs="Arial" w:eastAsia="Arial" w:hAnsi="Arial"/>
                <w:sz w:val="15"/>
                <w:szCs w:val="15"/>
                <w:color w:val="auto"/>
              </w:rPr>
              <w:t>Risk Management</w:t>
            </w:r>
          </w:p>
        </w:tc>
        <w:tc>
          <w:tcPr>
            <w:tcW w:w="2120" w:type="dxa"/>
            <w:vAlign w:val="bottom"/>
            <w:vMerge w:val="restart"/>
          </w:tcPr>
          <w:p>
            <w:pPr>
              <w:ind w:left="580"/>
              <w:spacing w:after="0"/>
              <w:rPr>
                <w:sz w:val="20"/>
                <w:szCs w:val="20"/>
                <w:color w:val="auto"/>
              </w:rPr>
            </w:pPr>
            <w:r>
              <w:rPr>
                <w:rFonts w:ascii="Arial" w:cs="Arial" w:eastAsia="Arial" w:hAnsi="Arial"/>
                <w:sz w:val="15"/>
                <w:szCs w:val="15"/>
                <w:color w:val="auto"/>
              </w:rPr>
              <w:t>Government</w:t>
            </w:r>
          </w:p>
        </w:tc>
        <w:tc>
          <w:tcPr>
            <w:tcW w:w="1580" w:type="dxa"/>
            <w:vAlign w:val="bottom"/>
          </w:tcPr>
          <w:p>
            <w:pPr>
              <w:ind w:left="700"/>
              <w:spacing w:after="0"/>
              <w:rPr>
                <w:sz w:val="20"/>
                <w:szCs w:val="20"/>
                <w:color w:val="auto"/>
              </w:rPr>
            </w:pPr>
            <w:r>
              <w:rPr>
                <w:rFonts w:ascii="Arial" w:cs="Arial" w:eastAsia="Arial" w:hAnsi="Arial"/>
                <w:sz w:val="15"/>
                <w:szCs w:val="15"/>
                <w:color w:val="auto"/>
              </w:rPr>
              <w:t>Non-Profit/</w:t>
            </w: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2200" w:type="dxa"/>
            <w:vAlign w:val="bottom"/>
            <w:vMerge w:val="continue"/>
          </w:tcPr>
          <w:p>
            <w:pPr>
              <w:spacing w:after="0"/>
              <w:rPr>
                <w:sz w:val="7"/>
                <w:szCs w:val="7"/>
                <w:color w:val="auto"/>
              </w:rPr>
            </w:pPr>
          </w:p>
        </w:tc>
        <w:tc>
          <w:tcPr>
            <w:tcW w:w="252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1580" w:type="dxa"/>
            <w:vAlign w:val="bottom"/>
            <w:vMerge w:val="restart"/>
          </w:tcPr>
          <w:p>
            <w:pPr>
              <w:ind w:left="700"/>
              <w:spacing w:after="0" w:line="162" w:lineRule="exact"/>
              <w:rPr>
                <w:sz w:val="20"/>
                <w:szCs w:val="20"/>
                <w:color w:val="auto"/>
              </w:rPr>
            </w:pPr>
            <w:r>
              <w:rPr>
                <w:rFonts w:ascii="Arial" w:cs="Arial" w:eastAsia="Arial" w:hAnsi="Arial"/>
                <w:sz w:val="15"/>
                <w:szCs w:val="15"/>
                <w:color w:val="auto"/>
              </w:rPr>
              <w:t>Educational/</w:t>
            </w:r>
          </w:p>
        </w:tc>
        <w:tc>
          <w:tcPr>
            <w:tcW w:w="0" w:type="dxa"/>
            <w:vAlign w:val="bottom"/>
          </w:tcPr>
          <w:p>
            <w:pPr>
              <w:spacing w:after="0"/>
              <w:rPr>
                <w:sz w:val="1"/>
                <w:szCs w:val="1"/>
                <w:color w:val="auto"/>
              </w:rPr>
            </w:pPr>
          </w:p>
        </w:tc>
      </w:tr>
      <w:tr>
        <w:trPr>
          <w:trHeight w:val="81"/>
        </w:trPr>
        <w:tc>
          <w:tcPr>
            <w:tcW w:w="1480" w:type="dxa"/>
            <w:vAlign w:val="bottom"/>
            <w:vMerge w:val="restart"/>
          </w:tcPr>
          <w:p>
            <w:pPr>
              <w:spacing w:after="0"/>
              <w:rPr>
                <w:sz w:val="20"/>
                <w:szCs w:val="20"/>
                <w:color w:val="auto"/>
              </w:rPr>
            </w:pPr>
            <w:r>
              <w:rPr>
                <w:rFonts w:ascii="Arial" w:cs="Arial" w:eastAsia="Arial" w:hAnsi="Arial"/>
                <w:sz w:val="15"/>
                <w:szCs w:val="15"/>
                <w:color w:val="auto"/>
              </w:rPr>
              <w:t>Leadership</w:t>
            </w:r>
          </w:p>
        </w:tc>
        <w:tc>
          <w:tcPr>
            <w:tcW w:w="2200" w:type="dxa"/>
            <w:vAlign w:val="bottom"/>
            <w:vMerge w:val="restart"/>
          </w:tcPr>
          <w:p>
            <w:pPr>
              <w:ind w:left="720"/>
              <w:spacing w:after="0"/>
              <w:rPr>
                <w:sz w:val="20"/>
                <w:szCs w:val="20"/>
                <w:color w:val="auto"/>
              </w:rPr>
            </w:pPr>
            <w:r>
              <w:rPr>
                <w:rFonts w:ascii="Arial" w:cs="Arial" w:eastAsia="Arial" w:hAnsi="Arial"/>
                <w:sz w:val="15"/>
                <w:szCs w:val="15"/>
                <w:color w:val="auto"/>
              </w:rPr>
              <w:t>Accounting</w:t>
            </w:r>
          </w:p>
        </w:tc>
        <w:tc>
          <w:tcPr>
            <w:tcW w:w="2520" w:type="dxa"/>
            <w:vAlign w:val="bottom"/>
            <w:vMerge w:val="restart"/>
          </w:tcPr>
          <w:p>
            <w:pPr>
              <w:ind w:left="720"/>
              <w:spacing w:after="0"/>
              <w:rPr>
                <w:sz w:val="20"/>
                <w:szCs w:val="20"/>
                <w:color w:val="auto"/>
              </w:rPr>
            </w:pPr>
            <w:r>
              <w:rPr>
                <w:rFonts w:ascii="Arial" w:cs="Arial" w:eastAsia="Arial" w:hAnsi="Arial"/>
                <w:sz w:val="15"/>
                <w:szCs w:val="15"/>
                <w:color w:val="auto"/>
              </w:rPr>
              <w:t>Oversight</w:t>
            </w:r>
          </w:p>
        </w:tc>
        <w:tc>
          <w:tcPr>
            <w:tcW w:w="2120" w:type="dxa"/>
            <w:vAlign w:val="bottom"/>
            <w:vMerge w:val="restart"/>
          </w:tcPr>
          <w:p>
            <w:pPr>
              <w:ind w:left="580"/>
              <w:spacing w:after="0"/>
              <w:rPr>
                <w:sz w:val="20"/>
                <w:szCs w:val="20"/>
                <w:color w:val="auto"/>
              </w:rPr>
            </w:pPr>
            <w:r>
              <w:rPr>
                <w:rFonts w:ascii="Arial" w:cs="Arial" w:eastAsia="Arial" w:hAnsi="Arial"/>
                <w:sz w:val="15"/>
                <w:szCs w:val="15"/>
                <w:color w:val="auto"/>
              </w:rPr>
              <w:t>Affairs</w:t>
            </w: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480" w:type="dxa"/>
            <w:vAlign w:val="bottom"/>
            <w:vMerge w:val="continue"/>
          </w:tcPr>
          <w:p>
            <w:pPr>
              <w:spacing w:after="0"/>
              <w:rPr>
                <w:sz w:val="10"/>
                <w:szCs w:val="10"/>
                <w:color w:val="auto"/>
              </w:rPr>
            </w:pPr>
          </w:p>
        </w:tc>
        <w:tc>
          <w:tcPr>
            <w:tcW w:w="220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1580" w:type="dxa"/>
            <w:vAlign w:val="bottom"/>
            <w:vMerge w:val="restart"/>
          </w:tcPr>
          <w:p>
            <w:pPr>
              <w:ind w:left="700"/>
              <w:spacing w:after="0"/>
              <w:rPr>
                <w:sz w:val="20"/>
                <w:szCs w:val="20"/>
                <w:color w:val="auto"/>
              </w:rPr>
            </w:pPr>
            <w:r>
              <w:rPr>
                <w:rFonts w:ascii="Arial" w:cs="Arial" w:eastAsia="Arial" w:hAnsi="Arial"/>
                <w:sz w:val="15"/>
                <w:szCs w:val="15"/>
                <w:color w:val="auto"/>
                <w:w w:val="99"/>
              </w:rPr>
              <w:t>Philanthropic</w:t>
            </w:r>
          </w:p>
        </w:tc>
        <w:tc>
          <w:tcPr>
            <w:tcW w:w="0" w:type="dxa"/>
            <w:vAlign w:val="bottom"/>
          </w:tcPr>
          <w:p>
            <w:pPr>
              <w:spacing w:after="0"/>
              <w:rPr>
                <w:sz w:val="1"/>
                <w:szCs w:val="1"/>
                <w:color w:val="auto"/>
              </w:rPr>
            </w:pPr>
          </w:p>
        </w:tc>
      </w:tr>
      <w:tr>
        <w:trPr>
          <w:trHeight w:val="81"/>
        </w:trPr>
        <w:tc>
          <w:tcPr>
            <w:tcW w:w="14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291465" cy="316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1465" cy="31686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-313055</wp:posOffset>
            </wp:positionV>
            <wp:extent cx="291465"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-313055</wp:posOffset>
            </wp:positionV>
            <wp:extent cx="291465" cy="291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-313055</wp:posOffset>
            </wp:positionV>
            <wp:extent cx="291465" cy="291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-304165</wp:posOffset>
            </wp:positionV>
            <wp:extent cx="291465"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4540" w:type="dxa"/>
            <w:vAlign w:val="bottom"/>
            <w:shd w:val="clear" w:color="auto" w:fill="00A0E0"/>
          </w:tcPr>
          <w:p>
            <w:pPr>
              <w:ind w:left="180"/>
              <w:spacing w:after="0"/>
              <w:rPr>
                <w:sz w:val="20"/>
                <w:szCs w:val="20"/>
                <w:color w:val="auto"/>
              </w:rPr>
            </w:pPr>
            <w:r>
              <w:rPr>
                <w:rFonts w:ascii="Arial" w:cs="Arial" w:eastAsia="Arial" w:hAnsi="Arial"/>
                <w:sz w:val="22"/>
                <w:szCs w:val="22"/>
                <w:b w:val="1"/>
                <w:bCs w:val="1"/>
                <w:color w:val="FFFFFF"/>
              </w:rPr>
              <w:t>Thomas J. Baltimore, Jr.</w:t>
            </w:r>
          </w:p>
        </w:tc>
        <w:tc>
          <w:tcPr>
            <w:tcW w:w="6700" w:type="dxa"/>
            <w:vAlign w:val="bottom"/>
            <w:shd w:val="clear" w:color="auto" w:fill="00A0E0"/>
          </w:tcPr>
          <w:p>
            <w:pPr>
              <w:ind w:left="5560"/>
              <w:spacing w:after="0"/>
              <w:rPr>
                <w:sz w:val="20"/>
                <w:szCs w:val="20"/>
                <w:color w:val="auto"/>
              </w:rPr>
            </w:pPr>
            <w:r>
              <w:rPr>
                <w:rFonts w:ascii="Arial" w:cs="Arial" w:eastAsia="Arial" w:hAnsi="Arial"/>
                <w:sz w:val="16"/>
                <w:szCs w:val="16"/>
                <w:b w:val="1"/>
                <w:bCs w:val="1"/>
                <w:color w:val="FFFFFF"/>
              </w:rPr>
              <w:t>Independent</w:t>
            </w:r>
          </w:p>
        </w:tc>
        <w:tc>
          <w:tcPr>
            <w:tcW w:w="0" w:type="dxa"/>
            <w:vAlign w:val="bottom"/>
          </w:tcPr>
          <w:p>
            <w:pPr>
              <w:spacing w:after="0"/>
              <w:rPr>
                <w:sz w:val="1"/>
                <w:szCs w:val="1"/>
                <w:color w:val="auto"/>
              </w:rPr>
            </w:pPr>
          </w:p>
        </w:tc>
      </w:tr>
      <w:tr>
        <w:trPr>
          <w:trHeight w:val="82"/>
        </w:trPr>
        <w:tc>
          <w:tcPr>
            <w:tcW w:w="11240" w:type="dxa"/>
            <w:vAlign w:val="bottom"/>
            <w:gridSpan w:val="2"/>
            <w:shd w:val="clear" w:color="auto" w:fill="00A0E0"/>
          </w:tcPr>
          <w:p>
            <w:pPr>
              <w:spacing w:after="0"/>
              <w:rPr>
                <w:sz w:val="7"/>
                <w:szCs w:val="7"/>
                <w:color w:val="auto"/>
              </w:rPr>
            </w:pPr>
          </w:p>
        </w:tc>
        <w:tc>
          <w:tcPr>
            <w:tcW w:w="0" w:type="dxa"/>
            <w:vAlign w:val="bottom"/>
          </w:tcPr>
          <w:p>
            <w:pPr>
              <w:spacing w:after="0"/>
              <w:rPr>
                <w:sz w:val="1"/>
                <w:szCs w:val="1"/>
                <w:color w:val="auto"/>
              </w:rPr>
            </w:pPr>
          </w:p>
        </w:tc>
      </w:tr>
      <w:tr>
        <w:trPr>
          <w:trHeight w:val="358"/>
        </w:trPr>
        <w:tc>
          <w:tcPr>
            <w:tcW w:w="11240" w:type="dxa"/>
            <w:vAlign w:val="bottom"/>
            <w:gridSpan w:val="2"/>
          </w:tcPr>
          <w:p>
            <w:pPr>
              <w:ind w:left="1640"/>
              <w:spacing w:after="0"/>
              <w:rPr>
                <w:sz w:val="20"/>
                <w:szCs w:val="20"/>
                <w:color w:val="auto"/>
              </w:rPr>
            </w:pPr>
            <w:r>
              <w:rPr>
                <w:rFonts w:ascii="Arial" w:cs="Arial" w:eastAsia="Arial" w:hAnsi="Arial"/>
                <w:sz w:val="15"/>
                <w:szCs w:val="15"/>
                <w:color w:val="auto"/>
              </w:rPr>
              <w:t>Chairman, President and Chief Executive Officer of Park Hotels &amp; Resorts</w:t>
            </w:r>
          </w:p>
        </w:tc>
        <w:tc>
          <w:tcPr>
            <w:tcW w:w="0" w:type="dxa"/>
            <w:vAlign w:val="bottom"/>
          </w:tcPr>
          <w:p>
            <w:pPr>
              <w:spacing w:after="0"/>
              <w:rPr>
                <w:sz w:val="1"/>
                <w:szCs w:val="1"/>
                <w:color w:val="auto"/>
              </w:rPr>
            </w:pPr>
          </w:p>
        </w:tc>
      </w:tr>
      <w:tr>
        <w:trPr>
          <w:trHeight w:val="245"/>
        </w:trPr>
        <w:tc>
          <w:tcPr>
            <w:tcW w:w="4540" w:type="dxa"/>
            <w:vAlign w:val="bottom"/>
          </w:tcPr>
          <w:p>
            <w:pPr>
              <w:ind w:left="164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61</w:t>
            </w:r>
          </w:p>
        </w:tc>
        <w:tc>
          <w:tcPr>
            <w:tcW w:w="6700" w:type="dxa"/>
            <w:vAlign w:val="bottom"/>
          </w:tcPr>
          <w:p>
            <w:pPr>
              <w:ind w:left="980"/>
              <w:spacing w:after="0"/>
              <w:rPr>
                <w:sz w:val="20"/>
                <w:szCs w:val="20"/>
                <w:color w:val="auto"/>
              </w:rPr>
            </w:pPr>
            <w:r>
              <w:rPr>
                <w:rFonts w:ascii="Arial" w:cs="Arial" w:eastAsia="Arial" w:hAnsi="Arial"/>
                <w:sz w:val="15"/>
                <w:szCs w:val="15"/>
                <w:b w:val="1"/>
                <w:bCs w:val="1"/>
                <w:color w:val="auto"/>
              </w:rPr>
              <w:t>Other Current Public Company Directorships:</w:t>
            </w:r>
          </w:p>
        </w:tc>
        <w:tc>
          <w:tcPr>
            <w:tcW w:w="0" w:type="dxa"/>
            <w:vAlign w:val="bottom"/>
          </w:tcPr>
          <w:p>
            <w:pPr>
              <w:spacing w:after="0"/>
              <w:rPr>
                <w:sz w:val="1"/>
                <w:szCs w:val="1"/>
                <w:color w:val="auto"/>
              </w:rPr>
            </w:pPr>
          </w:p>
        </w:tc>
      </w:tr>
      <w:tr>
        <w:trPr>
          <w:trHeight w:val="162"/>
        </w:trPr>
        <w:tc>
          <w:tcPr>
            <w:tcW w:w="4540" w:type="dxa"/>
            <w:vAlign w:val="bottom"/>
            <w:vMerge w:val="restart"/>
          </w:tcPr>
          <w:p>
            <w:pPr>
              <w:ind w:left="164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March 2023</w:t>
            </w:r>
          </w:p>
        </w:tc>
        <w:tc>
          <w:tcPr>
            <w:tcW w:w="6700" w:type="dxa"/>
            <w:vAlign w:val="bottom"/>
          </w:tcPr>
          <w:p>
            <w:pPr>
              <w:ind w:left="980"/>
              <w:spacing w:after="0" w:line="162" w:lineRule="exact"/>
              <w:rPr>
                <w:sz w:val="20"/>
                <w:szCs w:val="20"/>
                <w:color w:val="auto"/>
              </w:rPr>
            </w:pPr>
            <w:r>
              <w:rPr>
                <w:rFonts w:ascii="Arial" w:cs="Arial" w:eastAsia="Arial" w:hAnsi="Arial"/>
                <w:sz w:val="15"/>
                <w:szCs w:val="15"/>
                <w:color w:val="auto"/>
              </w:rPr>
              <w:t>American Express Company,</w:t>
            </w:r>
          </w:p>
        </w:tc>
        <w:tc>
          <w:tcPr>
            <w:tcW w:w="0" w:type="dxa"/>
            <w:vAlign w:val="bottom"/>
          </w:tcPr>
          <w:p>
            <w:pPr>
              <w:spacing w:after="0"/>
              <w:rPr>
                <w:sz w:val="1"/>
                <w:szCs w:val="1"/>
                <w:color w:val="auto"/>
              </w:rPr>
            </w:pPr>
          </w:p>
        </w:tc>
      </w:tr>
      <w:tr>
        <w:trPr>
          <w:trHeight w:val="114"/>
        </w:trPr>
        <w:tc>
          <w:tcPr>
            <w:tcW w:w="4540" w:type="dxa"/>
            <w:vAlign w:val="bottom"/>
            <w:vMerge w:val="continue"/>
          </w:tcPr>
          <w:p>
            <w:pPr>
              <w:spacing w:after="0"/>
              <w:rPr>
                <w:sz w:val="9"/>
                <w:szCs w:val="9"/>
                <w:color w:val="auto"/>
              </w:rPr>
            </w:pPr>
          </w:p>
        </w:tc>
        <w:tc>
          <w:tcPr>
            <w:tcW w:w="6700" w:type="dxa"/>
            <w:vAlign w:val="bottom"/>
            <w:vMerge w:val="restart"/>
          </w:tcPr>
          <w:p>
            <w:pPr>
              <w:ind w:left="980"/>
              <w:spacing w:after="0" w:line="163" w:lineRule="exact"/>
              <w:rPr>
                <w:sz w:val="20"/>
                <w:szCs w:val="20"/>
                <w:color w:val="auto"/>
              </w:rPr>
            </w:pPr>
            <w:r>
              <w:rPr>
                <w:rFonts w:ascii="Arial" w:cs="Arial" w:eastAsia="Arial" w:hAnsi="Arial"/>
                <w:sz w:val="15"/>
                <w:szCs w:val="15"/>
                <w:color w:val="auto"/>
              </w:rPr>
              <w:t>Park Hotels &amp; Resorts, Inc.</w:t>
            </w:r>
          </w:p>
        </w:tc>
        <w:tc>
          <w:tcPr>
            <w:tcW w:w="0" w:type="dxa"/>
            <w:vAlign w:val="bottom"/>
          </w:tcPr>
          <w:p>
            <w:pPr>
              <w:spacing w:after="0"/>
              <w:rPr>
                <w:sz w:val="1"/>
                <w:szCs w:val="1"/>
                <w:color w:val="auto"/>
              </w:rPr>
            </w:pPr>
          </w:p>
        </w:tc>
      </w:tr>
      <w:tr>
        <w:trPr>
          <w:trHeight w:val="49"/>
        </w:trPr>
        <w:tc>
          <w:tcPr>
            <w:tcW w:w="4540" w:type="dxa"/>
            <w:vAlign w:val="bottom"/>
          </w:tcPr>
          <w:p>
            <w:pPr>
              <w:spacing w:after="0"/>
              <w:rPr>
                <w:sz w:val="4"/>
                <w:szCs w:val="4"/>
                <w:color w:val="auto"/>
              </w:rPr>
            </w:pPr>
          </w:p>
        </w:tc>
        <w:tc>
          <w:tcPr>
            <w:tcW w:w="6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028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ind w:left="1640"/>
        <w:spacing w:after="0" w:line="181" w:lineRule="auto"/>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auto"/>
        </w:rPr>
        <w:t>Compensation and Human Capital</w:t>
      </w:r>
    </w:p>
    <w:p>
      <w:pPr>
        <w:ind w:left="5520"/>
        <w:spacing w:after="0" w:line="225" w:lineRule="auto"/>
        <w:rPr>
          <w:sz w:val="20"/>
          <w:szCs w:val="20"/>
          <w:color w:val="auto"/>
        </w:rPr>
      </w:pPr>
      <w:r>
        <w:rPr>
          <w:rFonts w:ascii="Arial" w:cs="Arial" w:eastAsia="Arial" w:hAnsi="Arial"/>
          <w:sz w:val="15"/>
          <w:szCs w:val="15"/>
          <w:b w:val="1"/>
          <w:bCs w:val="1"/>
          <w:color w:val="auto"/>
        </w:rPr>
        <w:t>Former Public Company Directorships:</w:t>
      </w:r>
    </w:p>
    <w:p>
      <w:pPr>
        <w:ind w:left="5520"/>
        <w:spacing w:after="0"/>
        <w:rPr>
          <w:sz w:val="20"/>
          <w:szCs w:val="20"/>
          <w:color w:val="auto"/>
        </w:rPr>
      </w:pPr>
      <w:r>
        <w:rPr>
          <w:rFonts w:ascii="Arial" w:cs="Arial" w:eastAsia="Arial" w:hAnsi="Arial"/>
          <w:sz w:val="15"/>
          <w:szCs w:val="15"/>
          <w:color w:val="auto"/>
        </w:rPr>
        <w:t>AutoNation, Inc., Prudential Financial,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00A0E0"/>
        </w:rPr>
        <w:t>Career Highlights:</w:t>
      </w:r>
    </w:p>
    <w:p>
      <w:pPr>
        <w:sectPr>
          <w:pgSz w:w="11900" w:h="16838" w:orient="portrait"/>
          <w:cols w:equalWidth="0" w:num="1">
            <w:col w:w="11240"/>
          </w:cols>
          <w:pgMar w:left="320" w:top="122" w:right="339" w:bottom="1440" w:gutter="0" w:footer="0" w:header="0"/>
          <w:type w:val="continuous"/>
        </w:sectPr>
      </w:pPr>
    </w:p>
    <w:p>
      <w:pPr>
        <w:spacing w:after="0" w:line="218" w:lineRule="exact"/>
        <w:rPr>
          <w:sz w:val="20"/>
          <w:szCs w:val="20"/>
          <w:color w:val="auto"/>
        </w:rPr>
      </w:pPr>
    </w:p>
    <w:p>
      <w:pPr>
        <w:ind w:left="260" w:hanging="252"/>
        <w:spacing w:after="0" w:line="220" w:lineRule="auto"/>
        <w:tabs>
          <w:tab w:leader="none" w:pos="260" w:val="left"/>
        </w:tabs>
        <w:numPr>
          <w:ilvl w:val="0"/>
          <w:numId w:val="13"/>
        </w:numPr>
        <w:rPr>
          <w:rFonts w:ascii="Arial" w:cs="Arial" w:eastAsia="Arial" w:hAnsi="Arial"/>
          <w:sz w:val="17"/>
          <w:szCs w:val="17"/>
          <w:color w:val="00A0E0"/>
        </w:rPr>
      </w:pPr>
      <w:r>
        <w:rPr>
          <w:rFonts w:ascii="Arial" w:cs="Arial" w:eastAsia="Arial" w:hAnsi="Arial"/>
          <w:sz w:val="15"/>
          <w:szCs w:val="15"/>
          <w:color w:val="auto"/>
        </w:rPr>
        <w:t>Chairman, President and Chief Executive Officer of Park Hotels &amp; Resorts, Inc., a lodging and real estate investment trust, 2017 – Present</w:t>
      </w:r>
    </w:p>
    <w:p>
      <w:pPr>
        <w:ind w:left="260" w:right="100" w:hanging="252"/>
        <w:spacing w:after="0" w:line="211" w:lineRule="auto"/>
        <w:tabs>
          <w:tab w:leader="none" w:pos="260" w:val="left"/>
        </w:tabs>
        <w:numPr>
          <w:ilvl w:val="0"/>
          <w:numId w:val="13"/>
        </w:numPr>
        <w:rPr>
          <w:rFonts w:ascii="Arial" w:cs="Arial" w:eastAsia="Arial" w:hAnsi="Arial"/>
          <w:sz w:val="17"/>
          <w:szCs w:val="17"/>
          <w:color w:val="00A0E0"/>
        </w:rPr>
      </w:pPr>
      <w:r>
        <w:rPr>
          <w:rFonts w:ascii="Arial" w:cs="Arial" w:eastAsia="Arial" w:hAnsi="Arial"/>
          <w:sz w:val="15"/>
          <w:szCs w:val="15"/>
          <w:color w:val="auto"/>
        </w:rPr>
        <w:t>President, Chief Executive Officer and Member of Board of Trustees, RLJ Lodging Trust, 2011 – 2016</w:t>
      </w:r>
    </w:p>
    <w:p>
      <w:pPr>
        <w:ind w:left="260" w:hanging="252"/>
        <w:spacing w:after="0" w:line="228" w:lineRule="auto"/>
        <w:tabs>
          <w:tab w:leader="none" w:pos="260" w:val="left"/>
        </w:tabs>
        <w:numPr>
          <w:ilvl w:val="0"/>
          <w:numId w:val="13"/>
        </w:numPr>
        <w:rPr>
          <w:rFonts w:ascii="Arial" w:cs="Arial" w:eastAsia="Arial" w:hAnsi="Arial"/>
          <w:sz w:val="17"/>
          <w:szCs w:val="17"/>
          <w:color w:val="00A0E0"/>
        </w:rPr>
      </w:pPr>
      <w:r>
        <w:rPr>
          <w:rFonts w:ascii="Arial" w:cs="Arial" w:eastAsia="Arial" w:hAnsi="Arial"/>
          <w:sz w:val="15"/>
          <w:szCs w:val="15"/>
          <w:color w:val="auto"/>
        </w:rPr>
        <w:t>Co-Founder and President, RLJ Development, LLC, 2000 – 2011</w:t>
      </w:r>
    </w:p>
    <w:p>
      <w:pPr>
        <w:spacing w:after="0" w:line="3" w:lineRule="exact"/>
        <w:rPr>
          <w:rFonts w:ascii="Arial" w:cs="Arial" w:eastAsia="Arial" w:hAnsi="Arial"/>
          <w:sz w:val="17"/>
          <w:szCs w:val="17"/>
          <w:color w:val="00A0E0"/>
        </w:rPr>
      </w:pPr>
    </w:p>
    <w:p>
      <w:pPr>
        <w:ind w:left="260" w:right="440" w:hanging="252"/>
        <w:spacing w:after="0" w:line="227" w:lineRule="auto"/>
        <w:tabs>
          <w:tab w:leader="none" w:pos="260" w:val="left"/>
        </w:tabs>
        <w:numPr>
          <w:ilvl w:val="0"/>
          <w:numId w:val="13"/>
        </w:numPr>
        <w:rPr>
          <w:rFonts w:ascii="Arial" w:cs="Arial" w:eastAsia="Arial" w:hAnsi="Arial"/>
          <w:sz w:val="17"/>
          <w:szCs w:val="17"/>
          <w:color w:val="00A0E0"/>
        </w:rPr>
      </w:pPr>
      <w:r>
        <w:rPr>
          <w:rFonts w:ascii="Arial" w:cs="Arial" w:eastAsia="Arial" w:hAnsi="Arial"/>
          <w:sz w:val="15"/>
          <w:szCs w:val="15"/>
          <w:color w:val="auto"/>
        </w:rPr>
        <w:t>Various management positions at Hilton Hotels Corporation, Marriott Corporation and Host Marriott Services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0A0E0"/>
        </w:rPr>
        <w:t>Skills and Qualifications: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251" w:hanging="251"/>
        <w:spacing w:after="0"/>
        <w:tabs>
          <w:tab w:leader="none" w:pos="251" w:val="left"/>
        </w:tabs>
        <w:numPr>
          <w:ilvl w:val="0"/>
          <w:numId w:val="14"/>
        </w:numPr>
        <w:rPr>
          <w:rFonts w:ascii="Arial" w:cs="Arial" w:eastAsia="Arial" w:hAnsi="Arial"/>
          <w:sz w:val="17"/>
          <w:szCs w:val="17"/>
          <w:color w:val="00A0E0"/>
        </w:rPr>
      </w:pPr>
      <w:r>
        <w:rPr>
          <w:rFonts w:ascii="Arial" w:cs="Arial" w:eastAsia="Arial" w:hAnsi="Arial"/>
          <w:sz w:val="15"/>
          <w:szCs w:val="15"/>
          <w:color w:val="auto"/>
        </w:rPr>
        <w:t>Board Member, University of Virginia Investment Management Company</w:t>
      </w:r>
    </w:p>
    <w:p>
      <w:pPr>
        <w:spacing w:after="0" w:line="7" w:lineRule="exact"/>
        <w:rPr>
          <w:rFonts w:ascii="Arial" w:cs="Arial" w:eastAsia="Arial" w:hAnsi="Arial"/>
          <w:sz w:val="17"/>
          <w:szCs w:val="17"/>
          <w:color w:val="00A0E0"/>
        </w:rPr>
      </w:pPr>
    </w:p>
    <w:p>
      <w:pPr>
        <w:ind w:left="251" w:hanging="251"/>
        <w:spacing w:after="0" w:line="228" w:lineRule="auto"/>
        <w:tabs>
          <w:tab w:leader="none" w:pos="251" w:val="left"/>
        </w:tabs>
        <w:numPr>
          <w:ilvl w:val="0"/>
          <w:numId w:val="14"/>
        </w:numPr>
        <w:rPr>
          <w:rFonts w:ascii="Arial" w:cs="Arial" w:eastAsia="Arial" w:hAnsi="Arial"/>
          <w:sz w:val="17"/>
          <w:szCs w:val="17"/>
          <w:color w:val="00A0E0"/>
        </w:rPr>
      </w:pPr>
      <w:r>
        <w:rPr>
          <w:rFonts w:ascii="Arial" w:cs="Arial" w:eastAsia="Arial" w:hAnsi="Arial"/>
          <w:sz w:val="15"/>
          <w:szCs w:val="15"/>
          <w:color w:val="auto"/>
        </w:rPr>
        <w:t>Board Member, The Real Estate Roundtable</w:t>
      </w:r>
    </w:p>
    <w:p>
      <w:pPr>
        <w:spacing w:after="0" w:line="3" w:lineRule="exact"/>
        <w:rPr>
          <w:rFonts w:ascii="Arial" w:cs="Arial" w:eastAsia="Arial" w:hAnsi="Arial"/>
          <w:sz w:val="17"/>
          <w:szCs w:val="17"/>
          <w:color w:val="00A0E0"/>
        </w:rPr>
      </w:pPr>
    </w:p>
    <w:p>
      <w:pPr>
        <w:ind w:left="251" w:hanging="251"/>
        <w:spacing w:after="0" w:line="228" w:lineRule="auto"/>
        <w:tabs>
          <w:tab w:leader="none" w:pos="251" w:val="left"/>
        </w:tabs>
        <w:numPr>
          <w:ilvl w:val="0"/>
          <w:numId w:val="14"/>
        </w:numPr>
        <w:rPr>
          <w:rFonts w:ascii="Arial" w:cs="Arial" w:eastAsia="Arial" w:hAnsi="Arial"/>
          <w:sz w:val="17"/>
          <w:szCs w:val="17"/>
          <w:color w:val="00A0E0"/>
        </w:rPr>
      </w:pPr>
      <w:r>
        <w:rPr>
          <w:rFonts w:ascii="Arial" w:cs="Arial" w:eastAsia="Arial" w:hAnsi="Arial"/>
          <w:sz w:val="15"/>
          <w:szCs w:val="15"/>
          <w:color w:val="auto"/>
        </w:rPr>
        <w:t>Executive Committee Member, American Hotel &amp; Lodging Association</w:t>
      </w:r>
    </w:p>
    <w:p>
      <w:pPr>
        <w:spacing w:after="0" w:line="3" w:lineRule="exact"/>
        <w:rPr>
          <w:rFonts w:ascii="Arial" w:cs="Arial" w:eastAsia="Arial" w:hAnsi="Arial"/>
          <w:sz w:val="17"/>
          <w:szCs w:val="17"/>
          <w:color w:val="00A0E0"/>
        </w:rPr>
      </w:pPr>
    </w:p>
    <w:p>
      <w:pPr>
        <w:ind w:left="251" w:hanging="251"/>
        <w:spacing w:after="0" w:line="228" w:lineRule="auto"/>
        <w:tabs>
          <w:tab w:leader="none" w:pos="251" w:val="left"/>
        </w:tabs>
        <w:numPr>
          <w:ilvl w:val="0"/>
          <w:numId w:val="14"/>
        </w:numPr>
        <w:rPr>
          <w:rFonts w:ascii="Arial" w:cs="Arial" w:eastAsia="Arial" w:hAnsi="Arial"/>
          <w:sz w:val="17"/>
          <w:szCs w:val="17"/>
          <w:color w:val="00A0E0"/>
        </w:rPr>
      </w:pPr>
      <w:r>
        <w:rPr>
          <w:rFonts w:ascii="Arial" w:cs="Arial" w:eastAsia="Arial" w:hAnsi="Arial"/>
          <w:sz w:val="15"/>
          <w:szCs w:val="15"/>
          <w:color w:val="auto"/>
        </w:rPr>
        <w:t>Board Member, UVA McIntire School of Commerce Foundation</w:t>
      </w:r>
    </w:p>
    <w:p>
      <w:pPr>
        <w:spacing w:after="0" w:line="997" w:lineRule="exact"/>
        <w:rPr>
          <w:sz w:val="20"/>
          <w:szCs w:val="20"/>
          <w:color w:val="auto"/>
        </w:rPr>
      </w:pPr>
    </w:p>
    <w:p>
      <w:pPr>
        <w:sectPr>
          <w:pgSz w:w="11900" w:h="16838" w:orient="portrait"/>
          <w:cols w:equalWidth="0" w:num="2">
            <w:col w:w="5320" w:space="529"/>
            <w:col w:w="5391"/>
          </w:cols>
          <w:pgMar w:left="320" w:top="122" w:right="339" w:bottom="1440" w:gutter="0" w:footer="0" w:header="0"/>
          <w:type w:val="continuous"/>
        </w:sectPr>
      </w:pPr>
    </w:p>
    <w:p>
      <w:pPr>
        <w:spacing w:after="0" w:line="18" w:lineRule="exact"/>
        <w:rPr>
          <w:sz w:val="20"/>
          <w:szCs w:val="20"/>
          <w:color w:val="auto"/>
        </w:rPr>
      </w:pPr>
    </w:p>
    <w:p>
      <w:pPr>
        <w:ind w:right="40"/>
        <w:spacing w:after="0" w:line="233" w:lineRule="auto"/>
        <w:rPr>
          <w:sz w:val="20"/>
          <w:szCs w:val="20"/>
          <w:color w:val="auto"/>
        </w:rPr>
      </w:pPr>
      <w:r>
        <w:rPr>
          <w:rFonts w:ascii="Arial" w:cs="Arial" w:eastAsia="Arial" w:hAnsi="Arial"/>
          <w:sz w:val="15"/>
          <w:szCs w:val="15"/>
          <w:color w:val="auto"/>
        </w:rPr>
        <w:t>Mr. Baltimore currently serves as Chairman, President and CEO of Park Hotels &amp; Resorts, a real estate investment trust with 40 premium branded hotels and resorts. In his current role and prior senior management roles, Mr. Baltimore has gathered a wealth of leadership and management experience in the investment management, hospitality and real estate industries bringing valuable insight to various aspects of our business, including theme parks. In addition to Mr. Baltimore’s extensive track record of building and running companies, he has served on the boards of multiple large public companies including Prudential Financial and American Express. All of these experiences have given Mr. Baltimore a lens on strategy, business judgment and risk management frameworks across companies and industries. Mr. Baltimore also has deep finance and M&amp;A experience from his years at RLJ Development and RLJ Lodging Trust, as well as a background in accounting having begun his career in public accounting at Price Waterhouse.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291465" cy="316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1465" cy="31686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123825</wp:posOffset>
            </wp:positionV>
            <wp:extent cx="291465" cy="3257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1465" cy="3257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123825</wp:posOffset>
            </wp:positionV>
            <wp:extent cx="291465" cy="3340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1465" cy="33401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140970</wp:posOffset>
            </wp:positionV>
            <wp:extent cx="291465" cy="300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1465" cy="3003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140970</wp:posOffset>
            </wp:positionV>
            <wp:extent cx="291465" cy="291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1465" cy="291465"/>
                    </a:xfrm>
                    <a:prstGeom prst="rect">
                      <a:avLst/>
                    </a:prstGeom>
                    <a:noFill/>
                  </pic:spPr>
                </pic:pic>
              </a:graphicData>
            </a:graphic>
          </wp:anchor>
        </w:drawing>
      </w:r>
    </w:p>
    <w:p>
      <w:pPr>
        <w:spacing w:after="0" w:line="252" w:lineRule="exact"/>
        <w:rPr>
          <w:sz w:val="20"/>
          <w:szCs w:val="20"/>
          <w:color w:val="auto"/>
        </w:rPr>
      </w:pPr>
    </w:p>
    <w:p>
      <w:pPr>
        <w:ind w:left="580"/>
        <w:spacing w:after="0"/>
        <w:tabs>
          <w:tab w:leader="none" w:pos="2680" w:val="left"/>
          <w:tab w:leader="none" w:pos="4980" w:val="left"/>
          <w:tab w:leader="none" w:pos="7380" w:val="left"/>
          <w:tab w:leader="none" w:pos="9500" w:val="left"/>
        </w:tabs>
        <w:rPr>
          <w:sz w:val="20"/>
          <w:szCs w:val="20"/>
          <w:color w:val="auto"/>
        </w:rPr>
      </w:pPr>
      <w:r>
        <w:rPr>
          <w:rFonts w:ascii="Arial" w:cs="Arial" w:eastAsia="Arial" w:hAnsi="Arial"/>
          <w:sz w:val="15"/>
          <w:szCs w:val="15"/>
          <w:color w:val="auto"/>
        </w:rPr>
        <w:t>Executive</w:t>
      </w:r>
      <w:r>
        <w:rPr>
          <w:sz w:val="20"/>
          <w:szCs w:val="20"/>
          <w:color w:val="auto"/>
        </w:rPr>
        <w:tab/>
      </w:r>
      <w:r>
        <w:rPr>
          <w:rFonts w:ascii="Arial" w:cs="Arial" w:eastAsia="Arial" w:hAnsi="Arial"/>
          <w:sz w:val="15"/>
          <w:szCs w:val="15"/>
          <w:color w:val="auto"/>
        </w:rPr>
        <w:t>Relevant Industry</w:t>
      </w:r>
      <w:r>
        <w:rPr>
          <w:sz w:val="20"/>
          <w:szCs w:val="20"/>
          <w:color w:val="auto"/>
        </w:rPr>
        <w:tab/>
      </w:r>
      <w:r>
        <w:rPr>
          <w:rFonts w:ascii="Arial" w:cs="Arial" w:eastAsia="Arial" w:hAnsi="Arial"/>
          <w:sz w:val="15"/>
          <w:szCs w:val="15"/>
          <w:color w:val="auto"/>
        </w:rPr>
        <w:t>Consumer Products/</w:t>
      </w:r>
      <w:r>
        <w:rPr>
          <w:sz w:val="20"/>
          <w:szCs w:val="20"/>
          <w:color w:val="auto"/>
        </w:rPr>
        <w:tab/>
      </w:r>
      <w:r>
        <w:rPr>
          <w:rFonts w:ascii="Arial" w:cs="Arial" w:eastAsia="Arial" w:hAnsi="Arial"/>
          <w:sz w:val="15"/>
          <w:szCs w:val="15"/>
          <w:color w:val="auto"/>
        </w:rPr>
        <w:t>Financial/</w:t>
      </w:r>
      <w:r>
        <w:rPr>
          <w:sz w:val="20"/>
          <w:szCs w:val="20"/>
          <w:color w:val="auto"/>
        </w:rPr>
        <w:tab/>
      </w:r>
      <w:r>
        <w:rPr>
          <w:rFonts w:ascii="Arial" w:cs="Arial" w:eastAsia="Arial" w:hAnsi="Arial"/>
          <w:sz w:val="15"/>
          <w:szCs w:val="15"/>
          <w:color w:val="auto"/>
        </w:rPr>
        <w:t>Risk Management</w:t>
      </w:r>
    </w:p>
    <w:p>
      <w:pPr>
        <w:spacing w:after="0" w:line="4" w:lineRule="exact"/>
        <w:rPr>
          <w:sz w:val="20"/>
          <w:szCs w:val="20"/>
          <w:color w:val="auto"/>
        </w:rPr>
      </w:pPr>
    </w:p>
    <w:p>
      <w:pPr>
        <w:ind w:left="580"/>
        <w:spacing w:after="0"/>
        <w:tabs>
          <w:tab w:leader="none" w:pos="2680" w:val="left"/>
          <w:tab w:leader="none" w:pos="4980" w:val="left"/>
          <w:tab w:leader="none" w:pos="7380" w:val="left"/>
          <w:tab w:leader="none" w:pos="9500" w:val="left"/>
        </w:tabs>
        <w:rPr>
          <w:sz w:val="20"/>
          <w:szCs w:val="20"/>
          <w:color w:val="auto"/>
        </w:rPr>
      </w:pPr>
      <w:r>
        <w:rPr>
          <w:rFonts w:ascii="Arial" w:cs="Arial" w:eastAsia="Arial" w:hAnsi="Arial"/>
          <w:sz w:val="15"/>
          <w:szCs w:val="15"/>
          <w:color w:val="auto"/>
        </w:rPr>
        <w:t>Leadership</w:t>
      </w:r>
      <w:r>
        <w:rPr>
          <w:sz w:val="20"/>
          <w:szCs w:val="20"/>
          <w:color w:val="auto"/>
        </w:rPr>
        <w:tab/>
      </w:r>
      <w:r>
        <w:rPr>
          <w:rFonts w:ascii="Arial" w:cs="Arial" w:eastAsia="Arial" w:hAnsi="Arial"/>
          <w:sz w:val="15"/>
          <w:szCs w:val="15"/>
          <w:color w:val="auto"/>
        </w:rPr>
        <w:t>Experience</w:t>
      </w:r>
      <w:r>
        <w:rPr>
          <w:sz w:val="20"/>
          <w:szCs w:val="20"/>
          <w:color w:val="auto"/>
        </w:rPr>
        <w:tab/>
      </w:r>
      <w:r>
        <w:rPr>
          <w:rFonts w:ascii="Arial" w:cs="Arial" w:eastAsia="Arial" w:hAnsi="Arial"/>
          <w:sz w:val="15"/>
          <w:szCs w:val="15"/>
          <w:color w:val="auto"/>
        </w:rPr>
        <w:t>Customer-Oriented</w:t>
      </w:r>
      <w:r>
        <w:rPr>
          <w:sz w:val="20"/>
          <w:szCs w:val="20"/>
          <w:color w:val="auto"/>
        </w:rPr>
        <w:tab/>
      </w:r>
      <w:r>
        <w:rPr>
          <w:rFonts w:ascii="Arial" w:cs="Arial" w:eastAsia="Arial" w:hAnsi="Arial"/>
          <w:sz w:val="15"/>
          <w:szCs w:val="15"/>
          <w:color w:val="auto"/>
        </w:rPr>
        <w:t>Accounting</w:t>
      </w:r>
      <w:r>
        <w:rPr>
          <w:sz w:val="20"/>
          <w:szCs w:val="20"/>
          <w:color w:val="auto"/>
        </w:rPr>
        <w:tab/>
      </w:r>
      <w:r>
        <w:rPr>
          <w:rFonts w:ascii="Arial" w:cs="Arial" w:eastAsia="Arial" w:hAnsi="Arial"/>
          <w:sz w:val="15"/>
          <w:szCs w:val="15"/>
          <w:color w:val="auto"/>
        </w:rPr>
        <w:t>Oversight</w:t>
      </w:r>
    </w:p>
    <w:p>
      <w:pPr>
        <w:sectPr>
          <w:pgSz w:w="11900" w:h="16838" w:orient="portrait"/>
          <w:cols w:equalWidth="0" w:num="1">
            <w:col w:w="11240"/>
          </w:cols>
          <w:pgMar w:left="320" w:top="122" w:right="339" w:bottom="1440" w:gutter="0" w:footer="0" w:header="0"/>
          <w:type w:val="continuous"/>
        </w:sectPr>
      </w:pPr>
    </w:p>
    <w:p>
      <w:pPr>
        <w:spacing w:after="0" w:line="299" w:lineRule="exact"/>
        <w:rPr>
          <w:sz w:val="20"/>
          <w:szCs w:val="20"/>
          <w:color w:val="auto"/>
        </w:rPr>
      </w:pPr>
    </w:p>
    <w:p>
      <w:pPr>
        <w:ind w:left="9600"/>
        <w:spacing w:after="0"/>
        <w:tabs>
          <w:tab w:leader="none" w:pos="11160" w:val="left"/>
        </w:tabs>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r>
        <w:rPr>
          <w:sz w:val="20"/>
          <w:szCs w:val="20"/>
          <w:color w:val="auto"/>
        </w:rPr>
        <w:tab/>
      </w:r>
      <w:r>
        <w:rPr>
          <w:rFonts w:ascii="Arial" w:cs="Arial" w:eastAsia="Arial" w:hAnsi="Arial"/>
          <w:sz w:val="10"/>
          <w:szCs w:val="10"/>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79" w:lineRule="exact"/>
        <w:rPr>
          <w:sz w:val="20"/>
          <w:szCs w:val="20"/>
          <w:color w:val="auto"/>
        </w:rPr>
      </w:pPr>
    </w:p>
    <w:p>
      <w:pPr>
        <w:ind w:left="180"/>
        <w:spacing w:after="0"/>
        <w:tabs>
          <w:tab w:leader="none" w:pos="10080" w:val="left"/>
        </w:tabs>
        <w:rPr>
          <w:sz w:val="20"/>
          <w:szCs w:val="20"/>
          <w:color w:val="auto"/>
        </w:rPr>
      </w:pPr>
      <w:r>
        <w:rPr>
          <w:rFonts w:ascii="Arial" w:cs="Arial" w:eastAsia="Arial" w:hAnsi="Arial"/>
          <w:sz w:val="22"/>
          <w:szCs w:val="22"/>
          <w:b w:val="1"/>
          <w:bCs w:val="1"/>
          <w:color w:val="FFFFFF"/>
        </w:rPr>
        <w:t>Madeline S. Bell</w:t>
      </w:r>
      <w:r>
        <w:rPr>
          <w:sz w:val="20"/>
          <w:szCs w:val="20"/>
          <w:color w:val="auto"/>
        </w:rPr>
        <w:tab/>
      </w: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036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036955"/>
                    </a:xfrm>
                    <a:prstGeom prst="rect">
                      <a:avLst/>
                    </a:prstGeom>
                    <a:noFill/>
                  </pic:spPr>
                </pic:pic>
              </a:graphicData>
            </a:graphic>
          </wp:anchor>
        </w:drawing>
      </w:r>
    </w:p>
    <w:p>
      <w:pPr>
        <w:spacing w:after="0" w:line="265"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President and Chief Executive Officer of The Children’s Hospital of Philadelphia</w:t>
      </w:r>
    </w:p>
    <w:p>
      <w:pPr>
        <w:spacing w:after="0" w:line="204" w:lineRule="exact"/>
        <w:rPr>
          <w:sz w:val="20"/>
          <w:szCs w:val="20"/>
          <w:color w:val="auto"/>
        </w:rPr>
      </w:pPr>
    </w:p>
    <w:p>
      <w:pPr>
        <w:ind w:left="164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63</w:t>
      </w:r>
    </w:p>
    <w:p>
      <w:pPr>
        <w:spacing w:after="0" w:line="71" w:lineRule="exact"/>
        <w:rPr>
          <w:sz w:val="20"/>
          <w:szCs w:val="20"/>
          <w:color w:val="auto"/>
        </w:rPr>
      </w:pPr>
    </w:p>
    <w:p>
      <w:pPr>
        <w:ind w:left="164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February 2016</w:t>
      </w:r>
    </w:p>
    <w:p>
      <w:pPr>
        <w:spacing w:after="0" w:line="57" w:lineRule="exact"/>
        <w:rPr>
          <w:sz w:val="20"/>
          <w:szCs w:val="20"/>
          <w:color w:val="auto"/>
        </w:rPr>
      </w:pPr>
    </w:p>
    <w:p>
      <w:pPr>
        <w:ind w:left="164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Governance and Corporate Responsibility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00A0E0"/>
        </w:rPr>
        <w:t>Career Highlights:</w:t>
      </w:r>
    </w:p>
    <w:p>
      <w:pPr>
        <w:sectPr>
          <w:pgSz w:w="11900" w:h="16838" w:orient="portrait"/>
          <w:cols w:equalWidth="0" w:num="1">
            <w:col w:w="11240"/>
          </w:cols>
          <w:pgMar w:left="320" w:top="122" w:right="339" w:bottom="1440" w:gutter="0" w:footer="0" w:header="0"/>
        </w:sectPr>
      </w:pPr>
    </w:p>
    <w:p>
      <w:pPr>
        <w:spacing w:after="0" w:line="218" w:lineRule="exact"/>
        <w:rPr>
          <w:sz w:val="20"/>
          <w:szCs w:val="20"/>
          <w:color w:val="auto"/>
        </w:rPr>
      </w:pPr>
    </w:p>
    <w:p>
      <w:pPr>
        <w:ind w:left="260" w:right="40" w:hanging="252"/>
        <w:spacing w:after="0" w:line="222" w:lineRule="auto"/>
        <w:tabs>
          <w:tab w:leader="none" w:pos="260" w:val="left"/>
        </w:tabs>
        <w:numPr>
          <w:ilvl w:val="0"/>
          <w:numId w:val="15"/>
        </w:numPr>
        <w:rPr>
          <w:rFonts w:ascii="Arial" w:cs="Arial" w:eastAsia="Arial" w:hAnsi="Arial"/>
          <w:sz w:val="17"/>
          <w:szCs w:val="17"/>
          <w:color w:val="00A0E0"/>
        </w:rPr>
      </w:pPr>
      <w:r>
        <w:rPr>
          <w:rFonts w:ascii="Arial" w:cs="Arial" w:eastAsia="Arial" w:hAnsi="Arial"/>
          <w:sz w:val="15"/>
          <w:szCs w:val="15"/>
          <w:color w:val="auto"/>
        </w:rPr>
        <w:t>President and Chief Executive Officer, The Children’s Hospital of Philadelphia (“CHOP”), a top-ranked children’s health system and research institute, 2015 – Present</w:t>
      </w:r>
    </w:p>
    <w:p>
      <w:pPr>
        <w:ind w:left="260" w:right="20" w:hanging="252"/>
        <w:spacing w:after="0" w:line="211" w:lineRule="auto"/>
        <w:tabs>
          <w:tab w:leader="none" w:pos="260" w:val="left"/>
        </w:tabs>
        <w:numPr>
          <w:ilvl w:val="0"/>
          <w:numId w:val="15"/>
        </w:numPr>
        <w:rPr>
          <w:rFonts w:ascii="Arial" w:cs="Arial" w:eastAsia="Arial" w:hAnsi="Arial"/>
          <w:sz w:val="17"/>
          <w:szCs w:val="17"/>
          <w:color w:val="00A0E0"/>
        </w:rPr>
      </w:pPr>
      <w:r>
        <w:rPr>
          <w:rFonts w:ascii="Arial" w:cs="Arial" w:eastAsia="Arial" w:hAnsi="Arial"/>
          <w:sz w:val="15"/>
          <w:szCs w:val="15"/>
          <w:color w:val="auto"/>
        </w:rPr>
        <w:t>Multiple Leadership Roles, including Chief Operating Officer, CHOP, 1995 – 2015</w:t>
      </w:r>
    </w:p>
    <w:p>
      <w:pPr>
        <w:ind w:left="260" w:hanging="252"/>
        <w:spacing w:after="0" w:line="226" w:lineRule="auto"/>
        <w:tabs>
          <w:tab w:leader="none" w:pos="260" w:val="left"/>
        </w:tabs>
        <w:numPr>
          <w:ilvl w:val="0"/>
          <w:numId w:val="15"/>
        </w:numPr>
        <w:rPr>
          <w:rFonts w:ascii="Arial" w:cs="Arial" w:eastAsia="Arial" w:hAnsi="Arial"/>
          <w:sz w:val="17"/>
          <w:szCs w:val="17"/>
          <w:color w:val="00A0E0"/>
        </w:rPr>
      </w:pPr>
      <w:r>
        <w:rPr>
          <w:rFonts w:ascii="Arial" w:cs="Arial" w:eastAsia="Arial" w:hAnsi="Arial"/>
          <w:sz w:val="15"/>
          <w:szCs w:val="15"/>
          <w:color w:val="auto"/>
        </w:rPr>
        <w:t>Began career as a pediatric nurse in 1983, moved from a variety of different nursing roles into hospital administration in 1989 and holds a Master of Science in Organizational Dynamics from the University of Pennsylvania</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A0E0"/>
        </w:rPr>
        <w:t>Skills and Qualifications: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251" w:hanging="251"/>
        <w:spacing w:after="0"/>
        <w:tabs>
          <w:tab w:leader="none" w:pos="251" w:val="left"/>
        </w:tabs>
        <w:numPr>
          <w:ilvl w:val="0"/>
          <w:numId w:val="16"/>
        </w:numPr>
        <w:rPr>
          <w:rFonts w:ascii="Arial" w:cs="Arial" w:eastAsia="Arial" w:hAnsi="Arial"/>
          <w:sz w:val="17"/>
          <w:szCs w:val="17"/>
          <w:color w:val="00A0E0"/>
        </w:rPr>
      </w:pPr>
      <w:r>
        <w:rPr>
          <w:rFonts w:ascii="Arial" w:cs="Arial" w:eastAsia="Arial" w:hAnsi="Arial"/>
          <w:sz w:val="15"/>
          <w:szCs w:val="15"/>
          <w:color w:val="auto"/>
        </w:rPr>
        <w:t>Board Member, Leonard Davis Institute of Health Economics</w:t>
      </w:r>
    </w:p>
    <w:p>
      <w:pPr>
        <w:spacing w:after="0" w:line="7" w:lineRule="exact"/>
        <w:rPr>
          <w:rFonts w:ascii="Arial" w:cs="Arial" w:eastAsia="Arial" w:hAnsi="Arial"/>
          <w:sz w:val="17"/>
          <w:szCs w:val="17"/>
          <w:color w:val="00A0E0"/>
        </w:rPr>
      </w:pPr>
    </w:p>
    <w:p>
      <w:pPr>
        <w:ind w:left="251" w:hanging="251"/>
        <w:spacing w:after="0" w:line="228" w:lineRule="auto"/>
        <w:tabs>
          <w:tab w:leader="none" w:pos="251" w:val="left"/>
        </w:tabs>
        <w:numPr>
          <w:ilvl w:val="0"/>
          <w:numId w:val="16"/>
        </w:numPr>
        <w:rPr>
          <w:rFonts w:ascii="Arial" w:cs="Arial" w:eastAsia="Arial" w:hAnsi="Arial"/>
          <w:sz w:val="17"/>
          <w:szCs w:val="17"/>
          <w:color w:val="00A0E0"/>
        </w:rPr>
      </w:pPr>
      <w:r>
        <w:rPr>
          <w:rFonts w:ascii="Arial" w:cs="Arial" w:eastAsia="Arial" w:hAnsi="Arial"/>
          <w:sz w:val="15"/>
          <w:szCs w:val="15"/>
          <w:color w:val="auto"/>
        </w:rPr>
        <w:t>Board Member, Solutions for Patient Safety</w:t>
      </w:r>
    </w:p>
    <w:p>
      <w:pPr>
        <w:spacing w:after="0" w:line="3" w:lineRule="exact"/>
        <w:rPr>
          <w:rFonts w:ascii="Arial" w:cs="Arial" w:eastAsia="Arial" w:hAnsi="Arial"/>
          <w:sz w:val="17"/>
          <w:szCs w:val="17"/>
          <w:color w:val="00A0E0"/>
        </w:rPr>
      </w:pPr>
    </w:p>
    <w:p>
      <w:pPr>
        <w:ind w:left="251" w:right="780" w:hanging="251"/>
        <w:spacing w:after="0" w:line="211" w:lineRule="auto"/>
        <w:tabs>
          <w:tab w:leader="none" w:pos="251" w:val="left"/>
        </w:tabs>
        <w:numPr>
          <w:ilvl w:val="0"/>
          <w:numId w:val="16"/>
        </w:numPr>
        <w:rPr>
          <w:rFonts w:ascii="Arial" w:cs="Arial" w:eastAsia="Arial" w:hAnsi="Arial"/>
          <w:sz w:val="17"/>
          <w:szCs w:val="17"/>
          <w:color w:val="00A0E0"/>
        </w:rPr>
      </w:pPr>
      <w:r>
        <w:rPr>
          <w:rFonts w:ascii="Arial" w:cs="Arial" w:eastAsia="Arial" w:hAnsi="Arial"/>
          <w:sz w:val="15"/>
          <w:szCs w:val="15"/>
          <w:color w:val="auto"/>
        </w:rPr>
        <w:t>Executive Committee Member, Greater Philadelphia Chamber of Commerce and Member, CEO Council for Growth</w:t>
      </w:r>
    </w:p>
    <w:p>
      <w:pPr>
        <w:ind w:left="251" w:hanging="251"/>
        <w:spacing w:after="0" w:line="228" w:lineRule="auto"/>
        <w:tabs>
          <w:tab w:leader="none" w:pos="251" w:val="left"/>
        </w:tabs>
        <w:numPr>
          <w:ilvl w:val="0"/>
          <w:numId w:val="16"/>
        </w:numPr>
        <w:rPr>
          <w:rFonts w:ascii="Arial" w:cs="Arial" w:eastAsia="Arial" w:hAnsi="Arial"/>
          <w:sz w:val="17"/>
          <w:szCs w:val="17"/>
          <w:color w:val="00A0E0"/>
        </w:rPr>
      </w:pPr>
      <w:r>
        <w:rPr>
          <w:rFonts w:ascii="Arial" w:cs="Arial" w:eastAsia="Arial" w:hAnsi="Arial"/>
          <w:sz w:val="15"/>
          <w:szCs w:val="15"/>
          <w:color w:val="auto"/>
        </w:rPr>
        <w:t>Former Board Chair, Federal Reserve Bank of Philadelphia</w:t>
      </w:r>
    </w:p>
    <w:p>
      <w:pPr>
        <w:spacing w:after="0" w:line="997" w:lineRule="exact"/>
        <w:rPr>
          <w:sz w:val="20"/>
          <w:szCs w:val="20"/>
          <w:color w:val="auto"/>
        </w:rPr>
      </w:pPr>
    </w:p>
    <w:p>
      <w:pPr>
        <w:sectPr>
          <w:pgSz w:w="11900" w:h="16838" w:orient="portrait"/>
          <w:cols w:equalWidth="0" w:num="2">
            <w:col w:w="5380" w:space="469"/>
            <w:col w:w="5391"/>
          </w:cols>
          <w:pgMar w:left="320" w:top="122" w:right="339" w:bottom="1440" w:gutter="0" w:footer="0" w:header="0"/>
          <w:type w:val="continuous"/>
        </w:sectPr>
      </w:pPr>
    </w:p>
    <w:p>
      <w:pPr>
        <w:spacing w:after="0" w:line="18" w:lineRule="exact"/>
        <w:rPr>
          <w:sz w:val="20"/>
          <w:szCs w:val="20"/>
          <w:color w:val="auto"/>
        </w:rPr>
      </w:pPr>
    </w:p>
    <w:p>
      <w:pPr>
        <w:spacing w:after="0" w:line="234" w:lineRule="auto"/>
        <w:rPr>
          <w:sz w:val="20"/>
          <w:szCs w:val="20"/>
          <w:color w:val="auto"/>
        </w:rPr>
      </w:pPr>
      <w:r>
        <w:rPr>
          <w:rFonts w:ascii="Arial" w:cs="Arial" w:eastAsia="Arial" w:hAnsi="Arial"/>
          <w:sz w:val="15"/>
          <w:szCs w:val="15"/>
          <w:color w:val="auto"/>
        </w:rPr>
        <w:t>Ms. Bell serves as President and CEO of CHOP, one of the nation’s top-ranked children’s hospitals with annual revenue of $4.7 billion in fiscal year 2024 and nearly 30,000 employees. Under her leadership, CHOP was ranked #1 on the Forbes List of America’s Best Large Employers in 2022. As President and CEO, Ms. Bell’s role includes facilitating and maintaining strategic partnerships with private and public partners, maintaining the hospital’s position as a premier nonprofit organization and overseeing and managing complex health and safety matters, as well as human capital management dynamics among a wide range of employee stakeholders from clinicians and staffers to academic research experts. Ms. Bell’s experiences yield valuable business and management insights and perspectives for our Board, and she brings constructive advice on enterprise risk management and compliance matters.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2160" w:type="dxa"/>
            <w:vAlign w:val="bottom"/>
          </w:tcPr>
          <w:p>
            <w:pPr>
              <w:spacing w:after="0"/>
              <w:rPr>
                <w:sz w:val="14"/>
                <w:szCs w:val="14"/>
                <w:color w:val="auto"/>
              </w:rPr>
            </w:pPr>
          </w:p>
        </w:tc>
        <w:tc>
          <w:tcPr>
            <w:tcW w:w="2820" w:type="dxa"/>
            <w:vAlign w:val="bottom"/>
            <w:vMerge w:val="restart"/>
          </w:tcPr>
          <w:p>
            <w:pPr>
              <w:ind w:left="700"/>
              <w:spacing w:after="0"/>
              <w:rPr>
                <w:sz w:val="20"/>
                <w:szCs w:val="20"/>
                <w:color w:val="auto"/>
              </w:rPr>
            </w:pPr>
            <w:r>
              <w:rPr>
                <w:rFonts w:ascii="Arial" w:cs="Arial" w:eastAsia="Arial" w:hAnsi="Arial"/>
                <w:sz w:val="15"/>
                <w:szCs w:val="15"/>
                <w:color w:val="auto"/>
              </w:rPr>
              <w:t>Consumer Products/</w:t>
            </w:r>
          </w:p>
        </w:tc>
        <w:tc>
          <w:tcPr>
            <w:tcW w:w="2760" w:type="dxa"/>
            <w:vAlign w:val="bottom"/>
            <w:vMerge w:val="restart"/>
          </w:tcPr>
          <w:p>
            <w:pPr>
              <w:ind w:left="720"/>
              <w:spacing w:after="0"/>
              <w:rPr>
                <w:sz w:val="20"/>
                <w:szCs w:val="20"/>
                <w:color w:val="auto"/>
              </w:rPr>
            </w:pPr>
            <w:r>
              <w:rPr>
                <w:rFonts w:ascii="Arial" w:cs="Arial" w:eastAsia="Arial" w:hAnsi="Arial"/>
                <w:sz w:val="15"/>
                <w:szCs w:val="15"/>
                <w:color w:val="auto"/>
              </w:rPr>
              <w:t>Risk Management</w:t>
            </w:r>
          </w:p>
        </w:tc>
        <w:tc>
          <w:tcPr>
            <w:tcW w:w="1680" w:type="dxa"/>
            <w:vAlign w:val="bottom"/>
          </w:tcPr>
          <w:p>
            <w:pPr>
              <w:ind w:left="780"/>
              <w:spacing w:after="0"/>
              <w:rPr>
                <w:sz w:val="20"/>
                <w:szCs w:val="20"/>
                <w:color w:val="auto"/>
              </w:rPr>
            </w:pPr>
            <w:r>
              <w:rPr>
                <w:rFonts w:ascii="Arial" w:cs="Arial" w:eastAsia="Arial" w:hAnsi="Arial"/>
                <w:sz w:val="15"/>
                <w:szCs w:val="15"/>
                <w:color w:val="auto"/>
              </w:rPr>
              <w:t>Non-Profit/</w:t>
            </w:r>
          </w:p>
        </w:tc>
        <w:tc>
          <w:tcPr>
            <w:tcW w:w="0" w:type="dxa"/>
            <w:vAlign w:val="bottom"/>
          </w:tcPr>
          <w:p>
            <w:pPr>
              <w:spacing w:after="0"/>
              <w:rPr>
                <w:sz w:val="1"/>
                <w:szCs w:val="1"/>
                <w:color w:val="auto"/>
              </w:rPr>
            </w:pPr>
          </w:p>
        </w:tc>
      </w:tr>
      <w:tr>
        <w:trPr>
          <w:trHeight w:val="81"/>
        </w:trPr>
        <w:tc>
          <w:tcPr>
            <w:tcW w:w="2160" w:type="dxa"/>
            <w:vAlign w:val="bottom"/>
            <w:vMerge w:val="restart"/>
          </w:tcPr>
          <w:p>
            <w:pPr>
              <w:spacing w:after="0" w:line="162" w:lineRule="exact"/>
              <w:rPr>
                <w:sz w:val="20"/>
                <w:szCs w:val="20"/>
                <w:color w:val="auto"/>
              </w:rPr>
            </w:pPr>
            <w:r>
              <w:rPr>
                <w:rFonts w:ascii="Arial" w:cs="Arial" w:eastAsia="Arial" w:hAnsi="Arial"/>
                <w:sz w:val="15"/>
                <w:szCs w:val="15"/>
                <w:color w:val="auto"/>
              </w:rPr>
              <w:t>Executive Leadership</w:t>
            </w:r>
          </w:p>
        </w:tc>
        <w:tc>
          <w:tcPr>
            <w:tcW w:w="2820" w:type="dxa"/>
            <w:vAlign w:val="bottom"/>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1680" w:type="dxa"/>
            <w:vAlign w:val="bottom"/>
            <w:vMerge w:val="restart"/>
          </w:tcPr>
          <w:p>
            <w:pPr>
              <w:ind w:left="780"/>
              <w:spacing w:after="0" w:line="162" w:lineRule="exact"/>
              <w:rPr>
                <w:sz w:val="20"/>
                <w:szCs w:val="20"/>
                <w:color w:val="auto"/>
              </w:rPr>
            </w:pPr>
            <w:r>
              <w:rPr>
                <w:rFonts w:ascii="Arial" w:cs="Arial" w:eastAsia="Arial" w:hAnsi="Arial"/>
                <w:sz w:val="15"/>
                <w:szCs w:val="15"/>
                <w:color w:val="auto"/>
              </w:rPr>
              <w:t>Educational/</w:t>
            </w: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820" w:type="dxa"/>
            <w:vAlign w:val="bottom"/>
            <w:vMerge w:val="restart"/>
          </w:tcPr>
          <w:p>
            <w:pPr>
              <w:ind w:left="700"/>
              <w:spacing w:after="0"/>
              <w:rPr>
                <w:sz w:val="20"/>
                <w:szCs w:val="20"/>
                <w:color w:val="auto"/>
              </w:rPr>
            </w:pPr>
            <w:r>
              <w:rPr>
                <w:rFonts w:ascii="Arial" w:cs="Arial" w:eastAsia="Arial" w:hAnsi="Arial"/>
                <w:sz w:val="15"/>
                <w:szCs w:val="15"/>
                <w:color w:val="auto"/>
              </w:rPr>
              <w:t>Customer-Oriented</w:t>
            </w:r>
          </w:p>
        </w:tc>
        <w:tc>
          <w:tcPr>
            <w:tcW w:w="2760" w:type="dxa"/>
            <w:vAlign w:val="bottom"/>
            <w:vMerge w:val="restart"/>
          </w:tcPr>
          <w:p>
            <w:pPr>
              <w:ind w:left="720"/>
              <w:spacing w:after="0"/>
              <w:rPr>
                <w:sz w:val="20"/>
                <w:szCs w:val="20"/>
                <w:color w:val="auto"/>
              </w:rPr>
            </w:pPr>
            <w:r>
              <w:rPr>
                <w:rFonts w:ascii="Arial" w:cs="Arial" w:eastAsia="Arial" w:hAnsi="Arial"/>
                <w:sz w:val="15"/>
                <w:szCs w:val="15"/>
                <w:color w:val="auto"/>
              </w:rPr>
              <w:t>Oversight</w:t>
            </w: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2760" w:type="dxa"/>
            <w:vAlign w:val="bottom"/>
            <w:vMerge w:val="continue"/>
          </w:tcPr>
          <w:p>
            <w:pPr>
              <w:spacing w:after="0"/>
              <w:rPr>
                <w:sz w:val="10"/>
                <w:szCs w:val="10"/>
                <w:color w:val="auto"/>
              </w:rPr>
            </w:pPr>
          </w:p>
        </w:tc>
        <w:tc>
          <w:tcPr>
            <w:tcW w:w="1680" w:type="dxa"/>
            <w:vAlign w:val="bottom"/>
            <w:vMerge w:val="restart"/>
          </w:tcPr>
          <w:p>
            <w:pPr>
              <w:ind w:left="780"/>
              <w:spacing w:after="0"/>
              <w:rPr>
                <w:sz w:val="20"/>
                <w:szCs w:val="20"/>
                <w:color w:val="auto"/>
              </w:rPr>
            </w:pPr>
            <w:r>
              <w:rPr>
                <w:rFonts w:ascii="Arial" w:cs="Arial" w:eastAsia="Arial" w:hAnsi="Arial"/>
                <w:sz w:val="15"/>
                <w:szCs w:val="15"/>
                <w:color w:val="auto"/>
              </w:rPr>
              <w:t>Philanthropic</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291465" cy="316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1465" cy="31686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-330200</wp:posOffset>
            </wp:positionV>
            <wp:extent cx="291465" cy="3346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1465" cy="3346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-313055</wp:posOffset>
            </wp:positionV>
            <wp:extent cx="291465" cy="291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-304165</wp:posOffset>
            </wp:positionV>
            <wp:extent cx="291465"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4180" w:type="dxa"/>
            <w:vAlign w:val="bottom"/>
            <w:shd w:val="clear" w:color="auto" w:fill="00A0E0"/>
          </w:tcPr>
          <w:p>
            <w:pPr>
              <w:ind w:left="180"/>
              <w:spacing w:after="0"/>
              <w:rPr>
                <w:sz w:val="20"/>
                <w:szCs w:val="20"/>
                <w:color w:val="auto"/>
              </w:rPr>
            </w:pPr>
            <w:r>
              <w:rPr>
                <w:rFonts w:ascii="Arial" w:cs="Arial" w:eastAsia="Arial" w:hAnsi="Arial"/>
                <w:sz w:val="22"/>
                <w:szCs w:val="22"/>
                <w:b w:val="1"/>
                <w:bCs w:val="1"/>
                <w:color w:val="FFFFFF"/>
              </w:rPr>
              <w:t>Louise F. Brady</w:t>
            </w:r>
          </w:p>
        </w:tc>
        <w:tc>
          <w:tcPr>
            <w:tcW w:w="7060" w:type="dxa"/>
            <w:vAlign w:val="bottom"/>
            <w:shd w:val="clear" w:color="auto" w:fill="00A0E0"/>
          </w:tcPr>
          <w:p>
            <w:pPr>
              <w:ind w:left="5920"/>
              <w:spacing w:after="0"/>
              <w:rPr>
                <w:sz w:val="20"/>
                <w:szCs w:val="20"/>
                <w:color w:val="auto"/>
              </w:rPr>
            </w:pPr>
            <w:r>
              <w:rPr>
                <w:rFonts w:ascii="Arial" w:cs="Arial" w:eastAsia="Arial" w:hAnsi="Arial"/>
                <w:sz w:val="16"/>
                <w:szCs w:val="16"/>
                <w:b w:val="1"/>
                <w:bCs w:val="1"/>
                <w:color w:val="FFFFFF"/>
              </w:rPr>
              <w:t>Independent</w:t>
            </w:r>
          </w:p>
        </w:tc>
      </w:tr>
      <w:tr>
        <w:trPr>
          <w:trHeight w:val="82"/>
        </w:trPr>
        <w:tc>
          <w:tcPr>
            <w:tcW w:w="11240" w:type="dxa"/>
            <w:vAlign w:val="bottom"/>
            <w:gridSpan w:val="2"/>
            <w:shd w:val="clear" w:color="auto" w:fill="00A0E0"/>
          </w:tcPr>
          <w:p>
            <w:pPr>
              <w:spacing w:after="0"/>
              <w:rPr>
                <w:sz w:val="7"/>
                <w:szCs w:val="7"/>
                <w:color w:val="auto"/>
              </w:rPr>
            </w:pPr>
          </w:p>
        </w:tc>
      </w:tr>
      <w:tr>
        <w:trPr>
          <w:trHeight w:val="320"/>
        </w:trPr>
        <w:tc>
          <w:tcPr>
            <w:tcW w:w="11240" w:type="dxa"/>
            <w:vAlign w:val="bottom"/>
            <w:gridSpan w:val="2"/>
          </w:tcPr>
          <w:p>
            <w:pPr>
              <w:ind w:left="1640"/>
              <w:spacing w:after="0"/>
              <w:rPr>
                <w:sz w:val="20"/>
                <w:szCs w:val="20"/>
                <w:color w:val="auto"/>
              </w:rPr>
            </w:pPr>
            <w:r>
              <w:rPr>
                <w:rFonts w:ascii="Arial" w:cs="Arial" w:eastAsia="Arial" w:hAnsi="Arial"/>
                <w:sz w:val="15"/>
                <w:szCs w:val="15"/>
                <w:color w:val="auto"/>
              </w:rPr>
              <w:t>Co-Founder and Managing Partner of Piedmont Capital Partners, LLC, Piedmont Capital Partners II, LLC and Piedmont Capital</w:t>
            </w:r>
          </w:p>
        </w:tc>
      </w:tr>
      <w:tr>
        <w:trPr>
          <w:trHeight w:val="200"/>
        </w:trPr>
        <w:tc>
          <w:tcPr>
            <w:tcW w:w="4180" w:type="dxa"/>
            <w:vAlign w:val="bottom"/>
          </w:tcPr>
          <w:p>
            <w:pPr>
              <w:ind w:left="1640"/>
              <w:spacing w:after="0"/>
              <w:rPr>
                <w:sz w:val="20"/>
                <w:szCs w:val="20"/>
                <w:color w:val="auto"/>
              </w:rPr>
            </w:pPr>
            <w:r>
              <w:rPr>
                <w:rFonts w:ascii="Arial" w:cs="Arial" w:eastAsia="Arial" w:hAnsi="Arial"/>
                <w:sz w:val="15"/>
                <w:szCs w:val="15"/>
                <w:color w:val="auto"/>
              </w:rPr>
              <w:t>Investments, LLC</w:t>
            </w:r>
          </w:p>
        </w:tc>
        <w:tc>
          <w:tcPr>
            <w:tcW w:w="7060" w:type="dxa"/>
            <w:vAlign w:val="bottom"/>
          </w:tcPr>
          <w:p>
            <w:pPr>
              <w:spacing w:after="0"/>
              <w:rPr>
                <w:sz w:val="17"/>
                <w:szCs w:val="17"/>
                <w:color w:val="auto"/>
              </w:rPr>
            </w:pPr>
          </w:p>
        </w:tc>
      </w:tr>
      <w:tr>
        <w:trPr>
          <w:trHeight w:val="327"/>
        </w:trPr>
        <w:tc>
          <w:tcPr>
            <w:tcW w:w="4180" w:type="dxa"/>
            <w:vAlign w:val="bottom"/>
          </w:tcPr>
          <w:p>
            <w:pPr>
              <w:ind w:left="164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60</w:t>
            </w:r>
          </w:p>
        </w:tc>
        <w:tc>
          <w:tcPr>
            <w:tcW w:w="7060" w:type="dxa"/>
            <w:vAlign w:val="bottom"/>
          </w:tcPr>
          <w:p>
            <w:pPr>
              <w:ind w:left="1340"/>
              <w:spacing w:after="0"/>
              <w:rPr>
                <w:sz w:val="20"/>
                <w:szCs w:val="20"/>
                <w:color w:val="auto"/>
              </w:rPr>
            </w:pPr>
            <w:r>
              <w:rPr>
                <w:rFonts w:ascii="Arial" w:cs="Arial" w:eastAsia="Arial" w:hAnsi="Arial"/>
                <w:sz w:val="15"/>
                <w:szCs w:val="15"/>
                <w:b w:val="1"/>
                <w:bCs w:val="1"/>
                <w:color w:val="auto"/>
              </w:rPr>
              <w:t>Other Current Public Company Directorships: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028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tbl>
      <w:tblPr>
        <w:tblLayout w:type="fixed"/>
        <w:tblInd w:w="1640" w:type="dxa"/>
        <w:tblCellMar>
          <w:top w:w="0" w:type="dxa"/>
          <w:left w:w="0" w:type="dxa"/>
          <w:bottom w:w="0" w:type="dxa"/>
          <w:right w:w="0" w:type="dxa"/>
        </w:tblCellMar>
      </w:tblPr>
      <w:tr>
        <w:trPr>
          <w:trHeight w:val="200"/>
        </w:trPr>
        <w:tc>
          <w:tcPr>
            <w:tcW w:w="2960" w:type="dxa"/>
            <w:vAlign w:val="bottom"/>
            <w:vMerge w:val="restart"/>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October 2023</w:t>
            </w:r>
          </w:p>
        </w:tc>
        <w:tc>
          <w:tcPr>
            <w:tcW w:w="2300" w:type="dxa"/>
            <w:vAlign w:val="bottom"/>
          </w:tcPr>
          <w:p>
            <w:pPr>
              <w:ind w:left="920"/>
              <w:spacing w:after="0"/>
              <w:rPr>
                <w:sz w:val="20"/>
                <w:szCs w:val="20"/>
                <w:color w:val="auto"/>
              </w:rPr>
            </w:pPr>
            <w:r>
              <w:rPr>
                <w:rFonts w:ascii="Arial" w:cs="Arial" w:eastAsia="Arial" w:hAnsi="Arial"/>
                <w:sz w:val="15"/>
                <w:szCs w:val="15"/>
                <w:color w:val="auto"/>
              </w:rPr>
              <w:t>Travel + Leisure Co.</w:t>
            </w:r>
          </w:p>
        </w:tc>
        <w:tc>
          <w:tcPr>
            <w:tcW w:w="0" w:type="dxa"/>
            <w:vAlign w:val="bottom"/>
          </w:tcPr>
          <w:p>
            <w:pPr>
              <w:spacing w:after="0"/>
              <w:rPr>
                <w:sz w:val="1"/>
                <w:szCs w:val="1"/>
                <w:color w:val="auto"/>
              </w:rPr>
            </w:pPr>
          </w:p>
        </w:tc>
      </w:tr>
      <w:tr>
        <w:trPr>
          <w:trHeight w:val="61"/>
        </w:trPr>
        <w:tc>
          <w:tcPr>
            <w:tcW w:w="2960" w:type="dxa"/>
            <w:vAlign w:val="bottom"/>
            <w:vMerge w:val="continue"/>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Audit</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00A0E0"/>
        </w:rPr>
        <w:t>Career Highlights:</w:t>
      </w:r>
    </w:p>
    <w:p>
      <w:pPr>
        <w:sectPr>
          <w:pgSz w:w="11900" w:h="16838" w:orient="portrait"/>
          <w:cols w:equalWidth="0" w:num="1">
            <w:col w:w="11240"/>
          </w:cols>
          <w:pgMar w:left="320" w:top="122" w:right="339" w:bottom="1440" w:gutter="0" w:footer="0" w:header="0"/>
          <w:type w:val="continuous"/>
        </w:sectPr>
      </w:pPr>
    </w:p>
    <w:p>
      <w:pPr>
        <w:spacing w:after="0" w:line="218" w:lineRule="exact"/>
        <w:rPr>
          <w:sz w:val="20"/>
          <w:szCs w:val="20"/>
          <w:color w:val="auto"/>
        </w:rPr>
      </w:pPr>
    </w:p>
    <w:p>
      <w:pPr>
        <w:ind w:left="260" w:hanging="252"/>
        <w:spacing w:after="0" w:line="222" w:lineRule="auto"/>
        <w:tabs>
          <w:tab w:leader="none" w:pos="260" w:val="left"/>
        </w:tabs>
        <w:numPr>
          <w:ilvl w:val="0"/>
          <w:numId w:val="17"/>
        </w:numPr>
        <w:rPr>
          <w:rFonts w:ascii="Arial" w:cs="Arial" w:eastAsia="Arial" w:hAnsi="Arial"/>
          <w:sz w:val="17"/>
          <w:szCs w:val="17"/>
          <w:color w:val="00A0E0"/>
        </w:rPr>
      </w:pPr>
      <w:r>
        <w:rPr>
          <w:rFonts w:ascii="Arial" w:cs="Arial" w:eastAsia="Arial" w:hAnsi="Arial"/>
          <w:sz w:val="15"/>
          <w:szCs w:val="15"/>
          <w:color w:val="auto"/>
        </w:rPr>
        <w:t>Co-Founder and Managing Partner of Piedmont Capital Partners, LLC, Piedmont Capital Partners II, LLC and Piedmont Capital Investments, LLC, 2013, 2019 and 2020, respectively – Present</w:t>
      </w:r>
    </w:p>
    <w:p>
      <w:pPr>
        <w:ind w:left="260" w:hanging="252"/>
        <w:spacing w:after="0" w:line="228" w:lineRule="auto"/>
        <w:tabs>
          <w:tab w:leader="none" w:pos="260" w:val="left"/>
        </w:tabs>
        <w:numPr>
          <w:ilvl w:val="0"/>
          <w:numId w:val="17"/>
        </w:numPr>
        <w:rPr>
          <w:rFonts w:ascii="Arial" w:cs="Arial" w:eastAsia="Arial" w:hAnsi="Arial"/>
          <w:sz w:val="17"/>
          <w:szCs w:val="17"/>
          <w:color w:val="00A0E0"/>
        </w:rPr>
      </w:pPr>
      <w:r>
        <w:rPr>
          <w:rFonts w:ascii="Arial" w:cs="Arial" w:eastAsia="Arial" w:hAnsi="Arial"/>
          <w:sz w:val="15"/>
          <w:szCs w:val="15"/>
          <w:color w:val="auto"/>
        </w:rPr>
        <w:t>President (2014 – 2024) and Director (since 2014) of Blue Current, Inc.</w:t>
      </w:r>
    </w:p>
    <w:p>
      <w:pPr>
        <w:spacing w:after="0" w:line="3" w:lineRule="exact"/>
        <w:rPr>
          <w:rFonts w:ascii="Arial" w:cs="Arial" w:eastAsia="Arial" w:hAnsi="Arial"/>
          <w:sz w:val="17"/>
          <w:szCs w:val="17"/>
          <w:color w:val="00A0E0"/>
        </w:rPr>
      </w:pPr>
    </w:p>
    <w:p>
      <w:pPr>
        <w:ind w:left="260" w:right="60" w:hanging="252"/>
        <w:spacing w:after="0" w:line="227" w:lineRule="auto"/>
        <w:tabs>
          <w:tab w:leader="none" w:pos="260" w:val="left"/>
        </w:tabs>
        <w:numPr>
          <w:ilvl w:val="0"/>
          <w:numId w:val="17"/>
        </w:numPr>
        <w:rPr>
          <w:rFonts w:ascii="Arial" w:cs="Arial" w:eastAsia="Arial" w:hAnsi="Arial"/>
          <w:sz w:val="17"/>
          <w:szCs w:val="17"/>
          <w:color w:val="00A0E0"/>
        </w:rPr>
      </w:pPr>
      <w:r>
        <w:rPr>
          <w:rFonts w:ascii="Arial" w:cs="Arial" w:eastAsia="Arial" w:hAnsi="Arial"/>
          <w:sz w:val="15"/>
          <w:szCs w:val="15"/>
          <w:color w:val="auto"/>
        </w:rPr>
        <w:t>Vice President of Investments at Wells Fargo Advisors Financial Services, 1996 – 2013</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251" w:hanging="251"/>
        <w:spacing w:after="0"/>
        <w:tabs>
          <w:tab w:leader="none" w:pos="251" w:val="left"/>
        </w:tabs>
        <w:numPr>
          <w:ilvl w:val="0"/>
          <w:numId w:val="18"/>
        </w:numPr>
        <w:rPr>
          <w:rFonts w:ascii="Arial" w:cs="Arial" w:eastAsia="Arial" w:hAnsi="Arial"/>
          <w:sz w:val="17"/>
          <w:szCs w:val="17"/>
          <w:color w:val="00A0E0"/>
        </w:rPr>
      </w:pPr>
      <w:r>
        <w:rPr>
          <w:rFonts w:ascii="Arial" w:cs="Arial" w:eastAsia="Arial" w:hAnsi="Arial"/>
          <w:sz w:val="15"/>
          <w:szCs w:val="15"/>
          <w:color w:val="auto"/>
        </w:rPr>
        <w:t>Board Member, Piedmont Triad Partnership</w:t>
      </w:r>
    </w:p>
    <w:p>
      <w:pPr>
        <w:spacing w:after="0" w:line="7" w:lineRule="exact"/>
        <w:rPr>
          <w:rFonts w:ascii="Arial" w:cs="Arial" w:eastAsia="Arial" w:hAnsi="Arial"/>
          <w:sz w:val="17"/>
          <w:szCs w:val="17"/>
          <w:color w:val="00A0E0"/>
        </w:rPr>
      </w:pPr>
    </w:p>
    <w:p>
      <w:pPr>
        <w:ind w:left="251" w:hanging="251"/>
        <w:spacing w:after="0" w:line="228" w:lineRule="auto"/>
        <w:tabs>
          <w:tab w:leader="none" w:pos="251" w:val="left"/>
        </w:tabs>
        <w:numPr>
          <w:ilvl w:val="0"/>
          <w:numId w:val="18"/>
        </w:numPr>
        <w:rPr>
          <w:rFonts w:ascii="Arial" w:cs="Arial" w:eastAsia="Arial" w:hAnsi="Arial"/>
          <w:sz w:val="17"/>
          <w:szCs w:val="17"/>
          <w:color w:val="00A0E0"/>
        </w:rPr>
      </w:pPr>
      <w:r>
        <w:rPr>
          <w:rFonts w:ascii="Arial" w:cs="Arial" w:eastAsia="Arial" w:hAnsi="Arial"/>
          <w:sz w:val="15"/>
          <w:szCs w:val="15"/>
          <w:color w:val="auto"/>
        </w:rPr>
        <w:t>Board Member, The Bryan Foundation</w:t>
      </w:r>
    </w:p>
    <w:p>
      <w:pPr>
        <w:spacing w:after="0" w:line="3" w:lineRule="exact"/>
        <w:rPr>
          <w:rFonts w:ascii="Arial" w:cs="Arial" w:eastAsia="Arial" w:hAnsi="Arial"/>
          <w:sz w:val="17"/>
          <w:szCs w:val="17"/>
          <w:color w:val="00A0E0"/>
        </w:rPr>
      </w:pPr>
    </w:p>
    <w:p>
      <w:pPr>
        <w:ind w:left="251" w:right="240" w:hanging="251"/>
        <w:spacing w:after="0" w:line="211" w:lineRule="auto"/>
        <w:tabs>
          <w:tab w:leader="none" w:pos="251" w:val="left"/>
        </w:tabs>
        <w:numPr>
          <w:ilvl w:val="0"/>
          <w:numId w:val="18"/>
        </w:numPr>
        <w:rPr>
          <w:rFonts w:ascii="Arial" w:cs="Arial" w:eastAsia="Arial" w:hAnsi="Arial"/>
          <w:sz w:val="17"/>
          <w:szCs w:val="17"/>
          <w:color w:val="00A0E0"/>
        </w:rPr>
      </w:pPr>
      <w:r>
        <w:rPr>
          <w:rFonts w:ascii="Arial" w:cs="Arial" w:eastAsia="Arial" w:hAnsi="Arial"/>
          <w:sz w:val="15"/>
          <w:szCs w:val="15"/>
          <w:color w:val="auto"/>
        </w:rPr>
        <w:t>Advisory Board, The Shuford Program in Entrepreneurship, University of North Carolina at Chapel Hill</w:t>
      </w:r>
    </w:p>
    <w:p>
      <w:pPr>
        <w:ind w:left="251" w:hanging="251"/>
        <w:spacing w:after="0" w:line="228" w:lineRule="auto"/>
        <w:tabs>
          <w:tab w:leader="none" w:pos="251" w:val="left"/>
        </w:tabs>
        <w:numPr>
          <w:ilvl w:val="0"/>
          <w:numId w:val="18"/>
        </w:numPr>
        <w:rPr>
          <w:rFonts w:ascii="Arial" w:cs="Arial" w:eastAsia="Arial" w:hAnsi="Arial"/>
          <w:sz w:val="17"/>
          <w:szCs w:val="17"/>
          <w:color w:val="00A0E0"/>
        </w:rPr>
      </w:pPr>
      <w:r>
        <w:rPr>
          <w:rFonts w:ascii="Arial" w:cs="Arial" w:eastAsia="Arial" w:hAnsi="Arial"/>
          <w:sz w:val="15"/>
          <w:szCs w:val="15"/>
          <w:color w:val="auto"/>
        </w:rPr>
        <w:t>Co-Chair, Board of Directors, Shift_Ed</w:t>
      </w:r>
    </w:p>
    <w:p>
      <w:pPr>
        <w:spacing w:after="0" w:line="289" w:lineRule="exact"/>
        <w:rPr>
          <w:sz w:val="20"/>
          <w:szCs w:val="20"/>
          <w:color w:val="auto"/>
        </w:rPr>
      </w:pPr>
    </w:p>
    <w:p>
      <w:pPr>
        <w:sectPr>
          <w:pgSz w:w="11900" w:h="16838" w:orient="portrait"/>
          <w:cols w:equalWidth="0" w:num="2">
            <w:col w:w="5320" w:space="529"/>
            <w:col w:w="5391"/>
          </w:cols>
          <w:pgMar w:left="320" w:top="122"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00A0E0"/>
        </w:rPr>
        <w:t>Skills and Qualifications:</w:t>
      </w:r>
    </w:p>
    <w:p>
      <w:pPr>
        <w:spacing w:after="0" w:line="177" w:lineRule="exact"/>
        <w:rPr>
          <w:sz w:val="20"/>
          <w:szCs w:val="20"/>
          <w:color w:val="auto"/>
        </w:rPr>
      </w:pPr>
    </w:p>
    <w:p>
      <w:pPr>
        <w:ind w:right="160"/>
        <w:spacing w:after="0" w:line="234" w:lineRule="auto"/>
        <w:rPr>
          <w:sz w:val="20"/>
          <w:szCs w:val="20"/>
          <w:color w:val="auto"/>
        </w:rPr>
      </w:pPr>
      <w:r>
        <w:rPr>
          <w:rFonts w:ascii="Arial" w:cs="Arial" w:eastAsia="Arial" w:hAnsi="Arial"/>
          <w:sz w:val="15"/>
          <w:szCs w:val="15"/>
          <w:color w:val="auto"/>
        </w:rPr>
        <w:t>Ms. Brady is a seasoned and proven business leader, having served on several management teams and company boards. As a venture capitalist, Ms. Brady has made transformative investments in emerging technology companies. She also served as the President of Blue Current, Inc., a company that develops battery technology. Ms. Brady has supported the development of innovative business ideas, including as an Advisory Board member of The Shuford Program in Entrepreneurship at the University of North Carolina at Chapel Hill. Ms. Brady has over a decade of experience in venture capital investing and prior to that held investment-related roles at Wells Fargo Advisors and Bank of America. Her background in finance, investing, portfolio management and commercial banking enable her to give input into the Board’s evaluation of key financial, strategic and business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291465" cy="316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1465" cy="31686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107315</wp:posOffset>
            </wp:positionV>
            <wp:extent cx="291465" cy="300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1465" cy="300355"/>
                    </a:xfrm>
                    <a:prstGeom prst="rect">
                      <a:avLst/>
                    </a:prstGeom>
                    <a:noFill/>
                  </pic:spPr>
                </pic:pic>
              </a:graphicData>
            </a:graphic>
          </wp:anchor>
        </w:drawing>
      </w:r>
    </w:p>
    <w:p>
      <w:pPr>
        <w:spacing w:after="0" w:line="118" w:lineRule="exact"/>
        <w:rPr>
          <w:sz w:val="20"/>
          <w:szCs w:val="20"/>
          <w:color w:val="auto"/>
        </w:rPr>
      </w:pPr>
    </w:p>
    <w:p>
      <w:pPr>
        <w:ind w:left="580"/>
        <w:spacing w:after="0"/>
        <w:tabs>
          <w:tab w:leader="none" w:pos="8040" w:val="left"/>
        </w:tabs>
        <w:rPr>
          <w:sz w:val="20"/>
          <w:szCs w:val="20"/>
          <w:color w:val="auto"/>
        </w:rPr>
      </w:pPr>
      <w:r>
        <w:rPr>
          <w:rFonts w:ascii="Arial" w:cs="Arial" w:eastAsia="Arial" w:hAnsi="Arial"/>
          <w:sz w:val="15"/>
          <w:szCs w:val="15"/>
          <w:color w:val="auto"/>
        </w:rPr>
        <w:t xml:space="preserve">Executive Leadership                     </w:t>
      </w:r>
      <w:r>
        <w:rPr>
          <w:sz w:val="1"/>
          <w:szCs w:val="1"/>
          <w:color w:val="auto"/>
        </w:rPr>
        <w:drawing>
          <wp:inline distT="0" distB="0" distL="0" distR="0">
            <wp:extent cx="291465" cy="29146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1465" cy="291465"/>
                    </a:xfrm>
                    <a:prstGeom prst="rect">
                      <a:avLst/>
                    </a:prstGeom>
                    <a:noFill/>
                    <a:ln>
                      <a:noFill/>
                    </a:ln>
                  </pic:spPr>
                </pic:pic>
              </a:graphicData>
            </a:graphic>
          </wp:inline>
        </w:drawing>
      </w:r>
      <w:r>
        <w:rPr>
          <w:rFonts w:ascii="Arial" w:cs="Arial" w:eastAsia="Arial" w:hAnsi="Arial"/>
          <w:sz w:val="15"/>
          <w:szCs w:val="15"/>
          <w:color w:val="auto"/>
        </w:rPr>
        <w:t xml:space="preserve">  Technology</w:t>
      </w:r>
      <w:r>
        <w:rPr>
          <w:sz w:val="20"/>
          <w:szCs w:val="20"/>
          <w:color w:val="auto"/>
        </w:rPr>
        <w:tab/>
      </w:r>
      <w:r>
        <w:rPr>
          <w:rFonts w:ascii="Arial" w:cs="Arial" w:eastAsia="Arial" w:hAnsi="Arial"/>
          <w:sz w:val="15"/>
          <w:szCs w:val="15"/>
          <w:color w:val="auto"/>
        </w:rPr>
        <w:t>Financial/Accounting</w:t>
      </w:r>
    </w:p>
    <w:p>
      <w:pPr>
        <w:spacing w:after="0" w:line="225"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291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311"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Edward D. Breen</w:t>
      </w:r>
    </w:p>
    <w:p>
      <w:pPr>
        <w:spacing w:after="0" w:line="285"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Executive Chairman of DuPont de Nemours, Inc.</w:t>
      </w:r>
    </w:p>
    <w:p>
      <w:pPr>
        <w:spacing w:after="0" w:line="150" w:lineRule="exact"/>
        <w:rPr>
          <w:sz w:val="20"/>
          <w:szCs w:val="20"/>
          <w:color w:val="auto"/>
        </w:rPr>
      </w:pPr>
    </w:p>
    <w:p>
      <w:pPr>
        <w:ind w:left="164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69</w:t>
      </w:r>
    </w:p>
    <w:p>
      <w:pPr>
        <w:spacing w:after="0" w:line="71" w:lineRule="exact"/>
        <w:rPr>
          <w:sz w:val="20"/>
          <w:szCs w:val="20"/>
          <w:color w:val="auto"/>
        </w:rPr>
      </w:pPr>
    </w:p>
    <w:p>
      <w:pPr>
        <w:ind w:left="164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February 2014</w:t>
      </w:r>
    </w:p>
    <w:p>
      <w:pPr>
        <w:spacing w:after="0" w:line="57" w:lineRule="exact"/>
        <w:rPr>
          <w:sz w:val="20"/>
          <w:szCs w:val="20"/>
          <w:color w:val="auto"/>
        </w:rPr>
      </w:pPr>
    </w:p>
    <w:p>
      <w:pPr>
        <w:ind w:left="164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Compensation and Human Capital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00A0E0"/>
        </w:rPr>
        <w:t>Career Highlights:</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right"/>
        <w:ind w:right="180"/>
        <w:spacing w:after="0"/>
        <w:rPr>
          <w:sz w:val="20"/>
          <w:szCs w:val="20"/>
          <w:color w:val="auto"/>
        </w:rPr>
      </w:pPr>
      <w:r>
        <w:rPr>
          <w:rFonts w:ascii="Arial" w:cs="Arial" w:eastAsia="Arial" w:hAnsi="Arial"/>
          <w:sz w:val="15"/>
          <w:szCs w:val="15"/>
          <w:b w:val="1"/>
          <w:bCs w:val="1"/>
          <w:color w:val="FFFFFF"/>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74295</wp:posOffset>
            </wp:positionV>
            <wp:extent cx="7132320" cy="1036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0369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Current Public Company Directorships: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DuPont de Nemours, Inc.</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Former Public Company Directorships: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Corteva, Inc., International Flavors &amp; Fragrances, Inc.</w:t>
      </w:r>
    </w:p>
    <w:p>
      <w:pPr>
        <w:spacing w:after="0" w:line="944" w:lineRule="exact"/>
        <w:rPr>
          <w:sz w:val="20"/>
          <w:szCs w:val="20"/>
          <w:color w:val="auto"/>
        </w:rPr>
      </w:pPr>
    </w:p>
    <w:p>
      <w:pPr>
        <w:sectPr>
          <w:pgSz w:w="11900" w:h="16838" w:orient="portrait"/>
          <w:cols w:equalWidth="0" w:num="2">
            <w:col w:w="4960" w:space="560"/>
            <w:col w:w="572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5600" w:type="dxa"/>
            <w:vAlign w:val="bottom"/>
          </w:tcPr>
          <w:p>
            <w:pPr>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5"/>
                <w:szCs w:val="15"/>
                <w:color w:val="000000"/>
              </w:rPr>
              <w:t>Executive Chairman (since 2019) and Chief Executive Officer (2020 –</w:t>
            </w:r>
          </w:p>
        </w:tc>
        <w:tc>
          <w:tcPr>
            <w:tcW w:w="5400" w:type="dxa"/>
            <w:vAlign w:val="bottom"/>
          </w:tcPr>
          <w:p>
            <w:pPr>
              <w:ind w:left="240"/>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5"/>
                <w:szCs w:val="15"/>
                <w:color w:val="000000"/>
              </w:rPr>
              <w:t>Previous President, Motorola, and multiple leadership roles in Motorola’s</w:t>
            </w:r>
          </w:p>
        </w:tc>
      </w:tr>
      <w:tr>
        <w:trPr>
          <w:trHeight w:val="153"/>
        </w:trPr>
        <w:tc>
          <w:tcPr>
            <w:tcW w:w="5600" w:type="dxa"/>
            <w:vAlign w:val="bottom"/>
          </w:tcPr>
          <w:p>
            <w:pPr>
              <w:ind w:left="260"/>
              <w:spacing w:after="0" w:line="154" w:lineRule="exact"/>
              <w:rPr>
                <w:sz w:val="20"/>
                <w:szCs w:val="20"/>
                <w:color w:val="auto"/>
              </w:rPr>
            </w:pPr>
            <w:r>
              <w:rPr>
                <w:rFonts w:ascii="Arial" w:cs="Arial" w:eastAsia="Arial" w:hAnsi="Arial"/>
                <w:sz w:val="15"/>
                <w:szCs w:val="15"/>
                <w:color w:val="auto"/>
              </w:rPr>
              <w:t>2024), DuPont de Nemours, Inc., a provider of technology-based materials,</w:t>
            </w:r>
          </w:p>
        </w:tc>
        <w:tc>
          <w:tcPr>
            <w:tcW w:w="5400" w:type="dxa"/>
            <w:vAlign w:val="bottom"/>
          </w:tcPr>
          <w:p>
            <w:pPr>
              <w:ind w:left="500"/>
              <w:spacing w:after="0" w:line="154" w:lineRule="exact"/>
              <w:rPr>
                <w:sz w:val="20"/>
                <w:szCs w:val="20"/>
                <w:color w:val="auto"/>
              </w:rPr>
            </w:pPr>
            <w:r>
              <w:rPr>
                <w:rFonts w:ascii="Arial" w:cs="Arial" w:eastAsia="Arial" w:hAnsi="Arial"/>
                <w:sz w:val="15"/>
                <w:szCs w:val="15"/>
                <w:color w:val="auto"/>
              </w:rPr>
              <w:t>Networks Sector and Broadband Communications Sector</w:t>
            </w:r>
          </w:p>
        </w:tc>
      </w:tr>
      <w:tr>
        <w:trPr>
          <w:trHeight w:val="171"/>
        </w:trPr>
        <w:tc>
          <w:tcPr>
            <w:tcW w:w="5600" w:type="dxa"/>
            <w:vAlign w:val="bottom"/>
          </w:tcPr>
          <w:p>
            <w:pPr>
              <w:ind w:left="260"/>
              <w:spacing w:after="0" w:line="171" w:lineRule="exact"/>
              <w:rPr>
                <w:sz w:val="20"/>
                <w:szCs w:val="20"/>
                <w:color w:val="auto"/>
              </w:rPr>
            </w:pPr>
            <w:r>
              <w:rPr>
                <w:rFonts w:ascii="Arial" w:cs="Arial" w:eastAsia="Arial" w:hAnsi="Arial"/>
                <w:sz w:val="15"/>
                <w:szCs w:val="15"/>
                <w:color w:val="auto"/>
              </w:rPr>
              <w:t>ingredients and solutions</w:t>
            </w:r>
          </w:p>
        </w:tc>
        <w:tc>
          <w:tcPr>
            <w:tcW w:w="5400" w:type="dxa"/>
            <w:vAlign w:val="bottom"/>
          </w:tcPr>
          <w:p>
            <w:pPr>
              <w:ind w:left="240"/>
              <w:spacing w:after="0" w:line="171" w:lineRule="exact"/>
              <w:rPr>
                <w:sz w:val="20"/>
                <w:szCs w:val="20"/>
                <w:color w:val="auto"/>
              </w:rPr>
            </w:pPr>
            <w:r>
              <w:rPr>
                <w:rFonts w:ascii="Arial" w:cs="Arial" w:eastAsia="Arial" w:hAnsi="Arial"/>
                <w:sz w:val="17"/>
                <w:szCs w:val="17"/>
                <w:color w:val="00A0E0"/>
              </w:rPr>
              <w:t xml:space="preserve">●  </w:t>
            </w:r>
            <w:r>
              <w:rPr>
                <w:rFonts w:ascii="Arial" w:cs="Arial" w:eastAsia="Arial" w:hAnsi="Arial"/>
                <w:sz w:val="15"/>
                <w:szCs w:val="15"/>
                <w:color w:val="000000"/>
              </w:rPr>
              <w:t>Chairman, President and Chief Executive Officer, General Instrument</w:t>
            </w:r>
          </w:p>
        </w:tc>
      </w:tr>
      <w:tr>
        <w:trPr>
          <w:trHeight w:val="162"/>
        </w:trPr>
        <w:tc>
          <w:tcPr>
            <w:tcW w:w="5600" w:type="dxa"/>
            <w:vAlign w:val="bottom"/>
          </w:tcPr>
          <w:p>
            <w:pPr>
              <w:spacing w:after="0" w:line="162" w:lineRule="exact"/>
              <w:rPr>
                <w:sz w:val="20"/>
                <w:szCs w:val="20"/>
                <w:color w:val="auto"/>
              </w:rPr>
            </w:pPr>
            <w:r>
              <w:rPr>
                <w:rFonts w:ascii="Arial" w:cs="Arial" w:eastAsia="Arial" w:hAnsi="Arial"/>
                <w:sz w:val="17"/>
                <w:szCs w:val="17"/>
                <w:color w:val="00A0E0"/>
              </w:rPr>
              <w:t xml:space="preserve">●  </w:t>
            </w:r>
            <w:r>
              <w:rPr>
                <w:rFonts w:ascii="Arial" w:cs="Arial" w:eastAsia="Arial" w:hAnsi="Arial"/>
                <w:sz w:val="15"/>
                <w:szCs w:val="15"/>
                <w:color w:val="000000"/>
              </w:rPr>
              <w:t>Chief Executive Officer and Director, DowDuPont, 2017 – 2019</w:t>
            </w:r>
          </w:p>
        </w:tc>
        <w:tc>
          <w:tcPr>
            <w:tcW w:w="5400" w:type="dxa"/>
            <w:vAlign w:val="bottom"/>
          </w:tcPr>
          <w:p>
            <w:pPr>
              <w:ind w:left="500"/>
              <w:spacing w:after="0" w:line="162" w:lineRule="exact"/>
              <w:rPr>
                <w:sz w:val="20"/>
                <w:szCs w:val="20"/>
                <w:color w:val="auto"/>
              </w:rPr>
            </w:pPr>
            <w:r>
              <w:rPr>
                <w:rFonts w:ascii="Arial" w:cs="Arial" w:eastAsia="Arial" w:hAnsi="Arial"/>
                <w:sz w:val="15"/>
                <w:szCs w:val="15"/>
                <w:color w:val="auto"/>
              </w:rPr>
              <w:t>Corporation, 1997 – 2000</w:t>
            </w:r>
          </w:p>
        </w:tc>
      </w:tr>
      <w:tr>
        <w:trPr>
          <w:trHeight w:val="189"/>
        </w:trPr>
        <w:tc>
          <w:tcPr>
            <w:tcW w:w="5600" w:type="dxa"/>
            <w:vAlign w:val="bottom"/>
          </w:tcPr>
          <w:p>
            <w:pPr>
              <w:spacing w:after="0" w:line="189" w:lineRule="exact"/>
              <w:rPr>
                <w:sz w:val="20"/>
                <w:szCs w:val="20"/>
                <w:color w:val="auto"/>
              </w:rPr>
            </w:pPr>
            <w:r>
              <w:rPr>
                <w:rFonts w:ascii="Arial" w:cs="Arial" w:eastAsia="Arial" w:hAnsi="Arial"/>
                <w:sz w:val="17"/>
                <w:szCs w:val="17"/>
                <w:color w:val="00A0E0"/>
              </w:rPr>
              <w:t xml:space="preserve">●  </w:t>
            </w:r>
            <w:r>
              <w:rPr>
                <w:rFonts w:ascii="Arial" w:cs="Arial" w:eastAsia="Arial" w:hAnsi="Arial"/>
                <w:sz w:val="15"/>
                <w:szCs w:val="15"/>
                <w:color w:val="000000"/>
              </w:rPr>
              <w:t>Chairman and Chief Executive Officer, E.I. du Pont de Nemours &amp; Co.,</w:t>
            </w:r>
          </w:p>
        </w:tc>
        <w:tc>
          <w:tcPr>
            <w:tcW w:w="5400" w:type="dxa"/>
            <w:vAlign w:val="bottom"/>
          </w:tcPr>
          <w:p>
            <w:pPr>
              <w:ind w:left="240"/>
              <w:spacing w:after="0" w:line="189" w:lineRule="exact"/>
              <w:rPr>
                <w:sz w:val="20"/>
                <w:szCs w:val="20"/>
                <w:color w:val="auto"/>
              </w:rPr>
            </w:pPr>
            <w:r>
              <w:rPr>
                <w:rFonts w:ascii="Arial" w:cs="Arial" w:eastAsia="Arial" w:hAnsi="Arial"/>
                <w:sz w:val="17"/>
                <w:szCs w:val="17"/>
                <w:color w:val="00A0E0"/>
              </w:rPr>
              <w:t xml:space="preserve">●  </w:t>
            </w:r>
            <w:r>
              <w:rPr>
                <w:rFonts w:ascii="Arial" w:cs="Arial" w:eastAsia="Arial" w:hAnsi="Arial"/>
                <w:sz w:val="15"/>
                <w:szCs w:val="15"/>
                <w:color w:val="000000"/>
              </w:rPr>
              <w:t>Previously a director of Comcast from 2005 – 2011</w:t>
            </w:r>
          </w:p>
        </w:tc>
      </w:tr>
      <w:tr>
        <w:trPr>
          <w:trHeight w:val="162"/>
        </w:trPr>
        <w:tc>
          <w:tcPr>
            <w:tcW w:w="5600" w:type="dxa"/>
            <w:vAlign w:val="bottom"/>
          </w:tcPr>
          <w:p>
            <w:pPr>
              <w:ind w:left="260"/>
              <w:spacing w:after="0" w:line="162" w:lineRule="exact"/>
              <w:rPr>
                <w:sz w:val="20"/>
                <w:szCs w:val="20"/>
                <w:color w:val="auto"/>
              </w:rPr>
            </w:pPr>
            <w:r>
              <w:rPr>
                <w:rFonts w:ascii="Arial" w:cs="Arial" w:eastAsia="Arial" w:hAnsi="Arial"/>
                <w:sz w:val="15"/>
                <w:szCs w:val="15"/>
                <w:color w:val="auto"/>
              </w:rPr>
              <w:t>2015 – 2017</w:t>
            </w:r>
          </w:p>
        </w:tc>
        <w:tc>
          <w:tcPr>
            <w:tcW w:w="5400" w:type="dxa"/>
            <w:vAlign w:val="bottom"/>
          </w:tcPr>
          <w:p>
            <w:pPr>
              <w:ind w:left="240"/>
              <w:spacing w:after="0" w:line="162" w:lineRule="exact"/>
              <w:rPr>
                <w:sz w:val="20"/>
                <w:szCs w:val="20"/>
                <w:color w:val="auto"/>
              </w:rPr>
            </w:pPr>
            <w:r>
              <w:rPr>
                <w:rFonts w:ascii="Arial" w:cs="Arial" w:eastAsia="Arial" w:hAnsi="Arial"/>
                <w:sz w:val="17"/>
                <w:szCs w:val="17"/>
                <w:color w:val="00A0E0"/>
              </w:rPr>
              <w:t xml:space="preserve">●  </w:t>
            </w:r>
            <w:r>
              <w:rPr>
                <w:rFonts w:ascii="Arial" w:cs="Arial" w:eastAsia="Arial" w:hAnsi="Arial"/>
                <w:sz w:val="15"/>
                <w:szCs w:val="15"/>
                <w:color w:val="000000"/>
              </w:rPr>
              <w:t>Chair, Board of Trustees, Grove City College</w:t>
            </w:r>
          </w:p>
        </w:tc>
      </w:tr>
      <w:tr>
        <w:trPr>
          <w:trHeight w:val="162"/>
        </w:trPr>
        <w:tc>
          <w:tcPr>
            <w:tcW w:w="5600" w:type="dxa"/>
            <w:vAlign w:val="bottom"/>
          </w:tcPr>
          <w:p>
            <w:pPr>
              <w:spacing w:after="0" w:line="162" w:lineRule="exact"/>
              <w:rPr>
                <w:sz w:val="20"/>
                <w:szCs w:val="20"/>
                <w:color w:val="auto"/>
              </w:rPr>
            </w:pPr>
            <w:r>
              <w:rPr>
                <w:rFonts w:ascii="Arial" w:cs="Arial" w:eastAsia="Arial" w:hAnsi="Arial"/>
                <w:sz w:val="17"/>
                <w:szCs w:val="17"/>
                <w:color w:val="00A0E0"/>
              </w:rPr>
              <w:t xml:space="preserve">●  </w:t>
            </w:r>
            <w:r>
              <w:rPr>
                <w:rFonts w:ascii="Arial" w:cs="Arial" w:eastAsia="Arial" w:hAnsi="Arial"/>
                <w:sz w:val="15"/>
                <w:szCs w:val="15"/>
                <w:color w:val="000000"/>
              </w:rPr>
              <w:t>Chief Executive Officer, Tyco International Ltd., 2002 – 2012; Chairman</w:t>
            </w:r>
          </w:p>
        </w:tc>
        <w:tc>
          <w:tcPr>
            <w:tcW w:w="5400" w:type="dxa"/>
            <w:vAlign w:val="bottom"/>
          </w:tcPr>
          <w:p>
            <w:pPr>
              <w:spacing w:after="0"/>
              <w:rPr>
                <w:sz w:val="14"/>
                <w:szCs w:val="14"/>
                <w:color w:val="auto"/>
              </w:rPr>
            </w:pPr>
          </w:p>
        </w:tc>
      </w:tr>
      <w:tr>
        <w:trPr>
          <w:trHeight w:val="200"/>
        </w:trPr>
        <w:tc>
          <w:tcPr>
            <w:tcW w:w="5600" w:type="dxa"/>
            <w:vAlign w:val="bottom"/>
          </w:tcPr>
          <w:p>
            <w:pPr>
              <w:ind w:left="260"/>
              <w:spacing w:after="0"/>
              <w:rPr>
                <w:sz w:val="20"/>
                <w:szCs w:val="20"/>
                <w:color w:val="auto"/>
              </w:rPr>
            </w:pPr>
            <w:r>
              <w:rPr>
                <w:rFonts w:ascii="Arial" w:cs="Arial" w:eastAsia="Arial" w:hAnsi="Arial"/>
                <w:sz w:val="15"/>
                <w:szCs w:val="15"/>
                <w:color w:val="auto"/>
              </w:rPr>
              <w:t>until 2016</w:t>
            </w:r>
          </w:p>
        </w:tc>
        <w:tc>
          <w:tcPr>
            <w:tcW w:w="5400" w:type="dxa"/>
            <w:vAlign w:val="bottom"/>
          </w:tcPr>
          <w:p>
            <w:pPr>
              <w:spacing w:after="0"/>
              <w:rPr>
                <w:sz w:val="17"/>
                <w:szCs w:val="17"/>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00A0E0"/>
        </w:rPr>
        <w:t>Skills and Qualifications:</w:t>
      </w:r>
    </w:p>
    <w:p>
      <w:pPr>
        <w:spacing w:after="0" w:line="218" w:lineRule="exact"/>
        <w:rPr>
          <w:sz w:val="20"/>
          <w:szCs w:val="20"/>
          <w:color w:val="auto"/>
        </w:rPr>
      </w:pPr>
    </w:p>
    <w:p>
      <w:pPr>
        <w:ind w:right="60"/>
        <w:spacing w:after="0" w:line="234" w:lineRule="auto"/>
        <w:rPr>
          <w:sz w:val="20"/>
          <w:szCs w:val="20"/>
          <w:color w:val="auto"/>
        </w:rPr>
      </w:pPr>
      <w:r>
        <w:rPr>
          <w:rFonts w:ascii="Arial" w:cs="Arial" w:eastAsia="Arial" w:hAnsi="Arial"/>
          <w:sz w:val="15"/>
          <w:szCs w:val="15"/>
          <w:color w:val="auto"/>
        </w:rPr>
        <w:t>Mr. Breen currently serves as Executive Chairman of DuPont de Nemours, a role he has held prior to and following the merger of DuPont and the Dow Chemical Company. Previously he served as Chairman and CEO of Tyco International. These years of experience as a transformational leader position Mr. Breen well to oversee strategy, to provide input into capital allocation decisions and to support the Board’s oversight of strategic and financial management of our company. Additionally, Mr. Breen’s vast corporate board experience provides him with a deep foundation in the principles of corporate governance. From his experience at Tyco International and previously at Motorola, Mr. Breen has gained invaluable experience in the technology, equipment supplier and consumer products sectors. In particular, he has deep knowledge of how those sectors relate to our Connectivity and Platforms businesses.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20" w:type="dxa"/>
            <w:vAlign w:val="bottom"/>
          </w:tcPr>
          <w:p>
            <w:pPr>
              <w:spacing w:after="0"/>
              <w:rPr>
                <w:sz w:val="14"/>
                <w:szCs w:val="14"/>
                <w:color w:val="auto"/>
              </w:rPr>
            </w:pPr>
          </w:p>
        </w:tc>
        <w:tc>
          <w:tcPr>
            <w:tcW w:w="1360" w:type="dxa"/>
            <w:vAlign w:val="bottom"/>
            <w:vMerge w:val="restart"/>
          </w:tcPr>
          <w:p>
            <w:pPr>
              <w:ind w:left="40"/>
              <w:spacing w:after="0"/>
              <w:rPr>
                <w:sz w:val="20"/>
                <w:szCs w:val="20"/>
                <w:color w:val="auto"/>
              </w:rPr>
            </w:pPr>
            <w:r>
              <w:rPr>
                <w:rFonts w:ascii="Arial" w:cs="Arial" w:eastAsia="Arial" w:hAnsi="Arial"/>
                <w:sz w:val="15"/>
                <w:szCs w:val="15"/>
                <w:color w:val="auto"/>
              </w:rPr>
              <w:t>Relevant</w:t>
            </w:r>
          </w:p>
        </w:tc>
        <w:tc>
          <w:tcPr>
            <w:tcW w:w="1840" w:type="dxa"/>
            <w:vAlign w:val="bottom"/>
          </w:tcPr>
          <w:p>
            <w:pPr>
              <w:ind w:left="540"/>
              <w:spacing w:after="0"/>
              <w:rPr>
                <w:sz w:val="20"/>
                <w:szCs w:val="20"/>
                <w:color w:val="auto"/>
              </w:rPr>
            </w:pPr>
            <w:r>
              <w:rPr>
                <w:rFonts w:ascii="Arial" w:cs="Arial" w:eastAsia="Arial" w:hAnsi="Arial"/>
                <w:sz w:val="15"/>
                <w:szCs w:val="15"/>
                <w:color w:val="auto"/>
              </w:rPr>
              <w:t>Consumer</w:t>
            </w:r>
          </w:p>
        </w:tc>
        <w:tc>
          <w:tcPr>
            <w:tcW w:w="1880" w:type="dxa"/>
            <w:vAlign w:val="bottom"/>
          </w:tcPr>
          <w:p>
            <w:pPr>
              <w:spacing w:after="0"/>
              <w:rPr>
                <w:sz w:val="14"/>
                <w:szCs w:val="14"/>
                <w:color w:val="auto"/>
              </w:rPr>
            </w:pPr>
          </w:p>
        </w:tc>
        <w:tc>
          <w:tcPr>
            <w:tcW w:w="1960" w:type="dxa"/>
            <w:vAlign w:val="bottom"/>
            <w:vMerge w:val="restart"/>
          </w:tcPr>
          <w:p>
            <w:pPr>
              <w:ind w:left="520"/>
              <w:spacing w:after="0"/>
              <w:rPr>
                <w:sz w:val="20"/>
                <w:szCs w:val="20"/>
                <w:color w:val="auto"/>
              </w:rPr>
            </w:pPr>
            <w:r>
              <w:rPr>
                <w:rFonts w:ascii="Arial" w:cs="Arial" w:eastAsia="Arial" w:hAnsi="Arial"/>
                <w:sz w:val="15"/>
                <w:szCs w:val="15"/>
                <w:color w:val="auto"/>
              </w:rPr>
              <w:t>Risk</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420" w:type="dxa"/>
            <w:vAlign w:val="bottom"/>
            <w:vMerge w:val="restart"/>
          </w:tcPr>
          <w:p>
            <w:pPr>
              <w:ind w:left="580"/>
              <w:spacing w:after="0" w:line="162" w:lineRule="exact"/>
              <w:rPr>
                <w:sz w:val="20"/>
                <w:szCs w:val="20"/>
                <w:color w:val="auto"/>
              </w:rPr>
            </w:pPr>
            <w:r>
              <w:rPr>
                <w:rFonts w:ascii="Arial" w:cs="Arial" w:eastAsia="Arial" w:hAnsi="Arial"/>
                <w:sz w:val="15"/>
                <w:szCs w:val="15"/>
                <w:color w:val="auto"/>
              </w:rPr>
              <w:t>Executive</w:t>
            </w:r>
          </w:p>
        </w:tc>
        <w:tc>
          <w:tcPr>
            <w:tcW w:w="1360" w:type="dxa"/>
            <w:vAlign w:val="bottom"/>
            <w:vMerge w:val="continue"/>
          </w:tcPr>
          <w:p>
            <w:pPr>
              <w:spacing w:after="0"/>
              <w:rPr>
                <w:sz w:val="7"/>
                <w:szCs w:val="7"/>
                <w:color w:val="auto"/>
              </w:rPr>
            </w:pPr>
          </w:p>
        </w:tc>
        <w:tc>
          <w:tcPr>
            <w:tcW w:w="1840" w:type="dxa"/>
            <w:vAlign w:val="bottom"/>
            <w:vMerge w:val="restart"/>
          </w:tcPr>
          <w:p>
            <w:pPr>
              <w:ind w:left="540"/>
              <w:spacing w:after="0" w:line="162" w:lineRule="exact"/>
              <w:rPr>
                <w:sz w:val="20"/>
                <w:szCs w:val="20"/>
                <w:color w:val="auto"/>
              </w:rPr>
            </w:pPr>
            <w:r>
              <w:rPr>
                <w:rFonts w:ascii="Arial" w:cs="Arial" w:eastAsia="Arial" w:hAnsi="Arial"/>
                <w:sz w:val="15"/>
                <w:szCs w:val="15"/>
                <w:color w:val="auto"/>
              </w:rPr>
              <w:t>Products/</w:t>
            </w:r>
          </w:p>
        </w:tc>
        <w:tc>
          <w:tcPr>
            <w:tcW w:w="188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420" w:type="dxa"/>
            <w:vAlign w:val="bottom"/>
            <w:vMerge w:val="continue"/>
          </w:tcPr>
          <w:p>
            <w:pPr>
              <w:spacing w:after="0"/>
              <w:rPr>
                <w:sz w:val="7"/>
                <w:szCs w:val="7"/>
                <w:color w:val="auto"/>
              </w:rPr>
            </w:pPr>
          </w:p>
        </w:tc>
        <w:tc>
          <w:tcPr>
            <w:tcW w:w="1360" w:type="dxa"/>
            <w:vAlign w:val="bottom"/>
            <w:vMerge w:val="restart"/>
          </w:tcPr>
          <w:p>
            <w:pPr>
              <w:ind w:left="40"/>
              <w:spacing w:after="0" w:line="162" w:lineRule="exact"/>
              <w:rPr>
                <w:sz w:val="20"/>
                <w:szCs w:val="20"/>
                <w:color w:val="auto"/>
              </w:rPr>
            </w:pPr>
            <w:r>
              <w:rPr>
                <w:rFonts w:ascii="Arial" w:cs="Arial" w:eastAsia="Arial" w:hAnsi="Arial"/>
                <w:sz w:val="15"/>
                <w:szCs w:val="15"/>
                <w:color w:val="auto"/>
              </w:rPr>
              <w:t>Industry</w:t>
            </w:r>
          </w:p>
        </w:tc>
        <w:tc>
          <w:tcPr>
            <w:tcW w:w="1840" w:type="dxa"/>
            <w:vAlign w:val="bottom"/>
            <w:vMerge w:val="continue"/>
          </w:tcPr>
          <w:p>
            <w:pPr>
              <w:spacing w:after="0"/>
              <w:rPr>
                <w:sz w:val="7"/>
                <w:szCs w:val="7"/>
                <w:color w:val="auto"/>
              </w:rPr>
            </w:pPr>
          </w:p>
        </w:tc>
        <w:tc>
          <w:tcPr>
            <w:tcW w:w="1880" w:type="dxa"/>
            <w:vAlign w:val="bottom"/>
            <w:vMerge w:val="restart"/>
          </w:tcPr>
          <w:p>
            <w:pPr>
              <w:ind w:left="580"/>
              <w:spacing w:after="0" w:line="162" w:lineRule="exact"/>
              <w:rPr>
                <w:sz w:val="20"/>
                <w:szCs w:val="20"/>
                <w:color w:val="auto"/>
              </w:rPr>
            </w:pPr>
            <w:r>
              <w:rPr>
                <w:rFonts w:ascii="Arial" w:cs="Arial" w:eastAsia="Arial" w:hAnsi="Arial"/>
                <w:sz w:val="15"/>
                <w:szCs w:val="15"/>
                <w:color w:val="auto"/>
              </w:rPr>
              <w:t>Technology</w:t>
            </w:r>
          </w:p>
        </w:tc>
        <w:tc>
          <w:tcPr>
            <w:tcW w:w="1960" w:type="dxa"/>
            <w:vAlign w:val="bottom"/>
            <w:vMerge w:val="restart"/>
          </w:tcPr>
          <w:p>
            <w:pPr>
              <w:ind w:left="520"/>
              <w:spacing w:after="0" w:line="162" w:lineRule="exact"/>
              <w:rPr>
                <w:sz w:val="20"/>
                <w:szCs w:val="20"/>
                <w:color w:val="auto"/>
              </w:rPr>
            </w:pPr>
            <w:r>
              <w:rPr>
                <w:rFonts w:ascii="Arial" w:cs="Arial" w:eastAsia="Arial" w:hAnsi="Arial"/>
                <w:sz w:val="15"/>
                <w:szCs w:val="15"/>
                <w:color w:val="auto"/>
              </w:rPr>
              <w:t>Management</w:t>
            </w:r>
          </w:p>
        </w:tc>
        <w:tc>
          <w:tcPr>
            <w:tcW w:w="1780" w:type="dxa"/>
            <w:vAlign w:val="bottom"/>
            <w:vMerge w:val="restart"/>
          </w:tcPr>
          <w:p>
            <w:pPr>
              <w:ind w:left="520"/>
              <w:spacing w:after="0" w:line="162" w:lineRule="exact"/>
              <w:rPr>
                <w:sz w:val="20"/>
                <w:szCs w:val="20"/>
                <w:color w:val="auto"/>
              </w:rPr>
            </w:pPr>
            <w:r>
              <w:rPr>
                <w:rFonts w:ascii="Arial" w:cs="Arial" w:eastAsia="Arial" w:hAnsi="Arial"/>
                <w:sz w:val="15"/>
                <w:szCs w:val="15"/>
                <w:color w:val="auto"/>
              </w:rPr>
              <w:t>International</w:t>
            </w:r>
          </w:p>
        </w:tc>
        <w:tc>
          <w:tcPr>
            <w:tcW w:w="0" w:type="dxa"/>
            <w:vAlign w:val="bottom"/>
          </w:tcPr>
          <w:p>
            <w:pPr>
              <w:spacing w:after="0"/>
              <w:rPr>
                <w:sz w:val="1"/>
                <w:szCs w:val="1"/>
                <w:color w:val="auto"/>
              </w:rPr>
            </w:pPr>
          </w:p>
        </w:tc>
      </w:tr>
      <w:tr>
        <w:trPr>
          <w:trHeight w:val="81"/>
        </w:trPr>
        <w:tc>
          <w:tcPr>
            <w:tcW w:w="2420" w:type="dxa"/>
            <w:vAlign w:val="bottom"/>
            <w:vMerge w:val="restart"/>
          </w:tcPr>
          <w:p>
            <w:pPr>
              <w:ind w:left="580"/>
              <w:spacing w:after="0" w:line="162" w:lineRule="exact"/>
              <w:rPr>
                <w:sz w:val="20"/>
                <w:szCs w:val="20"/>
                <w:color w:val="auto"/>
              </w:rPr>
            </w:pPr>
            <w:r>
              <w:rPr>
                <w:rFonts w:ascii="Arial" w:cs="Arial" w:eastAsia="Arial" w:hAnsi="Arial"/>
                <w:sz w:val="15"/>
                <w:szCs w:val="15"/>
                <w:color w:val="auto"/>
              </w:rPr>
              <w:t>Leadership</w:t>
            </w:r>
          </w:p>
        </w:tc>
        <w:tc>
          <w:tcPr>
            <w:tcW w:w="1360" w:type="dxa"/>
            <w:vAlign w:val="bottom"/>
            <w:vMerge w:val="continue"/>
          </w:tcPr>
          <w:p>
            <w:pPr>
              <w:spacing w:after="0"/>
              <w:rPr>
                <w:sz w:val="7"/>
                <w:szCs w:val="7"/>
                <w:color w:val="auto"/>
              </w:rPr>
            </w:pPr>
          </w:p>
        </w:tc>
        <w:tc>
          <w:tcPr>
            <w:tcW w:w="1840" w:type="dxa"/>
            <w:vAlign w:val="bottom"/>
            <w:vMerge w:val="restart"/>
          </w:tcPr>
          <w:p>
            <w:pPr>
              <w:ind w:left="540"/>
              <w:spacing w:after="0" w:line="162" w:lineRule="exact"/>
              <w:rPr>
                <w:sz w:val="20"/>
                <w:szCs w:val="20"/>
                <w:color w:val="auto"/>
              </w:rPr>
            </w:pPr>
            <w:r>
              <w:rPr>
                <w:rFonts w:ascii="Arial" w:cs="Arial" w:eastAsia="Arial" w:hAnsi="Arial"/>
                <w:sz w:val="15"/>
                <w:szCs w:val="15"/>
                <w:color w:val="auto"/>
              </w:rPr>
              <w:t>Customer-</w:t>
            </w:r>
          </w:p>
        </w:tc>
        <w:tc>
          <w:tcPr>
            <w:tcW w:w="1880" w:type="dxa"/>
            <w:vAlign w:val="bottom"/>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420" w:type="dxa"/>
            <w:vAlign w:val="bottom"/>
            <w:vMerge w:val="continue"/>
          </w:tcPr>
          <w:p>
            <w:pPr>
              <w:spacing w:after="0"/>
              <w:rPr>
                <w:sz w:val="7"/>
                <w:szCs w:val="7"/>
                <w:color w:val="auto"/>
              </w:rPr>
            </w:pPr>
          </w:p>
        </w:tc>
        <w:tc>
          <w:tcPr>
            <w:tcW w:w="1360" w:type="dxa"/>
            <w:vAlign w:val="bottom"/>
            <w:vMerge w:val="restart"/>
          </w:tcPr>
          <w:p>
            <w:pPr>
              <w:ind w:left="40"/>
              <w:spacing w:after="0"/>
              <w:rPr>
                <w:sz w:val="20"/>
                <w:szCs w:val="20"/>
                <w:color w:val="auto"/>
              </w:rPr>
            </w:pPr>
            <w:r>
              <w:rPr>
                <w:rFonts w:ascii="Arial" w:cs="Arial" w:eastAsia="Arial" w:hAnsi="Arial"/>
                <w:sz w:val="15"/>
                <w:szCs w:val="15"/>
                <w:color w:val="auto"/>
              </w:rPr>
              <w:t>Experience</w:t>
            </w:r>
          </w:p>
        </w:tc>
        <w:tc>
          <w:tcPr>
            <w:tcW w:w="184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1960" w:type="dxa"/>
            <w:vAlign w:val="bottom"/>
            <w:vMerge w:val="restart"/>
          </w:tcPr>
          <w:p>
            <w:pPr>
              <w:ind w:left="520"/>
              <w:spacing w:after="0"/>
              <w:rPr>
                <w:sz w:val="20"/>
                <w:szCs w:val="20"/>
                <w:color w:val="auto"/>
              </w:rPr>
            </w:pPr>
            <w:r>
              <w:rPr>
                <w:rFonts w:ascii="Arial" w:cs="Arial" w:eastAsia="Arial" w:hAnsi="Arial"/>
                <w:sz w:val="15"/>
                <w:szCs w:val="15"/>
                <w:color w:val="auto"/>
              </w:rPr>
              <w:t>Oversight</w:t>
            </w: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840" w:type="dxa"/>
            <w:vAlign w:val="bottom"/>
            <w:vMerge w:val="restart"/>
          </w:tcPr>
          <w:p>
            <w:pPr>
              <w:ind w:left="540"/>
              <w:spacing w:after="0"/>
              <w:rPr>
                <w:sz w:val="20"/>
                <w:szCs w:val="20"/>
                <w:color w:val="auto"/>
              </w:rPr>
            </w:pPr>
            <w:r>
              <w:rPr>
                <w:rFonts w:ascii="Arial" w:cs="Arial" w:eastAsia="Arial" w:hAnsi="Arial"/>
                <w:sz w:val="15"/>
                <w:szCs w:val="15"/>
                <w:color w:val="auto"/>
              </w:rPr>
              <w:t>Oriented</w:t>
            </w:r>
          </w:p>
        </w:tc>
        <w:tc>
          <w:tcPr>
            <w:tcW w:w="188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420" w:type="dxa"/>
            <w:vAlign w:val="bottom"/>
            <w:shd w:val="clear" w:color="auto" w:fill="00A0E0"/>
          </w:tcPr>
          <w:p>
            <w:pPr>
              <w:ind w:left="180"/>
              <w:spacing w:after="0"/>
              <w:rPr>
                <w:sz w:val="20"/>
                <w:szCs w:val="20"/>
                <w:color w:val="auto"/>
              </w:rPr>
            </w:pPr>
            <w:r>
              <w:rPr>
                <w:rFonts w:ascii="Arial" w:cs="Arial" w:eastAsia="Arial" w:hAnsi="Arial"/>
                <w:sz w:val="22"/>
                <w:szCs w:val="22"/>
                <w:b w:val="1"/>
                <w:bCs w:val="1"/>
                <w:color w:val="FFFFFF"/>
                <w:w w:val="98"/>
              </w:rPr>
              <w:t>Jeffrey A. Honickman</w:t>
            </w:r>
          </w:p>
        </w:tc>
        <w:tc>
          <w:tcPr>
            <w:tcW w:w="1360" w:type="dxa"/>
            <w:vAlign w:val="bottom"/>
            <w:shd w:val="clear" w:color="auto" w:fill="00A0E0"/>
          </w:tcPr>
          <w:p>
            <w:pPr>
              <w:spacing w:after="0"/>
              <w:rPr>
                <w:sz w:val="24"/>
                <w:szCs w:val="24"/>
                <w:color w:val="auto"/>
              </w:rPr>
            </w:pPr>
          </w:p>
        </w:tc>
        <w:tc>
          <w:tcPr>
            <w:tcW w:w="1840" w:type="dxa"/>
            <w:vAlign w:val="bottom"/>
            <w:shd w:val="clear" w:color="auto" w:fill="00A0E0"/>
          </w:tcPr>
          <w:p>
            <w:pPr>
              <w:spacing w:after="0"/>
              <w:rPr>
                <w:sz w:val="24"/>
                <w:szCs w:val="24"/>
                <w:color w:val="auto"/>
              </w:rPr>
            </w:pPr>
          </w:p>
        </w:tc>
        <w:tc>
          <w:tcPr>
            <w:tcW w:w="1880" w:type="dxa"/>
            <w:vAlign w:val="bottom"/>
            <w:shd w:val="clear" w:color="auto" w:fill="00A0E0"/>
          </w:tcPr>
          <w:p>
            <w:pPr>
              <w:spacing w:after="0"/>
              <w:rPr>
                <w:sz w:val="24"/>
                <w:szCs w:val="24"/>
                <w:color w:val="auto"/>
              </w:rPr>
            </w:pPr>
          </w:p>
        </w:tc>
        <w:tc>
          <w:tcPr>
            <w:tcW w:w="1960" w:type="dxa"/>
            <w:vAlign w:val="bottom"/>
            <w:shd w:val="clear" w:color="auto" w:fill="00A0E0"/>
          </w:tcPr>
          <w:p>
            <w:pPr>
              <w:spacing w:after="0"/>
              <w:rPr>
                <w:sz w:val="24"/>
                <w:szCs w:val="24"/>
                <w:color w:val="auto"/>
              </w:rPr>
            </w:pPr>
          </w:p>
        </w:tc>
        <w:tc>
          <w:tcPr>
            <w:tcW w:w="1780" w:type="dxa"/>
            <w:vAlign w:val="bottom"/>
            <w:shd w:val="clear" w:color="auto" w:fill="00A0E0"/>
          </w:tcPr>
          <w:p>
            <w:pPr>
              <w:ind w:left="640"/>
              <w:spacing w:after="0"/>
              <w:rPr>
                <w:sz w:val="20"/>
                <w:szCs w:val="20"/>
                <w:color w:val="auto"/>
              </w:rPr>
            </w:pPr>
            <w:r>
              <w:rPr>
                <w:rFonts w:ascii="Arial" w:cs="Arial" w:eastAsia="Arial" w:hAnsi="Arial"/>
                <w:sz w:val="16"/>
                <w:szCs w:val="16"/>
                <w:b w:val="1"/>
                <w:bCs w:val="1"/>
                <w:color w:val="FFFFFF"/>
              </w:rPr>
              <w:t>Independent</w:t>
            </w:r>
          </w:p>
        </w:tc>
        <w:tc>
          <w:tcPr>
            <w:tcW w:w="0" w:type="dxa"/>
            <w:vAlign w:val="bottom"/>
          </w:tcPr>
          <w:p>
            <w:pPr>
              <w:spacing w:after="0"/>
              <w:rPr>
                <w:sz w:val="1"/>
                <w:szCs w:val="1"/>
                <w:color w:val="auto"/>
              </w:rPr>
            </w:pPr>
          </w:p>
        </w:tc>
      </w:tr>
      <w:tr>
        <w:trPr>
          <w:trHeight w:val="82"/>
        </w:trPr>
        <w:tc>
          <w:tcPr>
            <w:tcW w:w="2420" w:type="dxa"/>
            <w:vAlign w:val="bottom"/>
            <w:shd w:val="clear" w:color="auto" w:fill="00A0E0"/>
          </w:tcPr>
          <w:p>
            <w:pPr>
              <w:spacing w:after="0"/>
              <w:rPr>
                <w:sz w:val="7"/>
                <w:szCs w:val="7"/>
                <w:color w:val="auto"/>
              </w:rPr>
            </w:pPr>
          </w:p>
        </w:tc>
        <w:tc>
          <w:tcPr>
            <w:tcW w:w="1360" w:type="dxa"/>
            <w:vAlign w:val="bottom"/>
            <w:shd w:val="clear" w:color="auto" w:fill="00A0E0"/>
          </w:tcPr>
          <w:p>
            <w:pPr>
              <w:spacing w:after="0"/>
              <w:rPr>
                <w:sz w:val="7"/>
                <w:szCs w:val="7"/>
                <w:color w:val="auto"/>
              </w:rPr>
            </w:pPr>
          </w:p>
        </w:tc>
        <w:tc>
          <w:tcPr>
            <w:tcW w:w="1840" w:type="dxa"/>
            <w:vAlign w:val="bottom"/>
            <w:shd w:val="clear" w:color="auto" w:fill="00A0E0"/>
          </w:tcPr>
          <w:p>
            <w:pPr>
              <w:spacing w:after="0"/>
              <w:rPr>
                <w:sz w:val="7"/>
                <w:szCs w:val="7"/>
                <w:color w:val="auto"/>
              </w:rPr>
            </w:pPr>
          </w:p>
        </w:tc>
        <w:tc>
          <w:tcPr>
            <w:tcW w:w="1880" w:type="dxa"/>
            <w:vAlign w:val="bottom"/>
            <w:shd w:val="clear" w:color="auto" w:fill="00A0E0"/>
          </w:tcPr>
          <w:p>
            <w:pPr>
              <w:spacing w:after="0"/>
              <w:rPr>
                <w:sz w:val="7"/>
                <w:szCs w:val="7"/>
                <w:color w:val="auto"/>
              </w:rPr>
            </w:pPr>
          </w:p>
        </w:tc>
        <w:tc>
          <w:tcPr>
            <w:tcW w:w="1960" w:type="dxa"/>
            <w:vAlign w:val="bottom"/>
            <w:shd w:val="clear" w:color="auto" w:fill="00A0E0"/>
          </w:tcPr>
          <w:p>
            <w:pPr>
              <w:spacing w:after="0"/>
              <w:rPr>
                <w:sz w:val="7"/>
                <w:szCs w:val="7"/>
                <w:color w:val="auto"/>
              </w:rPr>
            </w:pPr>
          </w:p>
        </w:tc>
        <w:tc>
          <w:tcPr>
            <w:tcW w:w="1780" w:type="dxa"/>
            <w:vAlign w:val="bottom"/>
            <w:shd w:val="clear" w:color="auto" w:fill="00A0E0"/>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-814070</wp:posOffset>
            </wp:positionV>
            <wp:extent cx="291465" cy="316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1465" cy="316865"/>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-814070</wp:posOffset>
            </wp:positionV>
            <wp:extent cx="291465" cy="316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1465" cy="31686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-822325</wp:posOffset>
            </wp:positionV>
            <wp:extent cx="291465" cy="3340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1465" cy="33401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-796925</wp:posOffset>
            </wp:positionV>
            <wp:extent cx="291465" cy="291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-796925</wp:posOffset>
            </wp:positionV>
            <wp:extent cx="291465" cy="291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-814070</wp:posOffset>
            </wp:positionV>
            <wp:extent cx="291465" cy="3257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1465" cy="3257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028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spacing w:after="0" w:line="138"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Chief Executive Officer of Pepsi-Cola &amp; National Brand Beverages, Ltd.</w:t>
      </w:r>
    </w:p>
    <w:p>
      <w:pPr>
        <w:spacing w:after="0" w:line="204" w:lineRule="exact"/>
        <w:rPr>
          <w:sz w:val="20"/>
          <w:szCs w:val="20"/>
          <w:color w:val="auto"/>
        </w:rPr>
      </w:pPr>
    </w:p>
    <w:p>
      <w:pPr>
        <w:ind w:left="164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68</w:t>
      </w:r>
    </w:p>
    <w:p>
      <w:pPr>
        <w:spacing w:after="0" w:line="57" w:lineRule="exact"/>
        <w:rPr>
          <w:sz w:val="20"/>
          <w:szCs w:val="20"/>
          <w:color w:val="auto"/>
        </w:rPr>
      </w:pPr>
    </w:p>
    <w:p>
      <w:pPr>
        <w:ind w:left="164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December 2005</w:t>
      </w:r>
    </w:p>
    <w:p>
      <w:pPr>
        <w:spacing w:after="0" w:line="71" w:lineRule="exact"/>
        <w:rPr>
          <w:sz w:val="20"/>
          <w:szCs w:val="20"/>
          <w:color w:val="auto"/>
        </w:rPr>
      </w:pPr>
    </w:p>
    <w:p>
      <w:pPr>
        <w:ind w:left="164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Audit and Governance and Corporate Responsibility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00A0E0"/>
        </w:rPr>
        <w:t>Career Highlights:</w:t>
      </w:r>
    </w:p>
    <w:p>
      <w:pPr>
        <w:sectPr>
          <w:pgSz w:w="11900" w:h="16838" w:orient="portrait"/>
          <w:cols w:equalWidth="0" w:num="1">
            <w:col w:w="11240"/>
          </w:cols>
          <w:pgMar w:left="320" w:top="122" w:right="339" w:bottom="1440" w:gutter="0" w:footer="0" w:header="0"/>
          <w:type w:val="continuous"/>
        </w:sectPr>
      </w:pPr>
    </w:p>
    <w:p>
      <w:pPr>
        <w:spacing w:after="0" w:line="218" w:lineRule="exact"/>
        <w:rPr>
          <w:sz w:val="20"/>
          <w:szCs w:val="20"/>
          <w:color w:val="auto"/>
        </w:rPr>
      </w:pPr>
    </w:p>
    <w:p>
      <w:pPr>
        <w:ind w:left="260" w:hanging="252"/>
        <w:spacing w:after="0" w:line="222" w:lineRule="auto"/>
        <w:tabs>
          <w:tab w:leader="none" w:pos="260" w:val="left"/>
        </w:tabs>
        <w:numPr>
          <w:ilvl w:val="0"/>
          <w:numId w:val="20"/>
        </w:numPr>
        <w:rPr>
          <w:rFonts w:ascii="Arial" w:cs="Arial" w:eastAsia="Arial" w:hAnsi="Arial"/>
          <w:sz w:val="17"/>
          <w:szCs w:val="17"/>
          <w:color w:val="00A0E0"/>
        </w:rPr>
      </w:pPr>
      <w:r>
        <w:rPr>
          <w:rFonts w:ascii="Arial" w:cs="Arial" w:eastAsia="Arial" w:hAnsi="Arial"/>
          <w:sz w:val="15"/>
          <w:szCs w:val="15"/>
          <w:color w:val="auto"/>
        </w:rPr>
        <w:t>Chief Executive Officer, Pepsi-Cola &amp; National Brand Beverages, Ltd., a bottling and distribution company, which includes among its affiliates Pepsi-Cola Bottling Company of New York, Inc. and Canada Dry bottling companies from New Jersey to Virginia, 1990 – Present</w:t>
      </w:r>
    </w:p>
    <w:p>
      <w:pPr>
        <w:spacing w:after="0" w:line="2" w:lineRule="exact"/>
        <w:rPr>
          <w:rFonts w:ascii="Arial" w:cs="Arial" w:eastAsia="Arial" w:hAnsi="Arial"/>
          <w:sz w:val="17"/>
          <w:szCs w:val="17"/>
          <w:color w:val="00A0E0"/>
        </w:rPr>
      </w:pPr>
    </w:p>
    <w:p>
      <w:pPr>
        <w:ind w:left="260" w:right="40" w:hanging="252"/>
        <w:spacing w:after="0" w:line="226" w:lineRule="auto"/>
        <w:tabs>
          <w:tab w:leader="none" w:pos="260" w:val="left"/>
        </w:tabs>
        <w:numPr>
          <w:ilvl w:val="0"/>
          <w:numId w:val="20"/>
        </w:numPr>
        <w:rPr>
          <w:rFonts w:ascii="Arial" w:cs="Arial" w:eastAsia="Arial" w:hAnsi="Arial"/>
          <w:sz w:val="17"/>
          <w:szCs w:val="17"/>
          <w:color w:val="00A0E0"/>
        </w:rPr>
      </w:pPr>
      <w:r>
        <w:rPr>
          <w:rFonts w:ascii="Arial" w:cs="Arial" w:eastAsia="Arial" w:hAnsi="Arial"/>
          <w:sz w:val="15"/>
          <w:szCs w:val="15"/>
          <w:color w:val="auto"/>
        </w:rPr>
        <w:t>Vice President and Secretary of Antonio Origlio Inc., a beverage distributor based in Philadelphia, Pennsylvania, which does business as Origlio Beverages, 1987 – Present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A0E0"/>
        </w:rPr>
        <w:t>Skills and Qualifications: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251" w:hanging="251"/>
        <w:spacing w:after="0"/>
        <w:tabs>
          <w:tab w:leader="none" w:pos="251" w:val="left"/>
        </w:tabs>
        <w:numPr>
          <w:ilvl w:val="0"/>
          <w:numId w:val="21"/>
        </w:numPr>
        <w:rPr>
          <w:rFonts w:ascii="Arial" w:cs="Arial" w:eastAsia="Arial" w:hAnsi="Arial"/>
          <w:sz w:val="17"/>
          <w:szCs w:val="17"/>
          <w:color w:val="00A0E0"/>
        </w:rPr>
      </w:pPr>
      <w:r>
        <w:rPr>
          <w:rFonts w:ascii="Arial" w:cs="Arial" w:eastAsia="Arial" w:hAnsi="Arial"/>
          <w:sz w:val="15"/>
          <w:szCs w:val="15"/>
          <w:color w:val="auto"/>
        </w:rPr>
        <w:t>Board of Directors, American Beverage Association</w:t>
      </w:r>
    </w:p>
    <w:p>
      <w:pPr>
        <w:spacing w:after="0" w:line="7" w:lineRule="exact"/>
        <w:rPr>
          <w:rFonts w:ascii="Arial" w:cs="Arial" w:eastAsia="Arial" w:hAnsi="Arial"/>
          <w:sz w:val="17"/>
          <w:szCs w:val="17"/>
          <w:color w:val="00A0E0"/>
        </w:rPr>
      </w:pPr>
    </w:p>
    <w:p>
      <w:pPr>
        <w:ind w:left="251" w:hanging="251"/>
        <w:spacing w:after="0" w:line="228" w:lineRule="auto"/>
        <w:tabs>
          <w:tab w:leader="none" w:pos="251" w:val="left"/>
        </w:tabs>
        <w:numPr>
          <w:ilvl w:val="0"/>
          <w:numId w:val="21"/>
        </w:numPr>
        <w:rPr>
          <w:rFonts w:ascii="Arial" w:cs="Arial" w:eastAsia="Arial" w:hAnsi="Arial"/>
          <w:sz w:val="17"/>
          <w:szCs w:val="17"/>
          <w:color w:val="00A0E0"/>
        </w:rPr>
      </w:pPr>
      <w:r>
        <w:rPr>
          <w:rFonts w:ascii="Arial" w:cs="Arial" w:eastAsia="Arial" w:hAnsi="Arial"/>
          <w:sz w:val="15"/>
          <w:szCs w:val="15"/>
          <w:color w:val="auto"/>
        </w:rPr>
        <w:t>Board of Trustees, Barnes Foundation</w:t>
      </w:r>
    </w:p>
    <w:p>
      <w:pPr>
        <w:spacing w:after="0" w:line="3" w:lineRule="exact"/>
        <w:rPr>
          <w:rFonts w:ascii="Arial" w:cs="Arial" w:eastAsia="Arial" w:hAnsi="Arial"/>
          <w:sz w:val="17"/>
          <w:szCs w:val="17"/>
          <w:color w:val="00A0E0"/>
        </w:rPr>
      </w:pPr>
    </w:p>
    <w:p>
      <w:pPr>
        <w:ind w:left="251" w:right="360" w:hanging="251"/>
        <w:spacing w:after="0" w:line="227" w:lineRule="auto"/>
        <w:tabs>
          <w:tab w:leader="none" w:pos="251" w:val="left"/>
        </w:tabs>
        <w:numPr>
          <w:ilvl w:val="0"/>
          <w:numId w:val="21"/>
        </w:numPr>
        <w:rPr>
          <w:rFonts w:ascii="Arial" w:cs="Arial" w:eastAsia="Arial" w:hAnsi="Arial"/>
          <w:sz w:val="17"/>
          <w:szCs w:val="17"/>
          <w:color w:val="00A0E0"/>
        </w:rPr>
      </w:pPr>
      <w:r>
        <w:rPr>
          <w:rFonts w:ascii="Arial" w:cs="Arial" w:eastAsia="Arial" w:hAnsi="Arial"/>
          <w:sz w:val="15"/>
          <w:szCs w:val="15"/>
          <w:color w:val="auto"/>
        </w:rPr>
        <w:t>President’s Advisory Council, Sidney Kimmel Cancer Center, Jefferson Health</w:t>
      </w:r>
    </w:p>
    <w:p>
      <w:pPr>
        <w:spacing w:after="0" w:line="997" w:lineRule="exact"/>
        <w:rPr>
          <w:sz w:val="20"/>
          <w:szCs w:val="20"/>
          <w:color w:val="auto"/>
        </w:rPr>
      </w:pPr>
    </w:p>
    <w:p>
      <w:pPr>
        <w:sectPr>
          <w:pgSz w:w="11900" w:h="16838" w:orient="portrait"/>
          <w:cols w:equalWidth="0" w:num="2">
            <w:col w:w="5360" w:space="489"/>
            <w:col w:w="5391"/>
          </w:cols>
          <w:pgMar w:left="320" w:top="122" w:right="339" w:bottom="1440" w:gutter="0" w:footer="0" w:header="0"/>
          <w:type w:val="continuous"/>
        </w:sectPr>
      </w:pPr>
    </w:p>
    <w:p>
      <w:pPr>
        <w:spacing w:after="0" w:line="18" w:lineRule="exact"/>
        <w:rPr>
          <w:sz w:val="20"/>
          <w:szCs w:val="20"/>
          <w:color w:val="auto"/>
        </w:rPr>
      </w:pPr>
    </w:p>
    <w:p>
      <w:pPr>
        <w:ind w:right="20"/>
        <w:spacing w:after="0" w:line="234" w:lineRule="auto"/>
        <w:rPr>
          <w:sz w:val="20"/>
          <w:szCs w:val="20"/>
          <w:color w:val="auto"/>
        </w:rPr>
      </w:pPr>
      <w:r>
        <w:rPr>
          <w:rFonts w:ascii="Arial" w:cs="Arial" w:eastAsia="Arial" w:hAnsi="Arial"/>
          <w:sz w:val="15"/>
          <w:szCs w:val="15"/>
          <w:color w:val="auto"/>
        </w:rPr>
        <w:t>For over 30 years, Mr. Honickman has served as CEO of Pepsi-Cola &amp; National Brand Beverages, Ltd., one of the largest bottling and distribution companies in the United States. Mr. Honickman has also been Vice President and Secretary of beverage distributor Antonio Origlio, Inc. since 1987. From these roles, Mr. Honickman has a wealth of experience in financial management, budgeting and capital allocation. Mr. Honickman also holds a master’s degree in finance and a bachelor’s degree in accounting. In addition to his executive management roles, Mr. Honickman has served on a number of consumer industry boards, including his current service as a member of the Board of Directors of The American Beverage Association. From these experiences, Mr. Honickman has invaluable expertise in enterprise risk management, capital allocation, consumer product marketing, brand strategy and consumer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291465" cy="316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1465" cy="31686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124460</wp:posOffset>
            </wp:positionV>
            <wp:extent cx="291465" cy="3340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1465" cy="33401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141605</wp:posOffset>
            </wp:positionV>
            <wp:extent cx="291465" cy="3003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1465" cy="300355"/>
                    </a:xfrm>
                    <a:prstGeom prst="rect">
                      <a:avLst/>
                    </a:prstGeom>
                    <a:noFill/>
                  </pic:spPr>
                </pic:pic>
              </a:graphicData>
            </a:graphic>
          </wp:anchor>
        </w:drawing>
      </w:r>
    </w:p>
    <w:p>
      <w:pPr>
        <w:spacing w:after="0" w:line="334" w:lineRule="exact"/>
        <w:rPr>
          <w:sz w:val="20"/>
          <w:szCs w:val="20"/>
          <w:color w:val="auto"/>
        </w:rPr>
      </w:pPr>
    </w:p>
    <w:p>
      <w:pPr>
        <w:ind w:left="580"/>
        <w:spacing w:after="0"/>
        <w:tabs>
          <w:tab w:leader="none" w:pos="4180" w:val="left"/>
          <w:tab w:leader="none" w:pos="8200" w:val="left"/>
        </w:tabs>
        <w:rPr>
          <w:sz w:val="20"/>
          <w:szCs w:val="20"/>
          <w:color w:val="auto"/>
        </w:rPr>
      </w:pPr>
      <w:r>
        <w:rPr>
          <w:rFonts w:ascii="Arial" w:cs="Arial" w:eastAsia="Arial" w:hAnsi="Arial"/>
          <w:sz w:val="15"/>
          <w:szCs w:val="15"/>
          <w:color w:val="auto"/>
        </w:rPr>
        <w:t>Executive Leadership</w:t>
      </w:r>
      <w:r>
        <w:rPr>
          <w:sz w:val="20"/>
          <w:szCs w:val="20"/>
          <w:color w:val="auto"/>
        </w:rPr>
        <w:tab/>
      </w:r>
      <w:r>
        <w:rPr>
          <w:rFonts w:ascii="Arial" w:cs="Arial" w:eastAsia="Arial" w:hAnsi="Arial"/>
          <w:sz w:val="15"/>
          <w:szCs w:val="15"/>
          <w:color w:val="auto"/>
        </w:rPr>
        <w:t>Consumer Products/Customer-Oriented</w:t>
      </w:r>
      <w:r>
        <w:rPr>
          <w:sz w:val="20"/>
          <w:szCs w:val="20"/>
          <w:color w:val="auto"/>
        </w:rPr>
        <w:tab/>
      </w:r>
      <w:r>
        <w:rPr>
          <w:rFonts w:ascii="Arial" w:cs="Arial" w:eastAsia="Arial" w:hAnsi="Arial"/>
          <w:sz w:val="15"/>
          <w:szCs w:val="15"/>
          <w:color w:val="auto"/>
        </w:rPr>
        <w:t>Financial/Accounting</w:t>
      </w:r>
    </w:p>
    <w:p>
      <w:pPr>
        <w:sectPr>
          <w:pgSz w:w="11900" w:h="16838" w:orient="portrait"/>
          <w:cols w:equalWidth="0" w:num="1">
            <w:col w:w="11240"/>
          </w:cols>
          <w:pgMar w:left="320" w:top="122" w:right="339" w:bottom="1440" w:gutter="0" w:footer="0" w:header="0"/>
          <w:type w:val="continuous"/>
        </w:sectPr>
      </w:pPr>
    </w:p>
    <w:p>
      <w:pPr>
        <w:spacing w:after="0" w:line="394" w:lineRule="exact"/>
        <w:rPr>
          <w:sz w:val="20"/>
          <w:szCs w:val="20"/>
          <w:color w:val="auto"/>
        </w:rPr>
      </w:pPr>
    </w:p>
    <w:p>
      <w:pPr>
        <w:ind w:left="9540"/>
        <w:spacing w:after="0"/>
        <w:tabs>
          <w:tab w:leader="none" w:pos="11080" w:val="left"/>
        </w:tabs>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r>
        <w:rPr>
          <w:sz w:val="20"/>
          <w:szCs w:val="20"/>
          <w:color w:val="auto"/>
        </w:rPr>
        <w:tab/>
      </w:r>
      <w:r>
        <w:rPr>
          <w:rFonts w:ascii="Arial" w:cs="Arial" w:eastAsia="Arial" w:hAnsi="Arial"/>
          <w:sz w:val="12"/>
          <w:szCs w:val="1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4480" w:type="dxa"/>
            <w:vAlign w:val="bottom"/>
            <w:shd w:val="clear" w:color="auto" w:fill="00A0E0"/>
          </w:tcPr>
          <w:p>
            <w:pPr>
              <w:ind w:left="180"/>
              <w:spacing w:after="0"/>
              <w:rPr>
                <w:sz w:val="20"/>
                <w:szCs w:val="20"/>
                <w:color w:val="auto"/>
              </w:rPr>
            </w:pPr>
            <w:r>
              <w:rPr>
                <w:rFonts w:ascii="Arial" w:cs="Arial" w:eastAsia="Arial" w:hAnsi="Arial"/>
                <w:sz w:val="22"/>
                <w:szCs w:val="22"/>
                <w:b w:val="1"/>
                <w:bCs w:val="1"/>
                <w:color w:val="FFFFFF"/>
              </w:rPr>
              <w:t>Wonya Y. Lucas</w:t>
            </w:r>
          </w:p>
        </w:tc>
        <w:tc>
          <w:tcPr>
            <w:tcW w:w="6760" w:type="dxa"/>
            <w:vAlign w:val="bottom"/>
            <w:shd w:val="clear" w:color="auto" w:fill="00A0E0"/>
          </w:tcPr>
          <w:p>
            <w:pPr>
              <w:ind w:left="5620"/>
              <w:spacing w:after="0"/>
              <w:rPr>
                <w:sz w:val="20"/>
                <w:szCs w:val="20"/>
                <w:color w:val="auto"/>
              </w:rPr>
            </w:pPr>
            <w:r>
              <w:rPr>
                <w:rFonts w:ascii="Arial" w:cs="Arial" w:eastAsia="Arial" w:hAnsi="Arial"/>
                <w:sz w:val="16"/>
                <w:szCs w:val="16"/>
                <w:b w:val="1"/>
                <w:bCs w:val="1"/>
                <w:color w:val="FFFFFF"/>
              </w:rPr>
              <w:t>Independent</w:t>
            </w:r>
          </w:p>
        </w:tc>
        <w:tc>
          <w:tcPr>
            <w:tcW w:w="0" w:type="dxa"/>
            <w:vAlign w:val="bottom"/>
          </w:tcPr>
          <w:p>
            <w:pPr>
              <w:spacing w:after="0"/>
              <w:rPr>
                <w:sz w:val="1"/>
                <w:szCs w:val="1"/>
                <w:color w:val="auto"/>
              </w:rPr>
            </w:pPr>
          </w:p>
        </w:tc>
      </w:tr>
      <w:tr>
        <w:trPr>
          <w:trHeight w:val="82"/>
        </w:trPr>
        <w:tc>
          <w:tcPr>
            <w:tcW w:w="11240" w:type="dxa"/>
            <w:vAlign w:val="bottom"/>
            <w:gridSpan w:val="2"/>
            <w:shd w:val="clear" w:color="auto" w:fill="00A0E0"/>
          </w:tcPr>
          <w:p>
            <w:pPr>
              <w:spacing w:after="0"/>
              <w:rPr>
                <w:sz w:val="7"/>
                <w:szCs w:val="7"/>
                <w:color w:val="auto"/>
              </w:rPr>
            </w:pPr>
          </w:p>
        </w:tc>
        <w:tc>
          <w:tcPr>
            <w:tcW w:w="0" w:type="dxa"/>
            <w:vAlign w:val="bottom"/>
          </w:tcPr>
          <w:p>
            <w:pPr>
              <w:spacing w:after="0"/>
              <w:rPr>
                <w:sz w:val="1"/>
                <w:szCs w:val="1"/>
                <w:color w:val="auto"/>
              </w:rPr>
            </w:pPr>
          </w:p>
        </w:tc>
      </w:tr>
      <w:tr>
        <w:trPr>
          <w:trHeight w:val="359"/>
        </w:trPr>
        <w:tc>
          <w:tcPr>
            <w:tcW w:w="11240" w:type="dxa"/>
            <w:vAlign w:val="bottom"/>
            <w:gridSpan w:val="2"/>
            <w:shd w:val="clear" w:color="auto" w:fill="E0F0FB"/>
          </w:tcPr>
          <w:p>
            <w:pPr>
              <w:ind w:left="1640"/>
              <w:spacing w:after="0"/>
              <w:rPr>
                <w:sz w:val="20"/>
                <w:szCs w:val="20"/>
                <w:color w:val="auto"/>
              </w:rPr>
            </w:pPr>
            <w:r>
              <w:rPr>
                <w:rFonts w:ascii="Arial" w:cs="Arial" w:eastAsia="Arial" w:hAnsi="Arial"/>
                <w:sz w:val="15"/>
                <w:szCs w:val="15"/>
                <w:color w:val="auto"/>
              </w:rPr>
              <w:t>Former President and Chief Executive Officer of Hallmark Media Networks</w:t>
            </w:r>
          </w:p>
        </w:tc>
        <w:tc>
          <w:tcPr>
            <w:tcW w:w="0" w:type="dxa"/>
            <w:vAlign w:val="bottom"/>
          </w:tcPr>
          <w:p>
            <w:pPr>
              <w:spacing w:after="0"/>
              <w:rPr>
                <w:sz w:val="1"/>
                <w:szCs w:val="1"/>
                <w:color w:val="auto"/>
              </w:rPr>
            </w:pPr>
          </w:p>
        </w:tc>
      </w:tr>
      <w:tr>
        <w:trPr>
          <w:trHeight w:val="286"/>
        </w:trPr>
        <w:tc>
          <w:tcPr>
            <w:tcW w:w="4480" w:type="dxa"/>
            <w:vAlign w:val="bottom"/>
            <w:shd w:val="clear" w:color="auto" w:fill="E0F0FB"/>
          </w:tcPr>
          <w:p>
            <w:pPr>
              <w:ind w:left="164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64</w:t>
            </w:r>
          </w:p>
        </w:tc>
        <w:tc>
          <w:tcPr>
            <w:tcW w:w="6760" w:type="dxa"/>
            <w:vAlign w:val="bottom"/>
            <w:shd w:val="clear" w:color="auto" w:fill="E0F0FB"/>
          </w:tcPr>
          <w:p>
            <w:pPr>
              <w:ind w:left="1040"/>
              <w:spacing w:after="0"/>
              <w:rPr>
                <w:sz w:val="20"/>
                <w:szCs w:val="20"/>
                <w:color w:val="auto"/>
              </w:rPr>
            </w:pPr>
            <w:r>
              <w:rPr>
                <w:rFonts w:ascii="Arial" w:cs="Arial" w:eastAsia="Arial" w:hAnsi="Arial"/>
                <w:sz w:val="15"/>
                <w:szCs w:val="15"/>
                <w:b w:val="1"/>
                <w:bCs w:val="1"/>
                <w:color w:val="auto"/>
              </w:rPr>
              <w:t>Other Current Public Company Directorships:</w:t>
            </w:r>
          </w:p>
        </w:tc>
        <w:tc>
          <w:tcPr>
            <w:tcW w:w="0" w:type="dxa"/>
            <w:vAlign w:val="bottom"/>
          </w:tcPr>
          <w:p>
            <w:pPr>
              <w:spacing w:after="0"/>
              <w:rPr>
                <w:sz w:val="1"/>
                <w:szCs w:val="1"/>
                <w:color w:val="auto"/>
              </w:rPr>
            </w:pPr>
          </w:p>
        </w:tc>
      </w:tr>
      <w:tr>
        <w:trPr>
          <w:trHeight w:val="200"/>
        </w:trPr>
        <w:tc>
          <w:tcPr>
            <w:tcW w:w="4480" w:type="dxa"/>
            <w:vAlign w:val="bottom"/>
            <w:vMerge w:val="restart"/>
            <w:shd w:val="clear" w:color="auto" w:fill="E0F0FB"/>
          </w:tcPr>
          <w:p>
            <w:pPr>
              <w:ind w:left="164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April 2024</w:t>
            </w:r>
          </w:p>
        </w:tc>
        <w:tc>
          <w:tcPr>
            <w:tcW w:w="6760" w:type="dxa"/>
            <w:vAlign w:val="bottom"/>
            <w:shd w:val="clear" w:color="auto" w:fill="E0F0FB"/>
          </w:tcPr>
          <w:p>
            <w:pPr>
              <w:ind w:left="1040"/>
              <w:spacing w:after="0"/>
              <w:rPr>
                <w:sz w:val="20"/>
                <w:szCs w:val="20"/>
                <w:color w:val="auto"/>
              </w:rPr>
            </w:pPr>
            <w:r>
              <w:rPr>
                <w:rFonts w:ascii="Arial" w:cs="Arial" w:eastAsia="Arial" w:hAnsi="Arial"/>
                <w:sz w:val="15"/>
                <w:szCs w:val="15"/>
                <w:color w:val="auto"/>
              </w:rPr>
              <w:t>Atlanta Braves Holdings, Inc.</w:t>
            </w:r>
          </w:p>
        </w:tc>
        <w:tc>
          <w:tcPr>
            <w:tcW w:w="0" w:type="dxa"/>
            <w:vAlign w:val="bottom"/>
          </w:tcPr>
          <w:p>
            <w:pPr>
              <w:spacing w:after="0"/>
              <w:rPr>
                <w:sz w:val="1"/>
                <w:szCs w:val="1"/>
                <w:color w:val="auto"/>
              </w:rPr>
            </w:pPr>
          </w:p>
        </w:tc>
      </w:tr>
      <w:tr>
        <w:trPr>
          <w:trHeight w:val="89"/>
        </w:trPr>
        <w:tc>
          <w:tcPr>
            <w:tcW w:w="4480" w:type="dxa"/>
            <w:vAlign w:val="bottom"/>
            <w:vMerge w:val="continue"/>
            <w:shd w:val="clear" w:color="auto" w:fill="E0F0FB"/>
          </w:tcPr>
          <w:p>
            <w:pPr>
              <w:spacing w:after="0"/>
              <w:rPr>
                <w:sz w:val="7"/>
                <w:szCs w:val="7"/>
                <w:color w:val="auto"/>
              </w:rPr>
            </w:pPr>
          </w:p>
        </w:tc>
        <w:tc>
          <w:tcPr>
            <w:tcW w:w="6760" w:type="dxa"/>
            <w:vAlign w:val="bottom"/>
            <w:vMerge w:val="restart"/>
            <w:shd w:val="clear" w:color="auto" w:fill="E0F0FB"/>
          </w:tcPr>
          <w:p>
            <w:pPr>
              <w:ind w:left="1040"/>
              <w:spacing w:after="0"/>
              <w:rPr>
                <w:sz w:val="20"/>
                <w:szCs w:val="20"/>
                <w:color w:val="auto"/>
              </w:rPr>
            </w:pPr>
            <w:r>
              <w:rPr>
                <w:rFonts w:ascii="Arial" w:cs="Arial" w:eastAsia="Arial" w:hAnsi="Arial"/>
                <w:sz w:val="15"/>
                <w:szCs w:val="15"/>
                <w:b w:val="1"/>
                <w:bCs w:val="1"/>
                <w:color w:val="auto"/>
              </w:rPr>
              <w:t>Former Public Company Directorships:</w:t>
            </w:r>
          </w:p>
        </w:tc>
        <w:tc>
          <w:tcPr>
            <w:tcW w:w="0" w:type="dxa"/>
            <w:vAlign w:val="bottom"/>
          </w:tcPr>
          <w:p>
            <w:pPr>
              <w:spacing w:after="0"/>
              <w:rPr>
                <w:sz w:val="1"/>
                <w:szCs w:val="1"/>
                <w:color w:val="auto"/>
              </w:rPr>
            </w:pPr>
          </w:p>
        </w:tc>
      </w:tr>
      <w:tr>
        <w:trPr>
          <w:trHeight w:val="174"/>
        </w:trPr>
        <w:tc>
          <w:tcPr>
            <w:tcW w:w="4480" w:type="dxa"/>
            <w:vAlign w:val="bottom"/>
            <w:shd w:val="clear" w:color="auto" w:fill="E0F0FB"/>
          </w:tcPr>
          <w:p>
            <w:pPr>
              <w:ind w:left="164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Audit</w:t>
            </w:r>
          </w:p>
        </w:tc>
        <w:tc>
          <w:tcPr>
            <w:tcW w:w="6760" w:type="dxa"/>
            <w:vAlign w:val="bottom"/>
            <w:vMerge w:val="continue"/>
            <w:shd w:val="clear" w:color="auto" w:fill="E0F0FB"/>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480" w:type="dxa"/>
            <w:vAlign w:val="bottom"/>
            <w:shd w:val="clear" w:color="auto" w:fill="E0F0FB"/>
          </w:tcPr>
          <w:p>
            <w:pPr>
              <w:spacing w:after="0"/>
              <w:rPr>
                <w:sz w:val="17"/>
                <w:szCs w:val="17"/>
                <w:color w:val="auto"/>
              </w:rPr>
            </w:pPr>
          </w:p>
        </w:tc>
        <w:tc>
          <w:tcPr>
            <w:tcW w:w="6760" w:type="dxa"/>
            <w:vAlign w:val="bottom"/>
            <w:shd w:val="clear" w:color="auto" w:fill="E0F0FB"/>
          </w:tcPr>
          <w:p>
            <w:pPr>
              <w:ind w:left="1040"/>
              <w:spacing w:after="0"/>
              <w:rPr>
                <w:sz w:val="20"/>
                <w:szCs w:val="20"/>
                <w:color w:val="auto"/>
              </w:rPr>
            </w:pPr>
            <w:r>
              <w:rPr>
                <w:rFonts w:ascii="Arial" w:cs="Arial" w:eastAsia="Arial" w:hAnsi="Arial"/>
                <w:sz w:val="15"/>
                <w:szCs w:val="15"/>
                <w:color w:val="auto"/>
              </w:rPr>
              <w:t>E.W. Scripps Company, J.C. Penney Company, Inc.</w:t>
            </w:r>
          </w:p>
        </w:tc>
        <w:tc>
          <w:tcPr>
            <w:tcW w:w="0" w:type="dxa"/>
            <w:vAlign w:val="bottom"/>
          </w:tcPr>
          <w:p>
            <w:pPr>
              <w:spacing w:after="0"/>
              <w:rPr>
                <w:sz w:val="1"/>
                <w:szCs w:val="1"/>
                <w:color w:val="auto"/>
              </w:rPr>
            </w:pPr>
          </w:p>
        </w:tc>
      </w:tr>
      <w:tr>
        <w:trPr>
          <w:trHeight w:val="326"/>
        </w:trPr>
        <w:tc>
          <w:tcPr>
            <w:tcW w:w="4480" w:type="dxa"/>
            <w:vAlign w:val="bottom"/>
            <w:shd w:val="clear" w:color="auto" w:fill="E0F0FB"/>
          </w:tcPr>
          <w:p>
            <w:pPr>
              <w:spacing w:after="0"/>
              <w:rPr>
                <w:sz w:val="24"/>
                <w:szCs w:val="24"/>
                <w:color w:val="auto"/>
              </w:rPr>
            </w:pPr>
          </w:p>
        </w:tc>
        <w:tc>
          <w:tcPr>
            <w:tcW w:w="6760" w:type="dxa"/>
            <w:vAlign w:val="bottom"/>
            <w:shd w:val="clear" w:color="auto" w:fill="E0F0FB"/>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-925195</wp:posOffset>
            </wp:positionV>
            <wp:extent cx="805815" cy="8058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A0E0"/>
        </w:rPr>
        <w:t>Career Highlights:</w:t>
      </w:r>
    </w:p>
    <w:p>
      <w:pPr>
        <w:sectPr>
          <w:pgSz w:w="11900" w:h="16838" w:orient="portrait"/>
          <w:cols w:equalWidth="0" w:num="1">
            <w:col w:w="11240"/>
          </w:cols>
          <w:pgMar w:left="320" w:top="122" w:right="339" w:bottom="1440" w:gutter="0" w:footer="0" w:header="0"/>
        </w:sectPr>
      </w:pPr>
    </w:p>
    <w:p>
      <w:pPr>
        <w:spacing w:after="0" w:line="218" w:lineRule="exact"/>
        <w:rPr>
          <w:sz w:val="20"/>
          <w:szCs w:val="20"/>
          <w:color w:val="auto"/>
        </w:rPr>
      </w:pPr>
    </w:p>
    <w:p>
      <w:pPr>
        <w:ind w:left="260" w:right="120" w:hanging="252"/>
        <w:spacing w:after="0" w:line="220" w:lineRule="auto"/>
        <w:tabs>
          <w:tab w:leader="none" w:pos="260" w:val="left"/>
        </w:tabs>
        <w:numPr>
          <w:ilvl w:val="0"/>
          <w:numId w:val="22"/>
        </w:numPr>
        <w:rPr>
          <w:rFonts w:ascii="Arial" w:cs="Arial" w:eastAsia="Arial" w:hAnsi="Arial"/>
          <w:sz w:val="17"/>
          <w:szCs w:val="17"/>
          <w:color w:val="00A0E0"/>
        </w:rPr>
      </w:pPr>
      <w:r>
        <w:rPr>
          <w:rFonts w:ascii="Arial" w:cs="Arial" w:eastAsia="Arial" w:hAnsi="Arial"/>
          <w:sz w:val="15"/>
          <w:szCs w:val="15"/>
          <w:color w:val="auto"/>
        </w:rPr>
        <w:t>President and Chief Executive Officer, Hallmark Media Networks, 2020 – 2023</w:t>
      </w:r>
    </w:p>
    <w:p>
      <w:pPr>
        <w:ind w:left="260" w:hanging="252"/>
        <w:spacing w:after="0" w:line="211" w:lineRule="auto"/>
        <w:tabs>
          <w:tab w:leader="none" w:pos="260" w:val="left"/>
        </w:tabs>
        <w:numPr>
          <w:ilvl w:val="0"/>
          <w:numId w:val="22"/>
        </w:numPr>
        <w:rPr>
          <w:rFonts w:ascii="Arial" w:cs="Arial" w:eastAsia="Arial" w:hAnsi="Arial"/>
          <w:sz w:val="17"/>
          <w:szCs w:val="17"/>
          <w:color w:val="00A0E0"/>
        </w:rPr>
      </w:pPr>
      <w:r>
        <w:rPr>
          <w:rFonts w:ascii="Arial" w:cs="Arial" w:eastAsia="Arial" w:hAnsi="Arial"/>
          <w:sz w:val="15"/>
          <w:szCs w:val="15"/>
          <w:color w:val="auto"/>
        </w:rPr>
        <w:t>President and Chief Executive Officer, Public Broadcasting Atlanta, 2015 – 2020</w:t>
      </w:r>
    </w:p>
    <w:p>
      <w:pPr>
        <w:ind w:left="260" w:hanging="252"/>
        <w:spacing w:after="0" w:line="228" w:lineRule="auto"/>
        <w:tabs>
          <w:tab w:leader="none" w:pos="260" w:val="left"/>
        </w:tabs>
        <w:numPr>
          <w:ilvl w:val="0"/>
          <w:numId w:val="22"/>
        </w:numPr>
        <w:rPr>
          <w:rFonts w:ascii="Arial" w:cs="Arial" w:eastAsia="Arial" w:hAnsi="Arial"/>
          <w:sz w:val="17"/>
          <w:szCs w:val="17"/>
          <w:color w:val="00A0E0"/>
        </w:rPr>
      </w:pPr>
      <w:r>
        <w:rPr>
          <w:rFonts w:ascii="Arial" w:cs="Arial" w:eastAsia="Arial" w:hAnsi="Arial"/>
          <w:sz w:val="15"/>
          <w:szCs w:val="15"/>
          <w:color w:val="auto"/>
        </w:rPr>
        <w:t>President, Lucas Strategic Consultants LLC, 2013 – 2015</w:t>
      </w:r>
    </w:p>
    <w:p>
      <w:pPr>
        <w:spacing w:after="0" w:line="3" w:lineRule="exact"/>
        <w:rPr>
          <w:rFonts w:ascii="Arial" w:cs="Arial" w:eastAsia="Arial" w:hAnsi="Arial"/>
          <w:sz w:val="17"/>
          <w:szCs w:val="17"/>
          <w:color w:val="00A0E0"/>
        </w:rPr>
      </w:pPr>
    </w:p>
    <w:p>
      <w:pPr>
        <w:ind w:left="260" w:hanging="252"/>
        <w:spacing w:after="0" w:line="228" w:lineRule="auto"/>
        <w:tabs>
          <w:tab w:leader="none" w:pos="260" w:val="left"/>
        </w:tabs>
        <w:numPr>
          <w:ilvl w:val="0"/>
          <w:numId w:val="22"/>
        </w:numPr>
        <w:rPr>
          <w:rFonts w:ascii="Arial" w:cs="Arial" w:eastAsia="Arial" w:hAnsi="Arial"/>
          <w:sz w:val="17"/>
          <w:szCs w:val="17"/>
          <w:color w:val="00A0E0"/>
        </w:rPr>
      </w:pPr>
      <w:r>
        <w:rPr>
          <w:rFonts w:ascii="Arial" w:cs="Arial" w:eastAsia="Arial" w:hAnsi="Arial"/>
          <w:sz w:val="15"/>
          <w:szCs w:val="15"/>
          <w:color w:val="auto"/>
        </w:rPr>
        <w:t>President and Chief Executive Officer, TV One, 2011 – 2013</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00A0E0"/>
        </w:rPr>
        <w:t>Skills and Qualifications: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251" w:hanging="251"/>
        <w:spacing w:after="0"/>
        <w:tabs>
          <w:tab w:leader="none" w:pos="251" w:val="left"/>
        </w:tabs>
        <w:numPr>
          <w:ilvl w:val="0"/>
          <w:numId w:val="23"/>
        </w:numPr>
        <w:rPr>
          <w:rFonts w:ascii="Arial" w:cs="Arial" w:eastAsia="Arial" w:hAnsi="Arial"/>
          <w:sz w:val="17"/>
          <w:szCs w:val="17"/>
          <w:color w:val="00A0E0"/>
        </w:rPr>
      </w:pPr>
      <w:r>
        <w:rPr>
          <w:rFonts w:ascii="Arial" w:cs="Arial" w:eastAsia="Arial" w:hAnsi="Arial"/>
          <w:sz w:val="15"/>
          <w:szCs w:val="15"/>
          <w:color w:val="auto"/>
        </w:rPr>
        <w:t>Chair, Board of Jurors, Peabody Awards</w:t>
      </w:r>
    </w:p>
    <w:p>
      <w:pPr>
        <w:spacing w:after="0" w:line="7" w:lineRule="exact"/>
        <w:rPr>
          <w:rFonts w:ascii="Arial" w:cs="Arial" w:eastAsia="Arial" w:hAnsi="Arial"/>
          <w:sz w:val="17"/>
          <w:szCs w:val="17"/>
          <w:color w:val="00A0E0"/>
        </w:rPr>
      </w:pPr>
    </w:p>
    <w:p>
      <w:pPr>
        <w:ind w:left="251" w:hanging="251"/>
        <w:spacing w:after="0" w:line="228" w:lineRule="auto"/>
        <w:tabs>
          <w:tab w:leader="none" w:pos="251" w:val="left"/>
        </w:tabs>
        <w:numPr>
          <w:ilvl w:val="0"/>
          <w:numId w:val="23"/>
        </w:numPr>
        <w:rPr>
          <w:rFonts w:ascii="Arial" w:cs="Arial" w:eastAsia="Arial" w:hAnsi="Arial"/>
          <w:sz w:val="17"/>
          <w:szCs w:val="17"/>
          <w:color w:val="00A0E0"/>
        </w:rPr>
      </w:pPr>
      <w:r>
        <w:rPr>
          <w:rFonts w:ascii="Arial" w:cs="Arial" w:eastAsia="Arial" w:hAnsi="Arial"/>
          <w:sz w:val="15"/>
          <w:szCs w:val="15"/>
          <w:color w:val="auto"/>
        </w:rPr>
        <w:t>Board of Trustees, Children’s Healthcare of Atlanta</w:t>
      </w:r>
    </w:p>
    <w:p>
      <w:pPr>
        <w:spacing w:after="0" w:line="3" w:lineRule="exact"/>
        <w:rPr>
          <w:rFonts w:ascii="Arial" w:cs="Arial" w:eastAsia="Arial" w:hAnsi="Arial"/>
          <w:sz w:val="17"/>
          <w:szCs w:val="17"/>
          <w:color w:val="00A0E0"/>
        </w:rPr>
      </w:pPr>
    </w:p>
    <w:p>
      <w:pPr>
        <w:ind w:left="251" w:hanging="251"/>
        <w:spacing w:after="0" w:line="228" w:lineRule="auto"/>
        <w:tabs>
          <w:tab w:leader="none" w:pos="251" w:val="left"/>
        </w:tabs>
        <w:numPr>
          <w:ilvl w:val="0"/>
          <w:numId w:val="23"/>
        </w:numPr>
        <w:rPr>
          <w:rFonts w:ascii="Arial" w:cs="Arial" w:eastAsia="Arial" w:hAnsi="Arial"/>
          <w:sz w:val="17"/>
          <w:szCs w:val="17"/>
          <w:color w:val="00A0E0"/>
        </w:rPr>
      </w:pPr>
      <w:r>
        <w:rPr>
          <w:rFonts w:ascii="Arial" w:cs="Arial" w:eastAsia="Arial" w:hAnsi="Arial"/>
          <w:sz w:val="15"/>
          <w:szCs w:val="15"/>
          <w:color w:val="auto"/>
        </w:rPr>
        <w:t>Board of Directors, Community Foundation for Greater Atlanta</w:t>
      </w:r>
    </w:p>
    <w:p>
      <w:pPr>
        <w:spacing w:after="0" w:line="3" w:lineRule="exact"/>
        <w:rPr>
          <w:rFonts w:ascii="Arial" w:cs="Arial" w:eastAsia="Arial" w:hAnsi="Arial"/>
          <w:sz w:val="17"/>
          <w:szCs w:val="17"/>
          <w:color w:val="00A0E0"/>
        </w:rPr>
      </w:pPr>
    </w:p>
    <w:p>
      <w:pPr>
        <w:ind w:left="251" w:hanging="251"/>
        <w:spacing w:after="0" w:line="228" w:lineRule="auto"/>
        <w:tabs>
          <w:tab w:leader="none" w:pos="251" w:val="left"/>
        </w:tabs>
        <w:numPr>
          <w:ilvl w:val="0"/>
          <w:numId w:val="23"/>
        </w:numPr>
        <w:rPr>
          <w:rFonts w:ascii="Arial" w:cs="Arial" w:eastAsia="Arial" w:hAnsi="Arial"/>
          <w:sz w:val="17"/>
          <w:szCs w:val="17"/>
          <w:color w:val="00A0E0"/>
        </w:rPr>
      </w:pPr>
      <w:r>
        <w:rPr>
          <w:rFonts w:ascii="Arial" w:cs="Arial" w:eastAsia="Arial" w:hAnsi="Arial"/>
          <w:sz w:val="15"/>
          <w:szCs w:val="15"/>
          <w:color w:val="auto"/>
        </w:rPr>
        <w:t>Board of Trustees, Georgia Tech Foundation</w:t>
      </w:r>
    </w:p>
    <w:p>
      <w:pPr>
        <w:spacing w:after="0" w:line="3" w:lineRule="exact"/>
        <w:rPr>
          <w:rFonts w:ascii="Arial" w:cs="Arial" w:eastAsia="Arial" w:hAnsi="Arial"/>
          <w:sz w:val="17"/>
          <w:szCs w:val="17"/>
          <w:color w:val="00A0E0"/>
        </w:rPr>
      </w:pPr>
    </w:p>
    <w:p>
      <w:pPr>
        <w:ind w:left="251" w:hanging="251"/>
        <w:spacing w:after="0" w:line="228" w:lineRule="auto"/>
        <w:tabs>
          <w:tab w:leader="none" w:pos="251" w:val="left"/>
        </w:tabs>
        <w:numPr>
          <w:ilvl w:val="0"/>
          <w:numId w:val="23"/>
        </w:numPr>
        <w:rPr>
          <w:rFonts w:ascii="Arial" w:cs="Arial" w:eastAsia="Arial" w:hAnsi="Arial"/>
          <w:sz w:val="17"/>
          <w:szCs w:val="17"/>
          <w:color w:val="00A0E0"/>
        </w:rPr>
      </w:pPr>
      <w:r>
        <w:rPr>
          <w:rFonts w:ascii="Arial" w:cs="Arial" w:eastAsia="Arial" w:hAnsi="Arial"/>
          <w:sz w:val="15"/>
          <w:szCs w:val="15"/>
          <w:color w:val="auto"/>
        </w:rPr>
        <w:t>Board of Trustees, Sundance Institute</w:t>
      </w:r>
    </w:p>
    <w:p>
      <w:pPr>
        <w:spacing w:after="0" w:line="3" w:lineRule="exact"/>
        <w:rPr>
          <w:rFonts w:ascii="Arial" w:cs="Arial" w:eastAsia="Arial" w:hAnsi="Arial"/>
          <w:sz w:val="17"/>
          <w:szCs w:val="17"/>
          <w:color w:val="00A0E0"/>
        </w:rPr>
      </w:pPr>
    </w:p>
    <w:p>
      <w:pPr>
        <w:ind w:left="251" w:right="780" w:hanging="251"/>
        <w:spacing w:after="0" w:line="227" w:lineRule="auto"/>
        <w:tabs>
          <w:tab w:leader="none" w:pos="251" w:val="left"/>
        </w:tabs>
        <w:numPr>
          <w:ilvl w:val="0"/>
          <w:numId w:val="23"/>
        </w:numPr>
        <w:rPr>
          <w:rFonts w:ascii="Arial" w:cs="Arial" w:eastAsia="Arial" w:hAnsi="Arial"/>
          <w:sz w:val="17"/>
          <w:szCs w:val="17"/>
          <w:color w:val="00A0E0"/>
        </w:rPr>
      </w:pPr>
      <w:r>
        <w:rPr>
          <w:rFonts w:ascii="Arial" w:cs="Arial" w:eastAsia="Arial" w:hAnsi="Arial"/>
          <w:sz w:val="15"/>
          <w:szCs w:val="15"/>
          <w:color w:val="auto"/>
        </w:rPr>
        <w:t>Former Board Member, National Cable and Telecommunications Association (NCTA)</w:t>
      </w:r>
    </w:p>
    <w:p>
      <w:pPr>
        <w:spacing w:after="0" w:line="565" w:lineRule="exact"/>
        <w:rPr>
          <w:sz w:val="20"/>
          <w:szCs w:val="20"/>
          <w:color w:val="auto"/>
        </w:rPr>
      </w:pPr>
    </w:p>
    <w:p>
      <w:pPr>
        <w:sectPr>
          <w:pgSz w:w="11900" w:h="16838" w:orient="portrait"/>
          <w:cols w:equalWidth="0" w:num="2">
            <w:col w:w="5300" w:space="549"/>
            <w:col w:w="5391"/>
          </w:cols>
          <w:pgMar w:left="320" w:top="122" w:right="339" w:bottom="1440" w:gutter="0" w:footer="0" w:header="0"/>
          <w:type w:val="continuous"/>
        </w:sectPr>
      </w:pPr>
    </w:p>
    <w:p>
      <w:pPr>
        <w:spacing w:after="0" w:line="18" w:lineRule="exact"/>
        <w:rPr>
          <w:sz w:val="20"/>
          <w:szCs w:val="20"/>
          <w:color w:val="auto"/>
        </w:rPr>
      </w:pPr>
    </w:p>
    <w:p>
      <w:pPr>
        <w:ind w:right="100"/>
        <w:spacing w:after="0" w:line="232" w:lineRule="auto"/>
        <w:rPr>
          <w:sz w:val="20"/>
          <w:szCs w:val="20"/>
          <w:color w:val="auto"/>
        </w:rPr>
      </w:pPr>
      <w:r>
        <w:rPr>
          <w:rFonts w:ascii="Arial" w:cs="Arial" w:eastAsia="Arial" w:hAnsi="Arial"/>
          <w:sz w:val="15"/>
          <w:szCs w:val="15"/>
          <w:color w:val="auto"/>
        </w:rPr>
        <w:t>Ms. Lucas has previously held senior executive positions at Hallmark Media Networks, Public Broadcasting Atlanta and TV One. In addition to her senior management roles, Ms. Lucas has wide-ranging experience and recognition in the media and entertainment sector. Her more recent accolades include induction into the Broadcasting &amp; Cable Hall of Fame and the Cable Hall of Fame in 2023. Her service on industry-related boards includes her position as Chair of the Board of Jurors of the Peabody Awards, as a member of the Board of Trustees of the Sundance Institute and, formerly, as a member of the Board of the National Cable and Telecommunications Association. During her expansive career, Ms. Lucas has developed a deep expertise in consumer marketing and brand development. This includes previous roles at Westinghouse Electric, The Clorox Company, The Coca Cola Company, Turner Broadcasting and Discovery Communications, where she served as Chief Global Marketing Officer. Her knowledge of history and trends in the entertainment and media industry and consumer brands are highly relevant to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291465" cy="3175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1465" cy="31750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124460</wp:posOffset>
            </wp:positionV>
            <wp:extent cx="291465" cy="316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1465" cy="31686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124460</wp:posOffset>
            </wp:positionV>
            <wp:extent cx="291465" cy="3340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1465" cy="33401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141605</wp:posOffset>
            </wp:positionV>
            <wp:extent cx="291465" cy="291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1465" cy="291465"/>
                    </a:xfrm>
                    <a:prstGeom prst="rect">
                      <a:avLst/>
                    </a:prstGeom>
                    <a:noFill/>
                  </pic:spPr>
                </pic:pic>
              </a:graphicData>
            </a:graphic>
          </wp:anchor>
        </w:drawing>
      </w:r>
    </w:p>
    <w:p>
      <w:pPr>
        <w:spacing w:after="0" w:line="253" w:lineRule="exact"/>
        <w:rPr>
          <w:sz w:val="20"/>
          <w:szCs w:val="20"/>
          <w:color w:val="auto"/>
        </w:rPr>
      </w:pPr>
    </w:p>
    <w:p>
      <w:pPr>
        <w:ind w:left="580"/>
        <w:spacing w:after="0"/>
        <w:tabs>
          <w:tab w:leader="none" w:pos="3260" w:val="left"/>
          <w:tab w:leader="none" w:pos="6080" w:val="left"/>
          <w:tab w:leader="none" w:pos="8960" w:val="left"/>
        </w:tabs>
        <w:rPr>
          <w:sz w:val="20"/>
          <w:szCs w:val="20"/>
          <w:color w:val="auto"/>
        </w:rPr>
      </w:pPr>
      <w:r>
        <w:rPr>
          <w:rFonts w:ascii="Arial" w:cs="Arial" w:eastAsia="Arial" w:hAnsi="Arial"/>
          <w:sz w:val="15"/>
          <w:szCs w:val="15"/>
          <w:color w:val="auto"/>
        </w:rPr>
        <w:t>Executive</w:t>
      </w:r>
      <w:r>
        <w:rPr>
          <w:sz w:val="20"/>
          <w:szCs w:val="20"/>
          <w:color w:val="auto"/>
        </w:rPr>
        <w:tab/>
      </w:r>
      <w:r>
        <w:rPr>
          <w:rFonts w:ascii="Arial" w:cs="Arial" w:eastAsia="Arial" w:hAnsi="Arial"/>
          <w:sz w:val="15"/>
          <w:szCs w:val="15"/>
          <w:color w:val="auto"/>
        </w:rPr>
        <w:t>Relevant Industry</w:t>
      </w:r>
      <w:r>
        <w:rPr>
          <w:sz w:val="20"/>
          <w:szCs w:val="20"/>
          <w:color w:val="auto"/>
        </w:rPr>
        <w:tab/>
      </w:r>
      <w:r>
        <w:rPr>
          <w:rFonts w:ascii="Arial" w:cs="Arial" w:eastAsia="Arial" w:hAnsi="Arial"/>
          <w:sz w:val="15"/>
          <w:szCs w:val="15"/>
          <w:color w:val="auto"/>
        </w:rPr>
        <w:t>Consumer Products/</w:t>
      </w:r>
      <w:r>
        <w:rPr>
          <w:sz w:val="20"/>
          <w:szCs w:val="20"/>
          <w:color w:val="auto"/>
        </w:rPr>
        <w:tab/>
      </w:r>
      <w:r>
        <w:rPr>
          <w:rFonts w:ascii="Arial" w:cs="Arial" w:eastAsia="Arial" w:hAnsi="Arial"/>
          <w:sz w:val="15"/>
          <w:szCs w:val="15"/>
          <w:color w:val="auto"/>
        </w:rPr>
        <w:t>Risk Management</w:t>
      </w:r>
    </w:p>
    <w:p>
      <w:pPr>
        <w:spacing w:after="0" w:line="4" w:lineRule="exact"/>
        <w:rPr>
          <w:sz w:val="20"/>
          <w:szCs w:val="20"/>
          <w:color w:val="auto"/>
        </w:rPr>
      </w:pPr>
    </w:p>
    <w:p>
      <w:pPr>
        <w:ind w:left="580"/>
        <w:spacing w:after="0"/>
        <w:tabs>
          <w:tab w:leader="none" w:pos="3260" w:val="left"/>
          <w:tab w:leader="none" w:pos="6080" w:val="left"/>
          <w:tab w:leader="none" w:pos="8960" w:val="left"/>
        </w:tabs>
        <w:rPr>
          <w:sz w:val="20"/>
          <w:szCs w:val="20"/>
          <w:color w:val="auto"/>
        </w:rPr>
      </w:pPr>
      <w:r>
        <w:rPr>
          <w:rFonts w:ascii="Arial" w:cs="Arial" w:eastAsia="Arial" w:hAnsi="Arial"/>
          <w:sz w:val="15"/>
          <w:szCs w:val="15"/>
          <w:color w:val="auto"/>
        </w:rPr>
        <w:t>Leadership</w:t>
      </w:r>
      <w:r>
        <w:rPr>
          <w:sz w:val="20"/>
          <w:szCs w:val="20"/>
          <w:color w:val="auto"/>
        </w:rPr>
        <w:tab/>
      </w:r>
      <w:r>
        <w:rPr>
          <w:rFonts w:ascii="Arial" w:cs="Arial" w:eastAsia="Arial" w:hAnsi="Arial"/>
          <w:sz w:val="15"/>
          <w:szCs w:val="15"/>
          <w:color w:val="auto"/>
        </w:rPr>
        <w:t>Experience</w:t>
      </w:r>
      <w:r>
        <w:rPr>
          <w:sz w:val="20"/>
          <w:szCs w:val="20"/>
          <w:color w:val="auto"/>
        </w:rPr>
        <w:tab/>
      </w:r>
      <w:r>
        <w:rPr>
          <w:rFonts w:ascii="Arial" w:cs="Arial" w:eastAsia="Arial" w:hAnsi="Arial"/>
          <w:sz w:val="15"/>
          <w:szCs w:val="15"/>
          <w:color w:val="auto"/>
        </w:rPr>
        <w:t>Customer-Oriented</w:t>
      </w:r>
      <w:r>
        <w:rPr>
          <w:sz w:val="20"/>
          <w:szCs w:val="20"/>
          <w:color w:val="auto"/>
        </w:rPr>
        <w:tab/>
      </w:r>
      <w:r>
        <w:rPr>
          <w:rFonts w:ascii="Arial" w:cs="Arial" w:eastAsia="Arial" w:hAnsi="Arial"/>
          <w:sz w:val="14"/>
          <w:szCs w:val="14"/>
          <w:color w:val="auto"/>
        </w:rPr>
        <w:t>Oversight</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5440" w:type="dxa"/>
            <w:vAlign w:val="bottom"/>
            <w:shd w:val="clear" w:color="auto" w:fill="00A0E0"/>
          </w:tcPr>
          <w:p>
            <w:pPr>
              <w:ind w:left="180"/>
              <w:spacing w:after="0"/>
              <w:rPr>
                <w:sz w:val="20"/>
                <w:szCs w:val="20"/>
                <w:color w:val="auto"/>
              </w:rPr>
            </w:pPr>
            <w:r>
              <w:rPr>
                <w:rFonts w:ascii="Arial" w:cs="Arial" w:eastAsia="Arial" w:hAnsi="Arial"/>
                <w:sz w:val="22"/>
                <w:szCs w:val="22"/>
                <w:b w:val="1"/>
                <w:bCs w:val="1"/>
                <w:color w:val="FFFFFF"/>
              </w:rPr>
              <w:t>Asuka Nakahara</w:t>
            </w:r>
          </w:p>
        </w:tc>
        <w:tc>
          <w:tcPr>
            <w:tcW w:w="5800" w:type="dxa"/>
            <w:vAlign w:val="bottom"/>
            <w:shd w:val="clear" w:color="auto" w:fill="00A0E0"/>
          </w:tcPr>
          <w:p>
            <w:pPr>
              <w:ind w:left="4660"/>
              <w:spacing w:after="0"/>
              <w:rPr>
                <w:sz w:val="20"/>
                <w:szCs w:val="20"/>
                <w:color w:val="auto"/>
              </w:rPr>
            </w:pPr>
            <w:r>
              <w:rPr>
                <w:rFonts w:ascii="Arial" w:cs="Arial" w:eastAsia="Arial" w:hAnsi="Arial"/>
                <w:sz w:val="16"/>
                <w:szCs w:val="16"/>
                <w:b w:val="1"/>
                <w:bCs w:val="1"/>
                <w:color w:val="FFFFFF"/>
              </w:rPr>
              <w:t>Independent</w:t>
            </w:r>
          </w:p>
        </w:tc>
        <w:tc>
          <w:tcPr>
            <w:tcW w:w="0" w:type="dxa"/>
            <w:vAlign w:val="bottom"/>
          </w:tcPr>
          <w:p>
            <w:pPr>
              <w:spacing w:after="0"/>
              <w:rPr>
                <w:sz w:val="1"/>
                <w:szCs w:val="1"/>
                <w:color w:val="auto"/>
              </w:rPr>
            </w:pPr>
          </w:p>
        </w:tc>
      </w:tr>
      <w:tr>
        <w:trPr>
          <w:trHeight w:val="82"/>
        </w:trPr>
        <w:tc>
          <w:tcPr>
            <w:tcW w:w="5440" w:type="dxa"/>
            <w:vAlign w:val="bottom"/>
            <w:shd w:val="clear" w:color="auto" w:fill="00A0E0"/>
          </w:tcPr>
          <w:p>
            <w:pPr>
              <w:spacing w:after="0"/>
              <w:rPr>
                <w:sz w:val="7"/>
                <w:szCs w:val="7"/>
                <w:color w:val="auto"/>
              </w:rPr>
            </w:pPr>
          </w:p>
        </w:tc>
        <w:tc>
          <w:tcPr>
            <w:tcW w:w="5800" w:type="dxa"/>
            <w:vAlign w:val="bottom"/>
            <w:shd w:val="clear" w:color="auto" w:fill="00A0E0"/>
          </w:tcPr>
          <w:p>
            <w:pPr>
              <w:spacing w:after="0"/>
              <w:rPr>
                <w:sz w:val="7"/>
                <w:szCs w:val="7"/>
                <w:color w:val="auto"/>
              </w:rPr>
            </w:pPr>
          </w:p>
        </w:tc>
        <w:tc>
          <w:tcPr>
            <w:tcW w:w="0" w:type="dxa"/>
            <w:vAlign w:val="bottom"/>
          </w:tcPr>
          <w:p>
            <w:pPr>
              <w:spacing w:after="0"/>
              <w:rPr>
                <w:sz w:val="1"/>
                <w:szCs w:val="1"/>
                <w:color w:val="auto"/>
              </w:rPr>
            </w:pPr>
          </w:p>
        </w:tc>
      </w:tr>
      <w:tr>
        <w:trPr>
          <w:trHeight w:val="359"/>
        </w:trPr>
        <w:tc>
          <w:tcPr>
            <w:tcW w:w="5440" w:type="dxa"/>
            <w:vAlign w:val="bottom"/>
            <w:shd w:val="clear" w:color="auto" w:fill="E0F0FB"/>
          </w:tcPr>
          <w:p>
            <w:pPr>
              <w:ind w:left="1640"/>
              <w:spacing w:after="0"/>
              <w:rPr>
                <w:sz w:val="20"/>
                <w:szCs w:val="20"/>
                <w:color w:val="auto"/>
              </w:rPr>
            </w:pPr>
            <w:r>
              <w:rPr>
                <w:rFonts w:ascii="Arial" w:cs="Arial" w:eastAsia="Arial" w:hAnsi="Arial"/>
                <w:sz w:val="15"/>
                <w:szCs w:val="15"/>
                <w:color w:val="auto"/>
              </w:rPr>
              <w:t>Partner at Triton Atlantic Partners</w:t>
            </w:r>
          </w:p>
        </w:tc>
        <w:tc>
          <w:tcPr>
            <w:tcW w:w="5800" w:type="dxa"/>
            <w:vAlign w:val="bottom"/>
            <w:shd w:val="clear" w:color="auto" w:fill="E0F0FB"/>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440" w:type="dxa"/>
            <w:vAlign w:val="bottom"/>
            <w:shd w:val="clear" w:color="auto" w:fill="E0F0FB"/>
          </w:tcPr>
          <w:p>
            <w:pPr>
              <w:ind w:left="164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69</w:t>
            </w:r>
          </w:p>
        </w:tc>
        <w:tc>
          <w:tcPr>
            <w:tcW w:w="5800" w:type="dxa"/>
            <w:vAlign w:val="bottom"/>
            <w:shd w:val="clear" w:color="auto" w:fill="E0F0FB"/>
          </w:tcPr>
          <w:p>
            <w:pPr>
              <w:ind w:left="80"/>
              <w:spacing w:after="0"/>
              <w:rPr>
                <w:sz w:val="20"/>
                <w:szCs w:val="20"/>
                <w:color w:val="auto"/>
              </w:rPr>
            </w:pPr>
            <w:r>
              <w:rPr>
                <w:rFonts w:ascii="Arial" w:cs="Arial" w:eastAsia="Arial" w:hAnsi="Arial"/>
                <w:sz w:val="15"/>
                <w:szCs w:val="15"/>
                <w:b w:val="1"/>
                <w:bCs w:val="1"/>
                <w:color w:val="auto"/>
              </w:rPr>
              <w:t>Other Current Public Company Directorships:</w:t>
            </w:r>
          </w:p>
        </w:tc>
        <w:tc>
          <w:tcPr>
            <w:tcW w:w="0" w:type="dxa"/>
            <w:vAlign w:val="bottom"/>
          </w:tcPr>
          <w:p>
            <w:pPr>
              <w:spacing w:after="0"/>
              <w:rPr>
                <w:sz w:val="1"/>
                <w:szCs w:val="1"/>
                <w:color w:val="auto"/>
              </w:rPr>
            </w:pPr>
          </w:p>
        </w:tc>
      </w:tr>
      <w:tr>
        <w:trPr>
          <w:trHeight w:val="200"/>
        </w:trPr>
        <w:tc>
          <w:tcPr>
            <w:tcW w:w="5440" w:type="dxa"/>
            <w:vAlign w:val="bottom"/>
            <w:vMerge w:val="restart"/>
            <w:shd w:val="clear" w:color="auto" w:fill="E0F0FB"/>
          </w:tcPr>
          <w:p>
            <w:pPr>
              <w:ind w:left="164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February 2017</w:t>
            </w:r>
          </w:p>
        </w:tc>
        <w:tc>
          <w:tcPr>
            <w:tcW w:w="5800" w:type="dxa"/>
            <w:vAlign w:val="bottom"/>
            <w:shd w:val="clear" w:color="auto" w:fill="E0F0FB"/>
          </w:tcPr>
          <w:p>
            <w:pPr>
              <w:ind w:left="80"/>
              <w:spacing w:after="0"/>
              <w:rPr>
                <w:sz w:val="20"/>
                <w:szCs w:val="20"/>
                <w:color w:val="auto"/>
              </w:rPr>
            </w:pPr>
            <w:r>
              <w:rPr>
                <w:rFonts w:ascii="Arial" w:cs="Arial" w:eastAsia="Arial" w:hAnsi="Arial"/>
                <w:sz w:val="15"/>
                <w:szCs w:val="15"/>
                <w:color w:val="auto"/>
              </w:rPr>
              <w:t>CBRE Global Real Estate Income Fund</w:t>
            </w:r>
          </w:p>
        </w:tc>
        <w:tc>
          <w:tcPr>
            <w:tcW w:w="0" w:type="dxa"/>
            <w:vAlign w:val="bottom"/>
          </w:tcPr>
          <w:p>
            <w:pPr>
              <w:spacing w:after="0"/>
              <w:rPr>
                <w:sz w:val="1"/>
                <w:szCs w:val="1"/>
                <w:color w:val="auto"/>
              </w:rPr>
            </w:pPr>
          </w:p>
        </w:tc>
      </w:tr>
      <w:tr>
        <w:trPr>
          <w:trHeight w:val="75"/>
        </w:trPr>
        <w:tc>
          <w:tcPr>
            <w:tcW w:w="5440" w:type="dxa"/>
            <w:vAlign w:val="bottom"/>
            <w:vMerge w:val="continue"/>
            <w:shd w:val="clear" w:color="auto" w:fill="E0F0FB"/>
          </w:tcPr>
          <w:p>
            <w:pPr>
              <w:spacing w:after="0"/>
              <w:rPr>
                <w:sz w:val="6"/>
                <w:szCs w:val="6"/>
                <w:color w:val="auto"/>
              </w:rPr>
            </w:pPr>
          </w:p>
        </w:tc>
        <w:tc>
          <w:tcPr>
            <w:tcW w:w="5800" w:type="dxa"/>
            <w:vAlign w:val="bottom"/>
            <w:shd w:val="clear" w:color="auto" w:fill="E0F0FB"/>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E0F0FB"/>
          </w:tcPr>
          <w:p>
            <w:pPr>
              <w:ind w:left="164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Audit</w:t>
            </w:r>
          </w:p>
        </w:tc>
        <w:tc>
          <w:tcPr>
            <w:tcW w:w="5800" w:type="dxa"/>
            <w:vAlign w:val="bottom"/>
            <w:shd w:val="clear" w:color="auto" w:fill="E0F0FB"/>
          </w:tcPr>
          <w:p>
            <w:pPr>
              <w:spacing w:after="0"/>
              <w:rPr>
                <w:sz w:val="21"/>
                <w:szCs w:val="21"/>
                <w:color w:val="auto"/>
              </w:rPr>
            </w:pPr>
          </w:p>
        </w:tc>
        <w:tc>
          <w:tcPr>
            <w:tcW w:w="0" w:type="dxa"/>
            <w:vAlign w:val="bottom"/>
          </w:tcPr>
          <w:p>
            <w:pPr>
              <w:spacing w:after="0"/>
              <w:rPr>
                <w:sz w:val="1"/>
                <w:szCs w:val="1"/>
                <w:color w:val="auto"/>
              </w:rPr>
            </w:pPr>
          </w:p>
        </w:tc>
      </w:tr>
      <w:tr>
        <w:trPr>
          <w:trHeight w:val="403"/>
        </w:trPr>
        <w:tc>
          <w:tcPr>
            <w:tcW w:w="5440" w:type="dxa"/>
            <w:vAlign w:val="bottom"/>
            <w:shd w:val="clear" w:color="auto" w:fill="E0F0FB"/>
          </w:tcPr>
          <w:p>
            <w:pPr>
              <w:spacing w:after="0"/>
              <w:rPr>
                <w:sz w:val="24"/>
                <w:szCs w:val="24"/>
                <w:color w:val="auto"/>
              </w:rPr>
            </w:pPr>
          </w:p>
        </w:tc>
        <w:tc>
          <w:tcPr>
            <w:tcW w:w="5800" w:type="dxa"/>
            <w:vAlign w:val="bottom"/>
            <w:shd w:val="clear" w:color="auto" w:fill="E0F0FB"/>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5440" w:type="dxa"/>
            <w:vAlign w:val="bottom"/>
          </w:tcPr>
          <w:p>
            <w:pPr>
              <w:spacing w:after="0"/>
              <w:rPr>
                <w:sz w:val="20"/>
                <w:szCs w:val="20"/>
                <w:color w:val="auto"/>
              </w:rPr>
            </w:pPr>
            <w:r>
              <w:rPr>
                <w:rFonts w:ascii="Arial" w:cs="Arial" w:eastAsia="Arial" w:hAnsi="Arial"/>
                <w:sz w:val="16"/>
                <w:szCs w:val="16"/>
                <w:b w:val="1"/>
                <w:bCs w:val="1"/>
                <w:color w:val="00A0E0"/>
              </w:rPr>
              <w:t>Career Highlights:</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440" w:type="dxa"/>
            <w:vAlign w:val="bottom"/>
          </w:tcPr>
          <w:p>
            <w:pPr>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5"/>
                <w:szCs w:val="15"/>
                <w:color w:val="000000"/>
              </w:rPr>
              <w:t>Co-Founder, Incompass Labs, Inc., a peer assessment software company,</w:t>
            </w:r>
          </w:p>
        </w:tc>
        <w:tc>
          <w:tcPr>
            <w:tcW w:w="5800" w:type="dxa"/>
            <w:vAlign w:val="bottom"/>
          </w:tcPr>
          <w:p>
            <w:pPr>
              <w:ind w:left="400"/>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5"/>
                <w:szCs w:val="15"/>
                <w:color w:val="000000"/>
              </w:rPr>
              <w:t>Trammell Crow Company, various leadership roles including Chief Financial</w:t>
            </w:r>
          </w:p>
        </w:tc>
        <w:tc>
          <w:tcPr>
            <w:tcW w:w="0" w:type="dxa"/>
            <w:vAlign w:val="bottom"/>
          </w:tcPr>
          <w:p>
            <w:pPr>
              <w:spacing w:after="0"/>
              <w:rPr>
                <w:sz w:val="1"/>
                <w:szCs w:val="1"/>
                <w:color w:val="auto"/>
              </w:rPr>
            </w:pPr>
          </w:p>
        </w:tc>
      </w:tr>
      <w:tr>
        <w:trPr>
          <w:trHeight w:val="153"/>
        </w:trPr>
        <w:tc>
          <w:tcPr>
            <w:tcW w:w="5440" w:type="dxa"/>
            <w:vAlign w:val="bottom"/>
          </w:tcPr>
          <w:p>
            <w:pPr>
              <w:ind w:left="260"/>
              <w:spacing w:after="0" w:line="154" w:lineRule="exact"/>
              <w:rPr>
                <w:sz w:val="20"/>
                <w:szCs w:val="20"/>
                <w:color w:val="auto"/>
              </w:rPr>
            </w:pPr>
            <w:r>
              <w:rPr>
                <w:rFonts w:ascii="Arial" w:cs="Arial" w:eastAsia="Arial" w:hAnsi="Arial"/>
                <w:sz w:val="15"/>
                <w:szCs w:val="15"/>
                <w:color w:val="auto"/>
              </w:rPr>
              <w:t>2022 – Present</w:t>
            </w:r>
          </w:p>
        </w:tc>
        <w:tc>
          <w:tcPr>
            <w:tcW w:w="5800" w:type="dxa"/>
            <w:vAlign w:val="bottom"/>
          </w:tcPr>
          <w:p>
            <w:pPr>
              <w:ind w:left="660"/>
              <w:spacing w:after="0" w:line="154" w:lineRule="exact"/>
              <w:rPr>
                <w:sz w:val="20"/>
                <w:szCs w:val="20"/>
                <w:color w:val="auto"/>
              </w:rPr>
            </w:pPr>
            <w:r>
              <w:rPr>
                <w:rFonts w:ascii="Arial" w:cs="Arial" w:eastAsia="Arial" w:hAnsi="Arial"/>
                <w:sz w:val="15"/>
                <w:szCs w:val="15"/>
                <w:color w:val="auto"/>
              </w:rPr>
              <w:t>Officer (overseeing finance, capital markets, mergers and acquisitions,</w:t>
            </w:r>
          </w:p>
        </w:tc>
        <w:tc>
          <w:tcPr>
            <w:tcW w:w="0" w:type="dxa"/>
            <w:vAlign w:val="bottom"/>
          </w:tcPr>
          <w:p>
            <w:pPr>
              <w:spacing w:after="0"/>
              <w:rPr>
                <w:sz w:val="1"/>
                <w:szCs w:val="1"/>
                <w:color w:val="auto"/>
              </w:rPr>
            </w:pPr>
          </w:p>
        </w:tc>
      </w:tr>
      <w:tr>
        <w:trPr>
          <w:trHeight w:val="171"/>
        </w:trPr>
        <w:tc>
          <w:tcPr>
            <w:tcW w:w="5440" w:type="dxa"/>
            <w:vAlign w:val="bottom"/>
          </w:tcPr>
          <w:p>
            <w:pPr>
              <w:spacing w:after="0" w:line="171" w:lineRule="exact"/>
              <w:rPr>
                <w:sz w:val="20"/>
                <w:szCs w:val="20"/>
                <w:color w:val="auto"/>
              </w:rPr>
            </w:pPr>
            <w:r>
              <w:rPr>
                <w:rFonts w:ascii="Arial" w:cs="Arial" w:eastAsia="Arial" w:hAnsi="Arial"/>
                <w:sz w:val="17"/>
                <w:szCs w:val="17"/>
                <w:color w:val="00A0E0"/>
              </w:rPr>
              <w:t xml:space="preserve">●  </w:t>
            </w:r>
            <w:r>
              <w:rPr>
                <w:rFonts w:ascii="Arial" w:cs="Arial" w:eastAsia="Arial" w:hAnsi="Arial"/>
                <w:sz w:val="15"/>
                <w:szCs w:val="15"/>
                <w:color w:val="000000"/>
              </w:rPr>
              <w:t>Partner, Triton Atlantic Partners, a real estate advisory firm and investment</w:t>
            </w:r>
          </w:p>
        </w:tc>
        <w:tc>
          <w:tcPr>
            <w:tcW w:w="5800" w:type="dxa"/>
            <w:vAlign w:val="bottom"/>
          </w:tcPr>
          <w:p>
            <w:pPr>
              <w:ind w:left="660"/>
              <w:spacing w:after="0" w:line="171" w:lineRule="exact"/>
              <w:rPr>
                <w:sz w:val="20"/>
                <w:szCs w:val="20"/>
                <w:color w:val="auto"/>
              </w:rPr>
            </w:pPr>
            <w:r>
              <w:rPr>
                <w:rFonts w:ascii="Arial" w:cs="Arial" w:eastAsia="Arial" w:hAnsi="Arial"/>
                <w:sz w:val="15"/>
                <w:szCs w:val="15"/>
                <w:color w:val="auto"/>
              </w:rPr>
              <w:t>marketing, Trammell Crow University, human resources and other new</w:t>
            </w:r>
          </w:p>
        </w:tc>
        <w:tc>
          <w:tcPr>
            <w:tcW w:w="0" w:type="dxa"/>
            <w:vAlign w:val="bottom"/>
          </w:tcPr>
          <w:p>
            <w:pPr>
              <w:spacing w:after="0"/>
              <w:rPr>
                <w:sz w:val="1"/>
                <w:szCs w:val="1"/>
                <w:color w:val="auto"/>
              </w:rPr>
            </w:pPr>
          </w:p>
        </w:tc>
      </w:tr>
      <w:tr>
        <w:trPr>
          <w:trHeight w:val="153"/>
        </w:trPr>
        <w:tc>
          <w:tcPr>
            <w:tcW w:w="5440" w:type="dxa"/>
            <w:vAlign w:val="bottom"/>
          </w:tcPr>
          <w:p>
            <w:pPr>
              <w:ind w:left="260"/>
              <w:spacing w:after="0" w:line="154" w:lineRule="exact"/>
              <w:rPr>
                <w:sz w:val="20"/>
                <w:szCs w:val="20"/>
                <w:color w:val="auto"/>
              </w:rPr>
            </w:pPr>
            <w:r>
              <w:rPr>
                <w:rFonts w:ascii="Arial" w:cs="Arial" w:eastAsia="Arial" w:hAnsi="Arial"/>
                <w:sz w:val="15"/>
                <w:szCs w:val="15"/>
                <w:color w:val="auto"/>
              </w:rPr>
              <w:t>vehicle that he co-founded, 2009 – Present</w:t>
            </w:r>
          </w:p>
        </w:tc>
        <w:tc>
          <w:tcPr>
            <w:tcW w:w="5800" w:type="dxa"/>
            <w:vAlign w:val="bottom"/>
          </w:tcPr>
          <w:p>
            <w:pPr>
              <w:ind w:left="660"/>
              <w:spacing w:after="0" w:line="154" w:lineRule="exact"/>
              <w:rPr>
                <w:sz w:val="20"/>
                <w:szCs w:val="20"/>
                <w:color w:val="auto"/>
              </w:rPr>
            </w:pPr>
            <w:r>
              <w:rPr>
                <w:rFonts w:ascii="Arial" w:cs="Arial" w:eastAsia="Arial" w:hAnsi="Arial"/>
                <w:sz w:val="15"/>
                <w:szCs w:val="15"/>
                <w:color w:val="auto"/>
              </w:rPr>
              <w:t>business initiatives), 1980 – 1999</w:t>
            </w:r>
          </w:p>
        </w:tc>
        <w:tc>
          <w:tcPr>
            <w:tcW w:w="0" w:type="dxa"/>
            <w:vAlign w:val="bottom"/>
          </w:tcPr>
          <w:p>
            <w:pPr>
              <w:spacing w:after="0"/>
              <w:rPr>
                <w:sz w:val="1"/>
                <w:szCs w:val="1"/>
                <w:color w:val="auto"/>
              </w:rPr>
            </w:pPr>
          </w:p>
        </w:tc>
      </w:tr>
      <w:tr>
        <w:trPr>
          <w:trHeight w:val="171"/>
        </w:trPr>
        <w:tc>
          <w:tcPr>
            <w:tcW w:w="5440" w:type="dxa"/>
            <w:vAlign w:val="bottom"/>
          </w:tcPr>
          <w:p>
            <w:pPr>
              <w:spacing w:after="0" w:line="171" w:lineRule="exact"/>
              <w:rPr>
                <w:sz w:val="20"/>
                <w:szCs w:val="20"/>
                <w:color w:val="auto"/>
              </w:rPr>
            </w:pPr>
            <w:r>
              <w:rPr>
                <w:rFonts w:ascii="Arial" w:cs="Arial" w:eastAsia="Arial" w:hAnsi="Arial"/>
                <w:sz w:val="17"/>
                <w:szCs w:val="17"/>
                <w:color w:val="00A0E0"/>
              </w:rPr>
              <w:t xml:space="preserve">●  </w:t>
            </w:r>
            <w:r>
              <w:rPr>
                <w:rFonts w:ascii="Arial" w:cs="Arial" w:eastAsia="Arial" w:hAnsi="Arial"/>
                <w:sz w:val="15"/>
                <w:szCs w:val="15"/>
                <w:color w:val="000000"/>
              </w:rPr>
              <w:t>Associate Director, Zell-Lurie Real Estate Center, and Practice Professor,</w:t>
            </w:r>
          </w:p>
        </w:tc>
        <w:tc>
          <w:tcPr>
            <w:tcW w:w="5800" w:type="dxa"/>
            <w:vAlign w:val="bottom"/>
          </w:tcPr>
          <w:p>
            <w:pPr>
              <w:ind w:left="400"/>
              <w:spacing w:after="0" w:line="171" w:lineRule="exact"/>
              <w:rPr>
                <w:sz w:val="20"/>
                <w:szCs w:val="20"/>
                <w:color w:val="auto"/>
              </w:rPr>
            </w:pPr>
            <w:r>
              <w:rPr>
                <w:rFonts w:ascii="Arial" w:cs="Arial" w:eastAsia="Arial" w:hAnsi="Arial"/>
                <w:sz w:val="17"/>
                <w:szCs w:val="17"/>
                <w:color w:val="00A0E0"/>
              </w:rPr>
              <w:t xml:space="preserve">●  </w:t>
            </w:r>
            <w:r>
              <w:rPr>
                <w:rFonts w:ascii="Arial" w:cs="Arial" w:eastAsia="Arial" w:hAnsi="Arial"/>
                <w:sz w:val="15"/>
                <w:szCs w:val="15"/>
                <w:color w:val="000000"/>
              </w:rPr>
              <w:t>Board of Trustees, Rice University</w:t>
            </w:r>
          </w:p>
        </w:tc>
        <w:tc>
          <w:tcPr>
            <w:tcW w:w="0" w:type="dxa"/>
            <w:vAlign w:val="bottom"/>
          </w:tcPr>
          <w:p>
            <w:pPr>
              <w:spacing w:after="0"/>
              <w:rPr>
                <w:sz w:val="1"/>
                <w:szCs w:val="1"/>
                <w:color w:val="auto"/>
              </w:rPr>
            </w:pPr>
          </w:p>
        </w:tc>
      </w:tr>
      <w:tr>
        <w:trPr>
          <w:trHeight w:val="158"/>
        </w:trPr>
        <w:tc>
          <w:tcPr>
            <w:tcW w:w="5440" w:type="dxa"/>
            <w:vAlign w:val="bottom"/>
          </w:tcPr>
          <w:p>
            <w:pPr>
              <w:ind w:left="260"/>
              <w:spacing w:after="0" w:line="158" w:lineRule="exact"/>
              <w:rPr>
                <w:sz w:val="20"/>
                <w:szCs w:val="20"/>
                <w:color w:val="auto"/>
              </w:rPr>
            </w:pPr>
            <w:r>
              <w:rPr>
                <w:rFonts w:ascii="Arial" w:cs="Arial" w:eastAsia="Arial" w:hAnsi="Arial"/>
                <w:sz w:val="15"/>
                <w:szCs w:val="15"/>
                <w:color w:val="auto"/>
              </w:rPr>
              <w:t>Real Estate Department, Wharton School of the University of Pennsylvania,</w:t>
            </w:r>
          </w:p>
        </w:tc>
        <w:tc>
          <w:tcPr>
            <w:tcW w:w="5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440" w:type="dxa"/>
            <w:vAlign w:val="bottom"/>
          </w:tcPr>
          <w:p>
            <w:pPr>
              <w:ind w:left="260"/>
              <w:spacing w:after="0"/>
              <w:rPr>
                <w:sz w:val="20"/>
                <w:szCs w:val="20"/>
                <w:color w:val="auto"/>
              </w:rPr>
            </w:pPr>
            <w:r>
              <w:rPr>
                <w:rFonts w:ascii="Arial" w:cs="Arial" w:eastAsia="Arial" w:hAnsi="Arial"/>
                <w:sz w:val="15"/>
                <w:szCs w:val="15"/>
                <w:color w:val="auto"/>
              </w:rPr>
              <w:t>1999 – Present</w:t>
            </w:r>
          </w:p>
        </w:tc>
        <w:tc>
          <w:tcPr>
            <w:tcW w:w="5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5440" w:type="dxa"/>
            <w:vAlign w:val="bottom"/>
          </w:tcPr>
          <w:p>
            <w:pPr>
              <w:spacing w:after="0"/>
              <w:rPr>
                <w:sz w:val="20"/>
                <w:szCs w:val="20"/>
                <w:color w:val="auto"/>
              </w:rPr>
            </w:pPr>
            <w:r>
              <w:rPr>
                <w:rFonts w:ascii="Arial" w:cs="Arial" w:eastAsia="Arial" w:hAnsi="Arial"/>
                <w:sz w:val="16"/>
                <w:szCs w:val="16"/>
                <w:b w:val="1"/>
                <w:bCs w:val="1"/>
                <w:color w:val="00A0E0"/>
              </w:rPr>
              <w:t>Skills and Qualifications:</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-2300605</wp:posOffset>
            </wp:positionV>
            <wp:extent cx="805815" cy="8058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spacing w:after="0" w:line="159" w:lineRule="exact"/>
        <w:rPr>
          <w:sz w:val="20"/>
          <w:szCs w:val="20"/>
          <w:color w:val="auto"/>
        </w:rPr>
      </w:pPr>
    </w:p>
    <w:p>
      <w:pPr>
        <w:ind w:right="140"/>
        <w:spacing w:after="0" w:line="233" w:lineRule="auto"/>
        <w:rPr>
          <w:sz w:val="20"/>
          <w:szCs w:val="20"/>
          <w:color w:val="auto"/>
        </w:rPr>
      </w:pPr>
      <w:r>
        <w:rPr>
          <w:rFonts w:ascii="Arial" w:cs="Arial" w:eastAsia="Arial" w:hAnsi="Arial"/>
          <w:sz w:val="15"/>
          <w:szCs w:val="15"/>
          <w:color w:val="auto"/>
        </w:rPr>
        <w:t>Over the course of a nearly 20-year real estate career at Trammell Crow Company, Mr. Nakahara held a number of senior leadership roles. These experiences have provided Mr. Nakahara with executive leadership, management, strategic planning and financial expertise credentials that are beneficial to the full range of Board responsibilities. Mr. Nakahara is a co-founder and partner of real estate investment and advisory firm Triton Atlantic Partners, where he has over 15 years of experience in investment management and related fields. As an advisor, he provides strategic, leadership and capital markets advice to management teams. Mr. Nakahara has also been a dedicated educator throughout his career. For 25 years, he has served as Associate Director of the Zell-Lurie Real Estate Center at the Wharton School of the University of Pennsylvania. He also serves on the Board of Trustees of Rice University. Mr. Nakahara brings this same expertise in training, leadership and oversight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291465" cy="3175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1465" cy="31750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132715</wp:posOffset>
            </wp:positionV>
            <wp:extent cx="291465" cy="300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1465" cy="300355"/>
                    </a:xfrm>
                    <a:prstGeom prst="rect">
                      <a:avLst/>
                    </a:prstGeom>
                    <a:noFill/>
                  </pic:spPr>
                </pic:pic>
              </a:graphicData>
            </a:graphic>
          </wp:anchor>
        </w:drawing>
      </w:r>
    </w:p>
    <w:p>
      <w:pPr>
        <w:spacing w:after="0" w:line="170" w:lineRule="exact"/>
        <w:rPr>
          <w:sz w:val="20"/>
          <w:szCs w:val="20"/>
          <w:color w:val="auto"/>
        </w:rPr>
      </w:pPr>
    </w:p>
    <w:p>
      <w:pPr>
        <w:ind w:left="580"/>
        <w:spacing w:after="0"/>
        <w:tabs>
          <w:tab w:leader="none" w:pos="4280" w:val="left"/>
        </w:tabs>
        <w:rPr>
          <w:sz w:val="20"/>
          <w:szCs w:val="20"/>
          <w:color w:val="auto"/>
        </w:rPr>
      </w:pPr>
      <w:r>
        <w:rPr>
          <w:rFonts w:ascii="Arial" w:cs="Arial" w:eastAsia="Arial" w:hAnsi="Arial"/>
          <w:sz w:val="15"/>
          <w:szCs w:val="15"/>
          <w:color w:val="auto"/>
        </w:rPr>
        <w:t>Executive Leadership</w:t>
      </w:r>
      <w:r>
        <w:rPr>
          <w:sz w:val="20"/>
          <w:szCs w:val="20"/>
          <w:color w:val="auto"/>
        </w:rPr>
        <w:tab/>
      </w:r>
      <w:r>
        <w:rPr>
          <w:rFonts w:ascii="Arial" w:cs="Arial" w:eastAsia="Arial" w:hAnsi="Arial"/>
          <w:sz w:val="15"/>
          <w:szCs w:val="15"/>
          <w:color w:val="auto"/>
        </w:rPr>
        <w:t xml:space="preserve">Financial/Accounting                    </w:t>
      </w:r>
      <w:r>
        <w:rPr>
          <w:sz w:val="1"/>
          <w:szCs w:val="1"/>
          <w:color w:val="auto"/>
        </w:rPr>
        <w:drawing>
          <wp:inline distT="0" distB="0" distL="0" distR="0">
            <wp:extent cx="291465" cy="28257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1465" cy="282575"/>
                    </a:xfrm>
                    <a:prstGeom prst="rect">
                      <a:avLst/>
                    </a:prstGeom>
                    <a:noFill/>
                    <a:ln>
                      <a:noFill/>
                    </a:ln>
                  </pic:spPr>
                </pic:pic>
              </a:graphicData>
            </a:graphic>
          </wp:inline>
        </w:drawing>
      </w:r>
      <w:r>
        <w:rPr>
          <w:rFonts w:ascii="Arial" w:cs="Arial" w:eastAsia="Arial" w:hAnsi="Arial"/>
          <w:sz w:val="15"/>
          <w:szCs w:val="15"/>
          <w:color w:val="auto"/>
        </w:rPr>
        <w:t xml:space="preserve">  Non-Profit/Educational/Philanthropic</w:t>
      </w:r>
    </w:p>
    <w:p>
      <w:pPr>
        <w:sectPr>
          <w:pgSz w:w="11900" w:h="16838" w:orient="portrait"/>
          <w:cols w:equalWidth="0" w:num="1">
            <w:col w:w="11240"/>
          </w:cols>
          <w:pgMar w:left="320" w:top="122" w:right="339" w:bottom="1440" w:gutter="0" w:footer="0" w:header="0"/>
          <w:type w:val="continuous"/>
        </w:sectPr>
      </w:pPr>
    </w:p>
    <w:p>
      <w:pPr>
        <w:spacing w:after="0" w:line="225"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2025 </w:t>
      </w:r>
      <w:r>
        <w:rPr>
          <w:rFonts w:ascii="Arial" w:cs="Arial" w:eastAsia="Arial" w:hAnsi="Arial"/>
          <w:sz w:val="12"/>
          <w:szCs w:val="12"/>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291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311"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David C. Novak</w:t>
      </w:r>
    </w:p>
    <w:p>
      <w:pPr>
        <w:spacing w:after="0" w:line="285"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Founder of David Novak Leadership, Inc.</w:t>
      </w:r>
    </w:p>
    <w:p>
      <w:pPr>
        <w:spacing w:after="0" w:line="204" w:lineRule="exact"/>
        <w:rPr>
          <w:sz w:val="20"/>
          <w:szCs w:val="20"/>
          <w:color w:val="auto"/>
        </w:rPr>
      </w:pPr>
    </w:p>
    <w:p>
      <w:pPr>
        <w:ind w:left="164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72</w:t>
      </w:r>
    </w:p>
    <w:p>
      <w:pPr>
        <w:spacing w:after="0" w:line="71" w:lineRule="exact"/>
        <w:rPr>
          <w:sz w:val="20"/>
          <w:szCs w:val="20"/>
          <w:color w:val="auto"/>
        </w:rPr>
      </w:pPr>
    </w:p>
    <w:p>
      <w:pPr>
        <w:ind w:left="164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December 2016</w:t>
      </w:r>
    </w:p>
    <w:p>
      <w:pPr>
        <w:spacing w:after="0" w:line="57" w:lineRule="exact"/>
        <w:rPr>
          <w:sz w:val="20"/>
          <w:szCs w:val="20"/>
          <w:color w:val="auto"/>
        </w:rPr>
      </w:pPr>
    </w:p>
    <w:p>
      <w:pPr>
        <w:ind w:left="164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Compensation and Human Capital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00A0E0"/>
        </w:rPr>
        <w:t>Career Highlights:</w:t>
      </w:r>
    </w:p>
    <w:p>
      <w:pPr>
        <w:spacing w:after="0" w:line="218" w:lineRule="exact"/>
        <w:rPr>
          <w:sz w:val="20"/>
          <w:szCs w:val="20"/>
          <w:color w:val="auto"/>
        </w:rPr>
      </w:pPr>
    </w:p>
    <w:p>
      <w:pPr>
        <w:ind w:left="260" w:hanging="252"/>
        <w:spacing w:after="0" w:line="222" w:lineRule="auto"/>
        <w:tabs>
          <w:tab w:leader="none" w:pos="260" w:val="left"/>
        </w:tabs>
        <w:numPr>
          <w:ilvl w:val="0"/>
          <w:numId w:val="25"/>
        </w:numPr>
        <w:rPr>
          <w:rFonts w:ascii="Arial" w:cs="Arial" w:eastAsia="Arial" w:hAnsi="Arial"/>
          <w:sz w:val="17"/>
          <w:szCs w:val="17"/>
          <w:color w:val="00A0E0"/>
        </w:rPr>
      </w:pPr>
      <w:r>
        <w:rPr>
          <w:rFonts w:ascii="Arial" w:cs="Arial" w:eastAsia="Arial" w:hAnsi="Arial"/>
          <w:sz w:val="15"/>
          <w:szCs w:val="15"/>
          <w:color w:val="auto"/>
        </w:rPr>
        <w:t>Founder of David Novak Leadership, Inc., which provides online leadership training to transform managers into confident, capable, engaging leaders, 2020 – Present</w:t>
      </w:r>
    </w:p>
    <w:p>
      <w:pPr>
        <w:ind w:left="260" w:hanging="252"/>
        <w:spacing w:after="0" w:line="228" w:lineRule="auto"/>
        <w:tabs>
          <w:tab w:leader="none" w:pos="260" w:val="left"/>
        </w:tabs>
        <w:numPr>
          <w:ilvl w:val="0"/>
          <w:numId w:val="25"/>
        </w:numPr>
        <w:rPr>
          <w:rFonts w:ascii="Arial" w:cs="Arial" w:eastAsia="Arial" w:hAnsi="Arial"/>
          <w:sz w:val="17"/>
          <w:szCs w:val="17"/>
          <w:color w:val="00A0E0"/>
        </w:rPr>
      </w:pPr>
      <w:r>
        <w:rPr>
          <w:rFonts w:ascii="Arial" w:cs="Arial" w:eastAsia="Arial" w:hAnsi="Arial"/>
          <w:sz w:val="15"/>
          <w:szCs w:val="15"/>
          <w:color w:val="auto"/>
        </w:rPr>
        <w:t>Executive Chairman of the Board, YUM! Brands, Inc., 2015 – 2016</w:t>
      </w:r>
    </w:p>
    <w:p>
      <w:pPr>
        <w:spacing w:after="0" w:line="3" w:lineRule="exact"/>
        <w:rPr>
          <w:rFonts w:ascii="Arial" w:cs="Arial" w:eastAsia="Arial" w:hAnsi="Arial"/>
          <w:sz w:val="17"/>
          <w:szCs w:val="17"/>
          <w:color w:val="00A0E0"/>
        </w:rPr>
      </w:pPr>
    </w:p>
    <w:p>
      <w:pPr>
        <w:ind w:left="260" w:right="80" w:hanging="252"/>
        <w:spacing w:after="0" w:line="227" w:lineRule="auto"/>
        <w:tabs>
          <w:tab w:leader="none" w:pos="260" w:val="left"/>
        </w:tabs>
        <w:numPr>
          <w:ilvl w:val="0"/>
          <w:numId w:val="25"/>
        </w:numPr>
        <w:rPr>
          <w:rFonts w:ascii="Arial" w:cs="Arial" w:eastAsia="Arial" w:hAnsi="Arial"/>
          <w:sz w:val="17"/>
          <w:szCs w:val="17"/>
          <w:color w:val="00A0E0"/>
        </w:rPr>
      </w:pPr>
      <w:r>
        <w:rPr>
          <w:rFonts w:ascii="Arial" w:cs="Arial" w:eastAsia="Arial" w:hAnsi="Arial"/>
          <w:sz w:val="15"/>
          <w:szCs w:val="15"/>
          <w:color w:val="auto"/>
        </w:rPr>
        <w:t>Chairman of the Board (2001 – 2014) and Chief Executive Officer (2000 – 2014), YUM! Brands, Inc.</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0A0E0"/>
        </w:rPr>
        <w:t>Skills and Qualifications:</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right"/>
        <w:ind w:right="180"/>
        <w:spacing w:after="0"/>
        <w:rPr>
          <w:sz w:val="20"/>
          <w:szCs w:val="20"/>
          <w:color w:val="auto"/>
        </w:rPr>
      </w:pP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80645</wp:posOffset>
            </wp:positionV>
            <wp:extent cx="7132320" cy="1036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60" w:hanging="251"/>
        <w:spacing w:after="0"/>
        <w:tabs>
          <w:tab w:leader="none" w:pos="260" w:val="left"/>
        </w:tabs>
        <w:numPr>
          <w:ilvl w:val="0"/>
          <w:numId w:val="26"/>
        </w:numPr>
        <w:rPr>
          <w:rFonts w:ascii="Arial" w:cs="Arial" w:eastAsia="Arial" w:hAnsi="Arial"/>
          <w:sz w:val="17"/>
          <w:szCs w:val="17"/>
          <w:color w:val="00A0E0"/>
        </w:rPr>
      </w:pPr>
      <w:r>
        <w:rPr>
          <w:rFonts w:ascii="Arial" w:cs="Arial" w:eastAsia="Arial" w:hAnsi="Arial"/>
          <w:sz w:val="15"/>
          <w:szCs w:val="15"/>
          <w:color w:val="auto"/>
        </w:rPr>
        <w:t>Board Member, Lift-a-Life Novak Family Foundation</w:t>
      </w:r>
    </w:p>
    <w:p>
      <w:pPr>
        <w:spacing w:after="0" w:line="7" w:lineRule="exact"/>
        <w:rPr>
          <w:rFonts w:ascii="Arial" w:cs="Arial" w:eastAsia="Arial" w:hAnsi="Arial"/>
          <w:sz w:val="17"/>
          <w:szCs w:val="17"/>
          <w:color w:val="00A0E0"/>
        </w:rPr>
      </w:pPr>
    </w:p>
    <w:p>
      <w:pPr>
        <w:ind w:left="260" w:right="220" w:hanging="251"/>
        <w:spacing w:after="0" w:line="226" w:lineRule="auto"/>
        <w:tabs>
          <w:tab w:leader="none" w:pos="260" w:val="left"/>
        </w:tabs>
        <w:numPr>
          <w:ilvl w:val="0"/>
          <w:numId w:val="26"/>
        </w:numPr>
        <w:rPr>
          <w:rFonts w:ascii="Arial" w:cs="Arial" w:eastAsia="Arial" w:hAnsi="Arial"/>
          <w:sz w:val="17"/>
          <w:szCs w:val="17"/>
          <w:color w:val="00A0E0"/>
        </w:rPr>
      </w:pPr>
      <w:r>
        <w:rPr>
          <w:rFonts w:ascii="Arial" w:cs="Arial" w:eastAsia="Arial" w:hAnsi="Arial"/>
          <w:sz w:val="15"/>
          <w:szCs w:val="15"/>
          <w:color w:val="auto"/>
        </w:rPr>
        <w:t xml:space="preserve">Author of </w:t>
      </w:r>
      <w:r>
        <w:rPr>
          <w:rFonts w:ascii="Arial" w:cs="Arial" w:eastAsia="Arial" w:hAnsi="Arial"/>
          <w:sz w:val="15"/>
          <w:szCs w:val="15"/>
          <w:i w:val="1"/>
          <w:iCs w:val="1"/>
          <w:color w:val="auto"/>
        </w:rPr>
        <w:t>O GREAT ONE! A Little Story About the Awesome Power of</w:t>
      </w:r>
      <w:r>
        <w:rPr>
          <w:rFonts w:ascii="Arial" w:cs="Arial" w:eastAsia="Arial" w:hAnsi="Arial"/>
          <w:sz w:val="15"/>
          <w:szCs w:val="15"/>
          <w:color w:val="auto"/>
        </w:rPr>
        <w:t xml:space="preserve"> </w:t>
      </w:r>
      <w:r>
        <w:rPr>
          <w:rFonts w:ascii="Arial" w:cs="Arial" w:eastAsia="Arial" w:hAnsi="Arial"/>
          <w:sz w:val="15"/>
          <w:szCs w:val="15"/>
          <w:i w:val="1"/>
          <w:iCs w:val="1"/>
          <w:color w:val="auto"/>
        </w:rPr>
        <w:t>Recognition, Taking People With You: The Only Way to Make Big Things Happen; How Leaders Learn and co-author of Take Charge of You</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dedicated to developing leaders at every stage of life</w:t>
      </w:r>
    </w:p>
    <w:p>
      <w:pPr>
        <w:spacing w:after="0" w:line="727" w:lineRule="exact"/>
        <w:rPr>
          <w:sz w:val="20"/>
          <w:szCs w:val="20"/>
          <w:color w:val="auto"/>
        </w:rPr>
      </w:pPr>
    </w:p>
    <w:p>
      <w:pPr>
        <w:sectPr>
          <w:pgSz w:w="11900" w:h="16838" w:orient="portrait"/>
          <w:cols w:equalWidth="0" w:num="2">
            <w:col w:w="5340" w:space="500"/>
            <w:col w:w="5400"/>
          </w:cols>
          <w:pgMar w:left="320" w:top="122" w:right="339" w:bottom="1440" w:gutter="0" w:footer="0" w:header="0"/>
          <w:type w:val="continuous"/>
        </w:sectPr>
      </w:pPr>
    </w:p>
    <w:p>
      <w:pPr>
        <w:spacing w:after="0" w:line="18" w:lineRule="exact"/>
        <w:rPr>
          <w:sz w:val="20"/>
          <w:szCs w:val="20"/>
          <w:color w:val="auto"/>
        </w:rPr>
      </w:pPr>
    </w:p>
    <w:p>
      <w:pPr>
        <w:ind w:right="40"/>
        <w:spacing w:after="0"/>
        <w:rPr>
          <w:sz w:val="20"/>
          <w:szCs w:val="20"/>
          <w:color w:val="auto"/>
        </w:rPr>
      </w:pPr>
      <w:r>
        <w:rPr>
          <w:rFonts w:ascii="Arial" w:cs="Arial" w:eastAsia="Arial" w:hAnsi="Arial"/>
          <w:sz w:val="15"/>
          <w:szCs w:val="15"/>
          <w:color w:val="auto"/>
        </w:rPr>
        <w:t xml:space="preserve">From his previous executive leadership positions, including as Chairman and CEO of YUM! Brands, one of the world’s largest fast-food restaurant operators, Mr. Novak brings a wealth of knowledge on marketing, consumer brands, global growth strategies and international business. Throughout his career, Mr. Novak has demonstrated an exceptional ability to lead and manage large teams, uniting employees through increased engagement, recognition and talent development. He has also authored several books on leadership development, including </w:t>
      </w:r>
      <w:r>
        <w:rPr>
          <w:rFonts w:ascii="Arial" w:cs="Arial" w:eastAsia="Arial" w:hAnsi="Arial"/>
          <w:sz w:val="15"/>
          <w:szCs w:val="15"/>
          <w:i w:val="1"/>
          <w:iCs w:val="1"/>
          <w:color w:val="auto"/>
        </w:rPr>
        <w:t>Taking People With You: The Only Way to Make Big Things Happen</w:t>
      </w:r>
      <w:r>
        <w:rPr>
          <w:rFonts w:ascii="Arial" w:cs="Arial" w:eastAsia="Arial" w:hAnsi="Arial"/>
          <w:sz w:val="15"/>
          <w:szCs w:val="15"/>
          <w:color w:val="auto"/>
        </w:rPr>
        <w:t>, and brings his invaluable experience and perspectives on talent development to Comcast’s Board. Mr. Novak is dedicated to philanthropy and currently serves on the board of Lift-a-Life Novak Family Foundation and is the founder of David Novak Leadership, Inc., a non-profit with the mission of making the world a better place by developing better leaders at every stage of life.</w:t>
      </w:r>
    </w:p>
    <w:p>
      <w:pPr>
        <w:spacing w:after="0" w:line="318"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1460" w:type="dxa"/>
            <w:vAlign w:val="bottom"/>
            <w:vMerge w:val="restart"/>
          </w:tcPr>
          <w:p>
            <w:pPr>
              <w:spacing w:after="0"/>
              <w:rPr>
                <w:sz w:val="20"/>
                <w:szCs w:val="20"/>
                <w:color w:val="auto"/>
              </w:rPr>
            </w:pPr>
            <w:r>
              <w:rPr>
                <w:rFonts w:ascii="Arial" w:cs="Arial" w:eastAsia="Arial" w:hAnsi="Arial"/>
                <w:sz w:val="15"/>
                <w:szCs w:val="15"/>
                <w:color w:val="auto"/>
              </w:rPr>
              <w:t>Executive</w:t>
            </w:r>
          </w:p>
        </w:tc>
        <w:tc>
          <w:tcPr>
            <w:tcW w:w="2600" w:type="dxa"/>
            <w:vAlign w:val="bottom"/>
            <w:vMerge w:val="restart"/>
          </w:tcPr>
          <w:p>
            <w:pPr>
              <w:ind w:left="700"/>
              <w:spacing w:after="0"/>
              <w:rPr>
                <w:sz w:val="20"/>
                <w:szCs w:val="20"/>
                <w:color w:val="auto"/>
              </w:rPr>
            </w:pPr>
            <w:r>
              <w:rPr>
                <w:rFonts w:ascii="Arial" w:cs="Arial" w:eastAsia="Arial" w:hAnsi="Arial"/>
                <w:sz w:val="15"/>
                <w:szCs w:val="15"/>
                <w:color w:val="auto"/>
              </w:rPr>
              <w:t>Consumer Products/</w:t>
            </w:r>
          </w:p>
        </w:tc>
        <w:tc>
          <w:tcPr>
            <w:tcW w:w="2020" w:type="dxa"/>
            <w:vAlign w:val="bottom"/>
          </w:tcPr>
          <w:p>
            <w:pPr>
              <w:spacing w:after="0"/>
              <w:rPr>
                <w:sz w:val="14"/>
                <w:szCs w:val="14"/>
                <w:color w:val="auto"/>
              </w:rPr>
            </w:pPr>
          </w:p>
        </w:tc>
        <w:tc>
          <w:tcPr>
            <w:tcW w:w="2320" w:type="dxa"/>
            <w:vAlign w:val="bottom"/>
            <w:vMerge w:val="restart"/>
          </w:tcPr>
          <w:p>
            <w:pPr>
              <w:ind w:left="680"/>
              <w:spacing w:after="0"/>
              <w:rPr>
                <w:sz w:val="20"/>
                <w:szCs w:val="20"/>
                <w:color w:val="auto"/>
              </w:rPr>
            </w:pPr>
            <w:r>
              <w:rPr>
                <w:rFonts w:ascii="Arial" w:cs="Arial" w:eastAsia="Arial" w:hAnsi="Arial"/>
                <w:sz w:val="15"/>
                <w:szCs w:val="15"/>
                <w:color w:val="auto"/>
              </w:rPr>
              <w:t>Human Capital</w:t>
            </w:r>
          </w:p>
        </w:tc>
        <w:tc>
          <w:tcPr>
            <w:tcW w:w="1520" w:type="dxa"/>
            <w:vAlign w:val="bottom"/>
          </w:tcPr>
          <w:p>
            <w:pPr>
              <w:ind w:left="640"/>
              <w:spacing w:after="0"/>
              <w:rPr>
                <w:sz w:val="20"/>
                <w:szCs w:val="20"/>
                <w:color w:val="auto"/>
              </w:rPr>
            </w:pPr>
            <w:r>
              <w:rPr>
                <w:rFonts w:ascii="Arial" w:cs="Arial" w:eastAsia="Arial" w:hAnsi="Arial"/>
                <w:sz w:val="15"/>
                <w:szCs w:val="15"/>
                <w:color w:val="auto"/>
              </w:rPr>
              <w:t>Non-Profit/</w:t>
            </w:r>
          </w:p>
        </w:tc>
        <w:tc>
          <w:tcPr>
            <w:tcW w:w="0" w:type="dxa"/>
            <w:vAlign w:val="bottom"/>
          </w:tcPr>
          <w:p>
            <w:pPr>
              <w:spacing w:after="0"/>
              <w:rPr>
                <w:sz w:val="1"/>
                <w:szCs w:val="1"/>
                <w:color w:val="auto"/>
              </w:rPr>
            </w:pPr>
          </w:p>
        </w:tc>
      </w:tr>
      <w:tr>
        <w:trPr>
          <w:trHeight w:val="81"/>
        </w:trPr>
        <w:tc>
          <w:tcPr>
            <w:tcW w:w="1460" w:type="dxa"/>
            <w:vAlign w:val="bottom"/>
            <w:vMerge w:val="continue"/>
          </w:tcPr>
          <w:p>
            <w:pPr>
              <w:spacing w:after="0"/>
              <w:rPr>
                <w:sz w:val="7"/>
                <w:szCs w:val="7"/>
                <w:color w:val="auto"/>
              </w:rPr>
            </w:pPr>
          </w:p>
        </w:tc>
        <w:tc>
          <w:tcPr>
            <w:tcW w:w="2600" w:type="dxa"/>
            <w:vAlign w:val="bottom"/>
            <w:vMerge w:val="continue"/>
          </w:tcPr>
          <w:p>
            <w:pPr>
              <w:spacing w:after="0"/>
              <w:rPr>
                <w:sz w:val="7"/>
                <w:szCs w:val="7"/>
                <w:color w:val="auto"/>
              </w:rPr>
            </w:pPr>
          </w:p>
        </w:tc>
        <w:tc>
          <w:tcPr>
            <w:tcW w:w="2020" w:type="dxa"/>
            <w:vAlign w:val="bottom"/>
            <w:vMerge w:val="restart"/>
          </w:tcPr>
          <w:p>
            <w:pPr>
              <w:ind w:left="500"/>
              <w:spacing w:after="0" w:line="162" w:lineRule="exact"/>
              <w:rPr>
                <w:sz w:val="20"/>
                <w:szCs w:val="20"/>
                <w:color w:val="auto"/>
              </w:rPr>
            </w:pPr>
            <w:r>
              <w:rPr>
                <w:rFonts w:ascii="Arial" w:cs="Arial" w:eastAsia="Arial" w:hAnsi="Arial"/>
                <w:sz w:val="15"/>
                <w:szCs w:val="15"/>
                <w:color w:val="auto"/>
              </w:rPr>
              <w:t>International</w:t>
            </w:r>
          </w:p>
        </w:tc>
        <w:tc>
          <w:tcPr>
            <w:tcW w:w="2320" w:type="dxa"/>
            <w:vAlign w:val="bottom"/>
            <w:vMerge w:val="continue"/>
          </w:tcPr>
          <w:p>
            <w:pPr>
              <w:spacing w:after="0"/>
              <w:rPr>
                <w:sz w:val="7"/>
                <w:szCs w:val="7"/>
                <w:color w:val="auto"/>
              </w:rPr>
            </w:pPr>
          </w:p>
        </w:tc>
        <w:tc>
          <w:tcPr>
            <w:tcW w:w="1520" w:type="dxa"/>
            <w:vAlign w:val="bottom"/>
            <w:vMerge w:val="restart"/>
          </w:tcPr>
          <w:p>
            <w:pPr>
              <w:ind w:left="640"/>
              <w:spacing w:after="0" w:line="162" w:lineRule="exact"/>
              <w:rPr>
                <w:sz w:val="20"/>
                <w:szCs w:val="20"/>
                <w:color w:val="auto"/>
              </w:rPr>
            </w:pPr>
            <w:r>
              <w:rPr>
                <w:rFonts w:ascii="Arial" w:cs="Arial" w:eastAsia="Arial" w:hAnsi="Arial"/>
                <w:sz w:val="15"/>
                <w:szCs w:val="15"/>
                <w:color w:val="auto"/>
              </w:rPr>
              <w:t>Educational/</w:t>
            </w:r>
          </w:p>
        </w:tc>
        <w:tc>
          <w:tcPr>
            <w:tcW w:w="0" w:type="dxa"/>
            <w:vAlign w:val="bottom"/>
          </w:tcPr>
          <w:p>
            <w:pPr>
              <w:spacing w:after="0"/>
              <w:rPr>
                <w:sz w:val="1"/>
                <w:szCs w:val="1"/>
                <w:color w:val="auto"/>
              </w:rPr>
            </w:pPr>
          </w:p>
        </w:tc>
      </w:tr>
      <w:tr>
        <w:trPr>
          <w:trHeight w:val="81"/>
        </w:trPr>
        <w:tc>
          <w:tcPr>
            <w:tcW w:w="1460" w:type="dxa"/>
            <w:vAlign w:val="bottom"/>
            <w:vMerge w:val="restart"/>
          </w:tcPr>
          <w:p>
            <w:pPr>
              <w:spacing w:after="0"/>
              <w:rPr>
                <w:sz w:val="20"/>
                <w:szCs w:val="20"/>
                <w:color w:val="auto"/>
              </w:rPr>
            </w:pPr>
            <w:r>
              <w:rPr>
                <w:rFonts w:ascii="Arial" w:cs="Arial" w:eastAsia="Arial" w:hAnsi="Arial"/>
                <w:sz w:val="15"/>
                <w:szCs w:val="15"/>
                <w:color w:val="auto"/>
              </w:rPr>
              <w:t>Leadership</w:t>
            </w:r>
          </w:p>
        </w:tc>
        <w:tc>
          <w:tcPr>
            <w:tcW w:w="2600" w:type="dxa"/>
            <w:vAlign w:val="bottom"/>
            <w:vMerge w:val="restart"/>
          </w:tcPr>
          <w:p>
            <w:pPr>
              <w:ind w:left="700"/>
              <w:spacing w:after="0"/>
              <w:rPr>
                <w:sz w:val="20"/>
                <w:szCs w:val="20"/>
                <w:color w:val="auto"/>
              </w:rPr>
            </w:pPr>
            <w:r>
              <w:rPr>
                <w:rFonts w:ascii="Arial" w:cs="Arial" w:eastAsia="Arial" w:hAnsi="Arial"/>
                <w:sz w:val="15"/>
                <w:szCs w:val="15"/>
                <w:color w:val="auto"/>
              </w:rPr>
              <w:t>Customer-Oriented</w:t>
            </w:r>
          </w:p>
        </w:tc>
        <w:tc>
          <w:tcPr>
            <w:tcW w:w="2020" w:type="dxa"/>
            <w:vAlign w:val="bottom"/>
            <w:vMerge w:val="continue"/>
          </w:tcPr>
          <w:p>
            <w:pPr>
              <w:spacing w:after="0"/>
              <w:rPr>
                <w:sz w:val="7"/>
                <w:szCs w:val="7"/>
                <w:color w:val="auto"/>
              </w:rPr>
            </w:pPr>
          </w:p>
        </w:tc>
        <w:tc>
          <w:tcPr>
            <w:tcW w:w="2320" w:type="dxa"/>
            <w:vAlign w:val="bottom"/>
            <w:vMerge w:val="restart"/>
          </w:tcPr>
          <w:p>
            <w:pPr>
              <w:ind w:left="680"/>
              <w:spacing w:after="0"/>
              <w:rPr>
                <w:sz w:val="20"/>
                <w:szCs w:val="20"/>
                <w:color w:val="auto"/>
              </w:rPr>
            </w:pPr>
            <w:r>
              <w:rPr>
                <w:rFonts w:ascii="Arial" w:cs="Arial" w:eastAsia="Arial" w:hAnsi="Arial"/>
                <w:sz w:val="15"/>
                <w:szCs w:val="15"/>
                <w:color w:val="auto"/>
              </w:rPr>
              <w:t>Management</w:t>
            </w: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46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1520" w:type="dxa"/>
            <w:vAlign w:val="bottom"/>
            <w:vMerge w:val="restart"/>
          </w:tcPr>
          <w:p>
            <w:pPr>
              <w:ind w:left="640"/>
              <w:spacing w:after="0"/>
              <w:rPr>
                <w:sz w:val="20"/>
                <w:szCs w:val="20"/>
                <w:color w:val="auto"/>
              </w:rPr>
            </w:pPr>
            <w:r>
              <w:rPr>
                <w:rFonts w:ascii="Arial" w:cs="Arial" w:eastAsia="Arial" w:hAnsi="Arial"/>
                <w:sz w:val="15"/>
                <w:szCs w:val="15"/>
                <w:color w:val="auto"/>
                <w:w w:val="99"/>
              </w:rPr>
              <w:t>Philanthropic</w:t>
            </w:r>
          </w:p>
        </w:tc>
        <w:tc>
          <w:tcPr>
            <w:tcW w:w="0" w:type="dxa"/>
            <w:vAlign w:val="bottom"/>
          </w:tcPr>
          <w:p>
            <w:pPr>
              <w:spacing w:after="0"/>
              <w:rPr>
                <w:sz w:val="1"/>
                <w:szCs w:val="1"/>
                <w:color w:val="auto"/>
              </w:rPr>
            </w:pPr>
          </w:p>
        </w:tc>
      </w:tr>
      <w:tr>
        <w:trPr>
          <w:trHeight w:val="81"/>
        </w:trPr>
        <w:tc>
          <w:tcPr>
            <w:tcW w:w="1460" w:type="dxa"/>
            <w:vAlign w:val="bottom"/>
          </w:tcPr>
          <w:p>
            <w:pPr>
              <w:spacing w:after="0"/>
              <w:rPr>
                <w:sz w:val="7"/>
                <w:szCs w:val="7"/>
                <w:color w:val="auto"/>
              </w:rPr>
            </w:pPr>
          </w:p>
        </w:tc>
        <w:tc>
          <w:tcPr>
            <w:tcW w:w="26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291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-330200</wp:posOffset>
            </wp:positionV>
            <wp:extent cx="291465" cy="3175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91465" cy="31750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-321310</wp:posOffset>
            </wp:positionV>
            <wp:extent cx="291465"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1465" cy="30861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-330200</wp:posOffset>
            </wp:positionV>
            <wp:extent cx="291465" cy="3257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1465" cy="3257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-313055</wp:posOffset>
            </wp:positionV>
            <wp:extent cx="291465" cy="2825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1465" cy="28257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-313055</wp:posOffset>
            </wp:positionV>
            <wp:extent cx="291465"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028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p>
      <w:pPr>
        <w:spacing w:after="0" w:line="285"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Chairman and Chief Executive Officer of Comcast</w:t>
      </w:r>
    </w:p>
    <w:p>
      <w:pPr>
        <w:spacing w:after="0" w:line="204" w:lineRule="exact"/>
        <w:rPr>
          <w:sz w:val="20"/>
          <w:szCs w:val="20"/>
          <w:color w:val="auto"/>
        </w:rPr>
      </w:pPr>
    </w:p>
    <w:p>
      <w:pPr>
        <w:ind w:left="164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65</w:t>
      </w:r>
    </w:p>
    <w:p>
      <w:pPr>
        <w:spacing w:after="0" w:line="57" w:lineRule="exact"/>
        <w:rPr>
          <w:sz w:val="20"/>
          <w:szCs w:val="20"/>
          <w:color w:val="auto"/>
        </w:rPr>
      </w:pPr>
    </w:p>
    <w:p>
      <w:pPr>
        <w:ind w:left="164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March 1988</w:t>
      </w:r>
    </w:p>
    <w:p>
      <w:pPr>
        <w:spacing w:after="0" w:line="71" w:lineRule="exact"/>
        <w:rPr>
          <w:sz w:val="20"/>
          <w:szCs w:val="20"/>
          <w:color w:val="auto"/>
        </w:rPr>
      </w:pPr>
    </w:p>
    <w:p>
      <w:pPr>
        <w:ind w:left="164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00A0E0"/>
        </w:rPr>
        <w:t>Career Highlights:</w:t>
      </w:r>
    </w:p>
    <w:p>
      <w:pPr>
        <w:spacing w:after="0" w:line="218"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7"/>
          <w:szCs w:val="17"/>
          <w:color w:val="00A0E0"/>
        </w:rPr>
      </w:pPr>
      <w:r>
        <w:rPr>
          <w:rFonts w:ascii="Arial" w:cs="Arial" w:eastAsia="Arial" w:hAnsi="Arial"/>
          <w:sz w:val="15"/>
          <w:szCs w:val="15"/>
          <w:color w:val="auto"/>
        </w:rPr>
        <w:t>Chairman of the Board, Comcast, 2004 – Present</w:t>
      </w:r>
    </w:p>
    <w:p>
      <w:pPr>
        <w:spacing w:after="0" w:line="7" w:lineRule="exact"/>
        <w:rPr>
          <w:rFonts w:ascii="Arial" w:cs="Arial" w:eastAsia="Arial" w:hAnsi="Arial"/>
          <w:sz w:val="17"/>
          <w:szCs w:val="17"/>
          <w:color w:val="00A0E0"/>
        </w:rPr>
      </w:pPr>
    </w:p>
    <w:p>
      <w:pPr>
        <w:ind w:left="260" w:hanging="252"/>
        <w:spacing w:after="0" w:line="228" w:lineRule="auto"/>
        <w:tabs>
          <w:tab w:leader="none" w:pos="260" w:val="left"/>
        </w:tabs>
        <w:numPr>
          <w:ilvl w:val="0"/>
          <w:numId w:val="27"/>
        </w:numPr>
        <w:rPr>
          <w:rFonts w:ascii="Arial" w:cs="Arial" w:eastAsia="Arial" w:hAnsi="Arial"/>
          <w:sz w:val="17"/>
          <w:szCs w:val="17"/>
          <w:color w:val="00A0E0"/>
        </w:rPr>
      </w:pPr>
      <w:r>
        <w:rPr>
          <w:rFonts w:ascii="Arial" w:cs="Arial" w:eastAsia="Arial" w:hAnsi="Arial"/>
          <w:sz w:val="15"/>
          <w:szCs w:val="15"/>
          <w:color w:val="auto"/>
        </w:rPr>
        <w:t>Chief Executive Officer, Comcast, 2002 – Present</w:t>
      </w:r>
    </w:p>
    <w:p>
      <w:pPr>
        <w:spacing w:after="0" w:line="3" w:lineRule="exact"/>
        <w:rPr>
          <w:rFonts w:ascii="Arial" w:cs="Arial" w:eastAsia="Arial" w:hAnsi="Arial"/>
          <w:sz w:val="17"/>
          <w:szCs w:val="17"/>
          <w:color w:val="00A0E0"/>
        </w:rPr>
      </w:pPr>
    </w:p>
    <w:p>
      <w:pPr>
        <w:ind w:left="260" w:hanging="252"/>
        <w:spacing w:after="0" w:line="228" w:lineRule="auto"/>
        <w:tabs>
          <w:tab w:leader="none" w:pos="260" w:val="left"/>
        </w:tabs>
        <w:numPr>
          <w:ilvl w:val="0"/>
          <w:numId w:val="27"/>
        </w:numPr>
        <w:rPr>
          <w:rFonts w:ascii="Arial" w:cs="Arial" w:eastAsia="Arial" w:hAnsi="Arial"/>
          <w:sz w:val="17"/>
          <w:szCs w:val="17"/>
          <w:color w:val="00A0E0"/>
        </w:rPr>
      </w:pPr>
      <w:r>
        <w:rPr>
          <w:rFonts w:ascii="Arial" w:cs="Arial" w:eastAsia="Arial" w:hAnsi="Arial"/>
          <w:sz w:val="15"/>
          <w:szCs w:val="15"/>
          <w:color w:val="auto"/>
        </w:rPr>
        <w:t>President, Comcast, 1990 – 2022</w:t>
      </w:r>
    </w:p>
    <w:p>
      <w:pPr>
        <w:spacing w:after="0" w:line="3" w:lineRule="exact"/>
        <w:rPr>
          <w:rFonts w:ascii="Arial" w:cs="Arial" w:eastAsia="Arial" w:hAnsi="Arial"/>
          <w:sz w:val="17"/>
          <w:szCs w:val="17"/>
          <w:color w:val="00A0E0"/>
        </w:rPr>
      </w:pPr>
    </w:p>
    <w:p>
      <w:pPr>
        <w:ind w:left="260" w:right="540" w:hanging="252"/>
        <w:spacing w:after="0" w:line="227" w:lineRule="auto"/>
        <w:tabs>
          <w:tab w:leader="none" w:pos="260" w:val="left"/>
        </w:tabs>
        <w:numPr>
          <w:ilvl w:val="0"/>
          <w:numId w:val="27"/>
        </w:numPr>
        <w:rPr>
          <w:rFonts w:ascii="Arial" w:cs="Arial" w:eastAsia="Arial" w:hAnsi="Arial"/>
          <w:sz w:val="17"/>
          <w:szCs w:val="17"/>
          <w:color w:val="00A0E0"/>
        </w:rPr>
      </w:pPr>
      <w:r>
        <w:rPr>
          <w:rFonts w:ascii="Arial" w:cs="Arial" w:eastAsia="Arial" w:hAnsi="Arial"/>
          <w:sz w:val="15"/>
          <w:szCs w:val="15"/>
          <w:color w:val="auto"/>
        </w:rPr>
        <w:t>Director Emeritus, CableLabs, the cable industry’s research and development consortium</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0A0E0"/>
        </w:rPr>
        <w:t>Skills and Qualifications: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0"/>
        <w:spacing w:after="0" w:line="244" w:lineRule="auto"/>
        <w:rPr>
          <w:sz w:val="20"/>
          <w:szCs w:val="20"/>
          <w:color w:val="auto"/>
        </w:rPr>
      </w:pPr>
      <w:r>
        <w:rPr>
          <w:rFonts w:ascii="Arial" w:cs="Arial" w:eastAsia="Arial" w:hAnsi="Arial"/>
          <w:sz w:val="15"/>
          <w:szCs w:val="15"/>
          <w:color w:val="auto"/>
        </w:rPr>
        <w:t>As of December 31, 2024, Mr. Roberts, through his ownership of our Class B common stock, had sole voting power over 33 1/3% of the combined voting power of our two classes of voting common stock.</w:t>
      </w:r>
    </w:p>
    <w:p>
      <w:pPr>
        <w:spacing w:after="0" w:line="968" w:lineRule="exact"/>
        <w:rPr>
          <w:sz w:val="20"/>
          <w:szCs w:val="20"/>
          <w:color w:val="auto"/>
        </w:rPr>
      </w:pPr>
    </w:p>
    <w:p>
      <w:pPr>
        <w:sectPr>
          <w:pgSz w:w="11900" w:h="16838" w:orient="portrait"/>
          <w:cols w:equalWidth="0" w:num="2">
            <w:col w:w="5120" w:space="720"/>
            <w:col w:w="5400"/>
          </w:cols>
          <w:pgMar w:left="320" w:top="122" w:right="339" w:bottom="1440" w:gutter="0" w:footer="0" w:header="0"/>
          <w:type w:val="continuous"/>
        </w:sectPr>
      </w:pPr>
    </w:p>
    <w:p>
      <w:pPr>
        <w:spacing w:after="0" w:line="18" w:lineRule="exact"/>
        <w:rPr>
          <w:sz w:val="20"/>
          <w:szCs w:val="20"/>
          <w:color w:val="auto"/>
        </w:rPr>
      </w:pPr>
    </w:p>
    <w:p>
      <w:pPr>
        <w:ind w:right="60"/>
        <w:spacing w:after="0" w:line="233" w:lineRule="auto"/>
        <w:rPr>
          <w:sz w:val="20"/>
          <w:szCs w:val="20"/>
          <w:color w:val="auto"/>
        </w:rPr>
      </w:pPr>
      <w:r>
        <w:rPr>
          <w:rFonts w:ascii="Arial" w:cs="Arial" w:eastAsia="Arial" w:hAnsi="Arial"/>
          <w:sz w:val="15"/>
          <w:szCs w:val="15"/>
          <w:color w:val="auto"/>
        </w:rPr>
        <w:t>Mr. Roberts joined Comcast in 1981 and has served as our Chairman and CEO for over two decades. He has been a strong and effective leader at both the company and Board levels, navigating our company through multiple macroeconomic cycles and industry transformations. Mr. Roberts has overseen a strategy that has included organic growth, new business innovations and transformative strategic transactions, while also returning significant capital to shareholders and maintaining balance sheet discipline. He also serves as an effective bridge between the Board and management, facilitating strong collaboration and encouraging open lines of communication with the Board. Given his deep history with and leadership of our company, extensive knowledge of all aspects of our business, operations and risks, as well as his knowledge of the media and telecommunications industries, he is uniquely positioned to guide our company through challenges and evaluate future opportunities for growth.</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1460" w:type="dxa"/>
            <w:vAlign w:val="bottom"/>
            <w:vMerge w:val="restart"/>
          </w:tcPr>
          <w:p>
            <w:pPr>
              <w:spacing w:after="0"/>
              <w:rPr>
                <w:sz w:val="20"/>
                <w:szCs w:val="20"/>
                <w:color w:val="auto"/>
              </w:rPr>
            </w:pPr>
            <w:r>
              <w:rPr>
                <w:rFonts w:ascii="Arial" w:cs="Arial" w:eastAsia="Arial" w:hAnsi="Arial"/>
                <w:sz w:val="15"/>
                <w:szCs w:val="15"/>
                <w:color w:val="auto"/>
              </w:rPr>
              <w:t>Executive</w:t>
            </w:r>
          </w:p>
        </w:tc>
        <w:tc>
          <w:tcPr>
            <w:tcW w:w="2160" w:type="dxa"/>
            <w:vAlign w:val="bottom"/>
          </w:tcPr>
          <w:p>
            <w:pPr>
              <w:ind w:left="700"/>
              <w:spacing w:after="0"/>
              <w:rPr>
                <w:sz w:val="20"/>
                <w:szCs w:val="20"/>
                <w:color w:val="auto"/>
              </w:rPr>
            </w:pPr>
            <w:r>
              <w:rPr>
                <w:rFonts w:ascii="Arial" w:cs="Arial" w:eastAsia="Arial" w:hAnsi="Arial"/>
                <w:sz w:val="15"/>
                <w:szCs w:val="15"/>
                <w:color w:val="auto"/>
              </w:rPr>
              <w:t>Relevant</w:t>
            </w:r>
          </w:p>
        </w:tc>
        <w:tc>
          <w:tcPr>
            <w:tcW w:w="2600" w:type="dxa"/>
            <w:vAlign w:val="bottom"/>
            <w:vMerge w:val="restart"/>
          </w:tcPr>
          <w:p>
            <w:pPr>
              <w:ind w:left="700"/>
              <w:spacing w:after="0"/>
              <w:rPr>
                <w:sz w:val="20"/>
                <w:szCs w:val="20"/>
                <w:color w:val="auto"/>
              </w:rPr>
            </w:pPr>
            <w:r>
              <w:rPr>
                <w:rFonts w:ascii="Arial" w:cs="Arial" w:eastAsia="Arial" w:hAnsi="Arial"/>
                <w:sz w:val="15"/>
                <w:szCs w:val="15"/>
                <w:color w:val="auto"/>
              </w:rPr>
              <w:t>Consumer Products/</w:t>
            </w:r>
          </w:p>
        </w:tc>
        <w:tc>
          <w:tcPr>
            <w:tcW w:w="2280" w:type="dxa"/>
            <w:vAlign w:val="bottom"/>
            <w:vMerge w:val="restart"/>
          </w:tcPr>
          <w:p>
            <w:pPr>
              <w:ind w:left="500"/>
              <w:spacing w:after="0"/>
              <w:rPr>
                <w:sz w:val="20"/>
                <w:szCs w:val="20"/>
                <w:color w:val="auto"/>
              </w:rPr>
            </w:pPr>
            <w:r>
              <w:rPr>
                <w:rFonts w:ascii="Arial" w:cs="Arial" w:eastAsia="Arial" w:hAnsi="Arial"/>
                <w:sz w:val="15"/>
                <w:szCs w:val="15"/>
                <w:color w:val="auto"/>
              </w:rPr>
              <w:t>Risk Management</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460" w:type="dxa"/>
            <w:vAlign w:val="bottom"/>
            <w:vMerge w:val="continue"/>
          </w:tcPr>
          <w:p>
            <w:pPr>
              <w:spacing w:after="0"/>
              <w:rPr>
                <w:sz w:val="7"/>
                <w:szCs w:val="7"/>
                <w:color w:val="auto"/>
              </w:rPr>
            </w:pPr>
          </w:p>
        </w:tc>
        <w:tc>
          <w:tcPr>
            <w:tcW w:w="2160" w:type="dxa"/>
            <w:vAlign w:val="bottom"/>
            <w:vMerge w:val="restart"/>
          </w:tcPr>
          <w:p>
            <w:pPr>
              <w:ind w:left="700"/>
              <w:spacing w:after="0" w:line="162" w:lineRule="exact"/>
              <w:rPr>
                <w:sz w:val="20"/>
                <w:szCs w:val="20"/>
                <w:color w:val="auto"/>
              </w:rPr>
            </w:pPr>
            <w:r>
              <w:rPr>
                <w:rFonts w:ascii="Arial" w:cs="Arial" w:eastAsia="Arial" w:hAnsi="Arial"/>
                <w:sz w:val="15"/>
                <w:szCs w:val="15"/>
                <w:color w:val="auto"/>
              </w:rPr>
              <w:t>Industry</w:t>
            </w:r>
          </w:p>
        </w:tc>
        <w:tc>
          <w:tcPr>
            <w:tcW w:w="260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1400" w:type="dxa"/>
            <w:vAlign w:val="bottom"/>
            <w:vMerge w:val="restart"/>
          </w:tcPr>
          <w:p>
            <w:pPr>
              <w:ind w:left="560"/>
              <w:spacing w:after="0" w:line="162" w:lineRule="exact"/>
              <w:rPr>
                <w:sz w:val="20"/>
                <w:szCs w:val="20"/>
                <w:color w:val="auto"/>
              </w:rPr>
            </w:pPr>
            <w:r>
              <w:rPr>
                <w:rFonts w:ascii="Arial" w:cs="Arial" w:eastAsia="Arial" w:hAnsi="Arial"/>
                <w:sz w:val="15"/>
                <w:szCs w:val="15"/>
                <w:color w:val="auto"/>
                <w:w w:val="99"/>
              </w:rPr>
              <w:t>International</w:t>
            </w:r>
          </w:p>
        </w:tc>
        <w:tc>
          <w:tcPr>
            <w:tcW w:w="0" w:type="dxa"/>
            <w:vAlign w:val="bottom"/>
          </w:tcPr>
          <w:p>
            <w:pPr>
              <w:spacing w:after="0"/>
              <w:rPr>
                <w:sz w:val="1"/>
                <w:szCs w:val="1"/>
                <w:color w:val="auto"/>
              </w:rPr>
            </w:pPr>
          </w:p>
        </w:tc>
      </w:tr>
      <w:tr>
        <w:trPr>
          <w:trHeight w:val="81"/>
        </w:trPr>
        <w:tc>
          <w:tcPr>
            <w:tcW w:w="1460" w:type="dxa"/>
            <w:vAlign w:val="bottom"/>
            <w:vMerge w:val="restart"/>
          </w:tcPr>
          <w:p>
            <w:pPr>
              <w:spacing w:after="0"/>
              <w:rPr>
                <w:sz w:val="20"/>
                <w:szCs w:val="20"/>
                <w:color w:val="auto"/>
              </w:rPr>
            </w:pPr>
            <w:r>
              <w:rPr>
                <w:rFonts w:ascii="Arial" w:cs="Arial" w:eastAsia="Arial" w:hAnsi="Arial"/>
                <w:sz w:val="15"/>
                <w:szCs w:val="15"/>
                <w:color w:val="auto"/>
              </w:rPr>
              <w:t>Leadership</w:t>
            </w:r>
          </w:p>
        </w:tc>
        <w:tc>
          <w:tcPr>
            <w:tcW w:w="2160" w:type="dxa"/>
            <w:vAlign w:val="bottom"/>
            <w:vMerge w:val="continue"/>
          </w:tcPr>
          <w:p>
            <w:pPr>
              <w:spacing w:after="0"/>
              <w:rPr>
                <w:sz w:val="7"/>
                <w:szCs w:val="7"/>
                <w:color w:val="auto"/>
              </w:rPr>
            </w:pPr>
          </w:p>
        </w:tc>
        <w:tc>
          <w:tcPr>
            <w:tcW w:w="2600" w:type="dxa"/>
            <w:vAlign w:val="bottom"/>
            <w:vMerge w:val="restart"/>
          </w:tcPr>
          <w:p>
            <w:pPr>
              <w:ind w:left="700"/>
              <w:spacing w:after="0"/>
              <w:rPr>
                <w:sz w:val="20"/>
                <w:szCs w:val="20"/>
                <w:color w:val="auto"/>
              </w:rPr>
            </w:pPr>
            <w:r>
              <w:rPr>
                <w:rFonts w:ascii="Arial" w:cs="Arial" w:eastAsia="Arial" w:hAnsi="Arial"/>
                <w:sz w:val="15"/>
                <w:szCs w:val="15"/>
                <w:color w:val="auto"/>
              </w:rPr>
              <w:t>Customer-Oriented</w:t>
            </w:r>
          </w:p>
        </w:tc>
        <w:tc>
          <w:tcPr>
            <w:tcW w:w="2280" w:type="dxa"/>
            <w:vAlign w:val="bottom"/>
            <w:vMerge w:val="restart"/>
          </w:tcPr>
          <w:p>
            <w:pPr>
              <w:ind w:left="500"/>
              <w:spacing w:after="0"/>
              <w:rPr>
                <w:sz w:val="20"/>
                <w:szCs w:val="20"/>
                <w:color w:val="auto"/>
              </w:rPr>
            </w:pPr>
            <w:r>
              <w:rPr>
                <w:rFonts w:ascii="Arial" w:cs="Arial" w:eastAsia="Arial" w:hAnsi="Arial"/>
                <w:sz w:val="15"/>
                <w:szCs w:val="15"/>
                <w:color w:val="auto"/>
              </w:rPr>
              <w:t>Oversight</w:t>
            </w: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460" w:type="dxa"/>
            <w:vAlign w:val="bottom"/>
            <w:vMerge w:val="continue"/>
          </w:tcPr>
          <w:p>
            <w:pPr>
              <w:spacing w:after="0"/>
              <w:rPr>
                <w:sz w:val="10"/>
                <w:szCs w:val="10"/>
                <w:color w:val="auto"/>
              </w:rPr>
            </w:pPr>
          </w:p>
        </w:tc>
        <w:tc>
          <w:tcPr>
            <w:tcW w:w="2160" w:type="dxa"/>
            <w:vAlign w:val="bottom"/>
            <w:vMerge w:val="restart"/>
          </w:tcPr>
          <w:p>
            <w:pPr>
              <w:ind w:left="700"/>
              <w:spacing w:after="0"/>
              <w:rPr>
                <w:sz w:val="20"/>
                <w:szCs w:val="20"/>
                <w:color w:val="auto"/>
              </w:rPr>
            </w:pPr>
            <w:r>
              <w:rPr>
                <w:rFonts w:ascii="Arial" w:cs="Arial" w:eastAsia="Arial" w:hAnsi="Arial"/>
                <w:sz w:val="15"/>
                <w:szCs w:val="15"/>
                <w:color w:val="auto"/>
              </w:rPr>
              <w:t>Experience</w:t>
            </w:r>
          </w:p>
        </w:tc>
        <w:tc>
          <w:tcPr>
            <w:tcW w:w="2600" w:type="dxa"/>
            <w:vAlign w:val="bottom"/>
            <w:vMerge w:val="continue"/>
          </w:tcPr>
          <w:p>
            <w:pPr>
              <w:spacing w:after="0"/>
              <w:rPr>
                <w:sz w:val="10"/>
                <w:szCs w:val="10"/>
                <w:color w:val="auto"/>
              </w:rPr>
            </w:pPr>
          </w:p>
        </w:tc>
        <w:tc>
          <w:tcPr>
            <w:tcW w:w="228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460" w:type="dxa"/>
            <w:vAlign w:val="bottom"/>
          </w:tcPr>
          <w:p>
            <w:pPr>
              <w:spacing w:after="0"/>
              <w:rPr>
                <w:sz w:val="7"/>
                <w:szCs w:val="7"/>
                <w:color w:val="auto"/>
              </w:rPr>
            </w:pPr>
          </w:p>
        </w:tc>
        <w:tc>
          <w:tcPr>
            <w:tcW w:w="2160" w:type="dxa"/>
            <w:vAlign w:val="bottom"/>
            <w:vMerge w:val="continue"/>
          </w:tcPr>
          <w:p>
            <w:pPr>
              <w:spacing w:after="0"/>
              <w:rPr>
                <w:sz w:val="7"/>
                <w:szCs w:val="7"/>
                <w:color w:val="auto"/>
              </w:rPr>
            </w:pPr>
          </w:p>
        </w:tc>
        <w:tc>
          <w:tcPr>
            <w:tcW w:w="26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291465" cy="316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1465" cy="31686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-330200</wp:posOffset>
            </wp:positionV>
            <wp:extent cx="291465" cy="3257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1465" cy="3257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-330200</wp:posOffset>
            </wp:positionV>
            <wp:extent cx="291465" cy="3340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1465" cy="33401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-313055</wp:posOffset>
            </wp:positionV>
            <wp:extent cx="291465" cy="291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-330200</wp:posOffset>
            </wp:positionV>
            <wp:extent cx="291465" cy="3257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1465" cy="3257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p>
      <w:pPr>
        <w:spacing w:after="0" w:line="204" w:lineRule="exact"/>
        <w:rPr>
          <w:sz w:val="20"/>
          <w:szCs w:val="20"/>
          <w:color w:val="auto"/>
        </w:rPr>
      </w:pPr>
    </w:p>
    <w:p>
      <w:pPr>
        <w:ind w:left="9540"/>
        <w:spacing w:after="0"/>
        <w:tabs>
          <w:tab w:leader="none" w:pos="11080" w:val="left"/>
        </w:tabs>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r>
        <w:rPr>
          <w:sz w:val="20"/>
          <w:szCs w:val="20"/>
          <w:color w:val="auto"/>
        </w:rPr>
        <w:tab/>
      </w:r>
      <w:r>
        <w:rPr>
          <w:rFonts w:ascii="Arial" w:cs="Arial" w:eastAsia="Arial" w:hAnsi="Arial"/>
          <w:sz w:val="12"/>
          <w:szCs w:val="12"/>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color w:val="auto"/>
        </w:rPr>
        <w:t>Independence Determinations</w:t>
      </w:r>
    </w:p>
    <w:p>
      <w:pPr>
        <w:spacing w:after="0" w:line="22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 xml:space="preserve">Our Board has determined that each of our nonemployee directors and director nominees is independent in accordance with the director independence definition specified in our corporate governance guidelines, which are posted under “Corporate Governance” in the Investors section of our website at </w:t>
      </w:r>
      <w:r>
        <w:rPr>
          <w:rFonts w:ascii="Arial" w:cs="Arial" w:eastAsia="Arial" w:hAnsi="Arial"/>
          <w:sz w:val="17"/>
          <w:szCs w:val="17"/>
          <w:i w:val="1"/>
          <w:iCs w:val="1"/>
          <w:color w:val="auto"/>
        </w:rPr>
        <w:t>www.cmcsa.com</w:t>
      </w:r>
      <w:r>
        <w:rPr>
          <w:rFonts w:ascii="Arial" w:cs="Arial" w:eastAsia="Arial" w:hAnsi="Arial"/>
          <w:sz w:val="17"/>
          <w:szCs w:val="17"/>
          <w:color w:val="auto"/>
        </w:rPr>
        <w:t>, and in accordance with the applicable rules of The Nasdaq Stock Market LLC (“Nasdaq”). In making its independence determinations, our Board considered transactions and relationships between each director or any member of his or her immediate family and us, including those reported under “Related Party Transactions Policy and Certain Transactions” below. The Board also considered that in the ordinary course of business we have, during the current year and the past three fiscal years, sold products and services to, purchased products and services from, and/or made charitable donations (including by certain of our executive officers) to companies and organizations at which certain of our directors are currently an executive officer or a significant shareholder. In each case, the amount paid or donated to or received from these companies and organizations each year was below 1% of the recipient company’s or organization’s total consolidated gross revenues, which is far below the 5% limit prescribed by Nasdaq rules.</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color w:val="auto"/>
        </w:rPr>
        <w:t>Retirement Age and Director Tenure</w:t>
      </w:r>
    </w:p>
    <w:p>
      <w:pPr>
        <w:spacing w:after="0" w:line="226"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Our corporate governance guidelines require that our independent directors not stand for re-election to the Board after reaching the age of 75. We believe that our retirement policy and natural turnover achieve the appropriate balance between maintaining longer-term directors with deep institutional knowledge and refreshing the Board with new directors and different areas of expertise and knowledge.</w:t>
      </w:r>
    </w:p>
    <w:p>
      <w:pPr>
        <w:spacing w:after="0" w:line="175"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Our Board considers director tenure in connection with its independence determinations, even though neither our corporate governance guidelines nor Nasdaq or SEC rules deem a long-tenured director not independent. Following the annual meeting of shareholders, if all director nominees are elected to serve as our directors, the average tenure of our independent directors will be 9.4 years.</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auto"/>
        </w:rPr>
        <w:t>Director Nominations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A0E0"/>
        </w:rPr>
        <w:t>Identifying and Evaluating Director Nominees</w:t>
      </w:r>
    </w:p>
    <w:p>
      <w:pPr>
        <w:spacing w:after="0" w:line="210"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color w:val="auto"/>
        </w:rPr>
        <w:t>Our Governance Committee will consider director candidates recommended by shareholders and will evaluate any such candidates in a similar manner as any other candidates. In identifying and evaluating candidates, whether recommended by the Governance Committee or by shareholders, the Governance Committee will consider the attributes outlined above in “Director Skills and Experience,” as well as applicable independence requirements. All of our nominees are current directors and were elected by the shareholders at our 2024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00A0E0"/>
        </w:rPr>
        <w:t>Shareholder Nominees</w:t>
      </w:r>
    </w:p>
    <w:p>
      <w:pPr>
        <w:spacing w:after="0" w:line="210"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To submit a nomination for the election of directors, shareholders must provide a written notice in accordance with Section 3.10 of our bylaws. For the election of directors at the 2026 annual meeting of shareholders, if such meeting is called for a date between May 19, 2026 and July 18, 2026, we must receive written notice at the mailing address given on page 61 on or after February 18, 2026 and no later than the close of business on March 20, 2026. If we call the 2026 annual meeting of shareholders for any other date, we must receive written notice no later than the close of business on the tenth day following the day on which we first make a public announcement of the date of the meeting.</w:t>
      </w:r>
    </w:p>
    <w:p>
      <w:pPr>
        <w:spacing w:after="0" w:line="18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 addition, in accordance with Section 3.11 of our bylaws, a shareholder or group of up to 20 shareholders owning at least 3% of the aggregate number of our outstanding shares of common stock continuously for at least three years may nominate and include in our proxy materials director nominees constituting up to the greater of 20% of our Board or two directors, provided the shareholder(s) and nominee(s) satisfy the requirements in our bylaws. Written notice of proxy access director nominees for the election of directors at the 2026 annual meeting of shareholders, if such meeting is called for a date between May 19, 2026 and July 18, 2026, must be received at the mailing address given on page 61 on or after November 26, 2025 and no later than the close of business on December 26, 2025. If such meeting is called for any other date, we must receive written notice no later than the close of business on the later of the date that is 180 days prior to such meeting or the tenth day following the day on which we first make a public announcement of the date of the meeting.</w:t>
      </w:r>
    </w:p>
    <w:p>
      <w:pPr>
        <w:spacing w:after="0" w:line="192"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 xml:space="preserve">Shareholders can obtain a copy of our bylaws by writing to Thomas J. Reid, Secretary, Comcast Corporation, at the mailing address given on page 61. A copy of our bylaws is filed with the SEC as an exhibit to our Annual Report on Form 10-K for the year ended December 31, 2024 and is posted under “Corporate Governance” in the Investors section of our website at </w:t>
      </w:r>
      <w:r>
        <w:rPr>
          <w:rFonts w:ascii="Arial" w:cs="Arial" w:eastAsia="Arial" w:hAnsi="Arial"/>
          <w:sz w:val="16"/>
          <w:szCs w:val="16"/>
          <w:i w:val="1"/>
          <w:iCs w:val="1"/>
          <w:color w:val="auto"/>
        </w:rPr>
        <w:t>www.cmcsa.com</w:t>
      </w:r>
      <w:r>
        <w:rPr>
          <w:rFonts w:ascii="Arial" w:cs="Arial" w:eastAsia="Arial" w:hAnsi="Arial"/>
          <w:sz w:val="16"/>
          <w:szCs w:val="16"/>
          <w:color w:val="auto"/>
        </w:rPr>
        <w:t>.</w:t>
      </w:r>
    </w:p>
    <w:p>
      <w:pPr>
        <w:spacing w:after="0" w:line="167"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5"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Board Structure and Responsibilities</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color w:val="auto"/>
        </w:rPr>
        <w:t>Board Leadership Structure</w:t>
      </w:r>
    </w:p>
    <w:p>
      <w:pPr>
        <w:spacing w:after="0" w:line="226"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Our Board believes that our company and shareholders are best served by maintaining the flexibility for the Board to split or combine the offices of Chairman and Chief Executive Officer depending upon the best interests of our company at a given point in time. To that end, our Governance Committee and Board regularly review our Board leadership structure to ensure that the most appropriate structure is in place. These reviews may consider a variety of factors, such as our state corporation laws, our governance practices, the efficiency and effectiveness of our existing Board leadership structure and feedback from our Board members as well as shareholders on our Board and its leadership structure.</w:t>
      </w:r>
    </w:p>
    <w:p>
      <w:pPr>
        <w:spacing w:after="0" w:line="180"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Our Board currently believes that we and our shareholders continue to be best served by having Mr. Roberts serve as both our Chairman and Chief Executive Officer – working together with a strong Lead Independent Director. Mr. Roberts is a strong and effective leader, at both the company and Board levels, who provides critical leadership in carrying out our strategic initiatives and confronting our challenges. Mr. Roberts serves as an effective bridge between the Board and management, facilitating strong collaboration and encouraging open lines of communication with the Board. In his role as Chairman, he also brings to Board discussions extensive knowledge of all aspects of our current business, operations and risks.</w:t>
      </w:r>
    </w:p>
    <w:p>
      <w:pPr>
        <w:spacing w:after="0" w:line="180"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In addition to our combined Chairman and CEO role, our independent directors are led by our Lead Independent Director, who ensures a strong, independent and active Board by promoting effective communication and consideration of strategy and material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3943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Edward D. Breen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2057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057400"/>
                    </a:xfrm>
                    <a:prstGeom prst="rect">
                      <a:avLst/>
                    </a:prstGeom>
                    <a:noFill/>
                  </pic:spPr>
                </pic:pic>
              </a:graphicData>
            </a:graphic>
          </wp:anchor>
        </w:drawing>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accordance with our corporate governance guidelines, our Board has a strong Lead Independent Director position, currently filled by Mr.</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Breen. The Lead Independent Director:</w:t>
      </w:r>
    </w:p>
    <w:p>
      <w:pPr>
        <w:sectPr>
          <w:pgSz w:w="11900" w:h="16838" w:orient="portrait"/>
          <w:cols w:equalWidth="0" w:num="1">
            <w:col w:w="11240"/>
          </w:cols>
          <w:pgMar w:left="320" w:top="122" w:right="339" w:bottom="1440" w:gutter="0" w:footer="0" w:header="0"/>
        </w:sectPr>
      </w:pPr>
    </w:p>
    <w:p>
      <w:pPr>
        <w:spacing w:after="0" w:line="86" w:lineRule="exact"/>
        <w:rPr>
          <w:sz w:val="20"/>
          <w:szCs w:val="20"/>
          <w:color w:val="auto"/>
        </w:rPr>
      </w:pPr>
    </w:p>
    <w:p>
      <w:pPr>
        <w:ind w:left="460" w:right="60" w:hanging="263"/>
        <w:spacing w:after="0" w:line="257" w:lineRule="auto"/>
        <w:tabs>
          <w:tab w:leader="none" w:pos="437" w:val="left"/>
        </w:tabs>
        <w:numPr>
          <w:ilvl w:val="0"/>
          <w:numId w:val="29"/>
        </w:numPr>
        <w:rPr>
          <w:rFonts w:ascii="Times New Roman" w:cs="Times New Roman" w:eastAsia="Times New Roman" w:hAnsi="Times New Roman"/>
          <w:sz w:val="17"/>
          <w:szCs w:val="17"/>
          <w:color w:val="00A0E0"/>
        </w:rPr>
      </w:pPr>
      <w:r>
        <w:rPr>
          <w:rFonts w:ascii="Arial" w:cs="Arial" w:eastAsia="Arial" w:hAnsi="Arial"/>
          <w:sz w:val="17"/>
          <w:szCs w:val="17"/>
          <w:color w:val="auto"/>
        </w:rPr>
        <w:t>Presides at meetings of the Board at which the Chairman is not present, including executive sessions of the independent directors that are held at almost all regularly scheduled Board meetings.</w:t>
      </w:r>
    </w:p>
    <w:p>
      <w:pPr>
        <w:spacing w:after="0" w:line="19" w:lineRule="exact"/>
        <w:rPr>
          <w:rFonts w:ascii="Times New Roman" w:cs="Times New Roman" w:eastAsia="Times New Roman" w:hAnsi="Times New Roman"/>
          <w:sz w:val="17"/>
          <w:szCs w:val="17"/>
          <w:color w:val="00A0E0"/>
        </w:rPr>
      </w:pPr>
    </w:p>
    <w:p>
      <w:pPr>
        <w:ind w:left="460" w:right="320" w:hanging="263"/>
        <w:spacing w:after="0" w:line="249" w:lineRule="auto"/>
        <w:tabs>
          <w:tab w:leader="none" w:pos="437" w:val="left"/>
        </w:tabs>
        <w:numPr>
          <w:ilvl w:val="0"/>
          <w:numId w:val="29"/>
        </w:numPr>
        <w:rPr>
          <w:rFonts w:ascii="Times New Roman" w:cs="Times New Roman" w:eastAsia="Times New Roman" w:hAnsi="Times New Roman"/>
          <w:sz w:val="17"/>
          <w:szCs w:val="17"/>
          <w:color w:val="00A0E0"/>
        </w:rPr>
      </w:pPr>
      <w:r>
        <w:rPr>
          <w:rFonts w:ascii="Arial" w:cs="Arial" w:eastAsia="Arial" w:hAnsi="Arial"/>
          <w:sz w:val="17"/>
          <w:szCs w:val="17"/>
          <w:color w:val="auto"/>
        </w:rPr>
        <w:t>Facilitates communication between the Chairman and the independent directors and encourages director participation by fostering an environment of open dialogue and constructive feedback.</w:t>
      </w:r>
    </w:p>
    <w:p>
      <w:pPr>
        <w:spacing w:after="0" w:line="38" w:lineRule="exact"/>
        <w:rPr>
          <w:rFonts w:ascii="Times New Roman" w:cs="Times New Roman" w:eastAsia="Times New Roman" w:hAnsi="Times New Roman"/>
          <w:sz w:val="17"/>
          <w:szCs w:val="17"/>
          <w:color w:val="00A0E0"/>
        </w:rPr>
      </w:pPr>
    </w:p>
    <w:p>
      <w:pPr>
        <w:ind w:left="460" w:hanging="263"/>
        <w:spacing w:after="0" w:line="257" w:lineRule="auto"/>
        <w:tabs>
          <w:tab w:leader="none" w:pos="437" w:val="left"/>
        </w:tabs>
        <w:numPr>
          <w:ilvl w:val="0"/>
          <w:numId w:val="29"/>
        </w:numPr>
        <w:rPr>
          <w:rFonts w:ascii="Times New Roman" w:cs="Times New Roman" w:eastAsia="Times New Roman" w:hAnsi="Times New Roman"/>
          <w:sz w:val="17"/>
          <w:szCs w:val="17"/>
          <w:color w:val="00A0E0"/>
        </w:rPr>
      </w:pPr>
      <w:r>
        <w:rPr>
          <w:rFonts w:ascii="Arial" w:cs="Arial" w:eastAsia="Arial" w:hAnsi="Arial"/>
          <w:sz w:val="17"/>
          <w:szCs w:val="17"/>
          <w:color w:val="auto"/>
        </w:rPr>
        <w:t>Communicates periodically as necessary between Board meetings and executive sessions with our independent directors and with management on topics of importance to our independent directors.</w:t>
      </w:r>
    </w:p>
    <w:p>
      <w:pPr>
        <w:spacing w:after="0" w:line="19" w:lineRule="exact"/>
        <w:rPr>
          <w:rFonts w:ascii="Times New Roman" w:cs="Times New Roman" w:eastAsia="Times New Roman" w:hAnsi="Times New Roman"/>
          <w:sz w:val="17"/>
          <w:szCs w:val="17"/>
          <w:color w:val="00A0E0"/>
        </w:rPr>
      </w:pPr>
    </w:p>
    <w:p>
      <w:pPr>
        <w:ind w:left="460" w:right="220" w:hanging="263"/>
        <w:spacing w:after="0" w:line="283" w:lineRule="auto"/>
        <w:tabs>
          <w:tab w:leader="none" w:pos="437" w:val="left"/>
        </w:tabs>
        <w:numPr>
          <w:ilvl w:val="0"/>
          <w:numId w:val="29"/>
        </w:numPr>
        <w:rPr>
          <w:rFonts w:ascii="Times New Roman" w:cs="Times New Roman" w:eastAsia="Times New Roman" w:hAnsi="Times New Roman"/>
          <w:sz w:val="17"/>
          <w:szCs w:val="17"/>
          <w:color w:val="00A0E0"/>
        </w:rPr>
      </w:pPr>
      <w:r>
        <w:rPr>
          <w:rFonts w:ascii="Arial" w:cs="Arial" w:eastAsia="Arial" w:hAnsi="Arial"/>
          <w:sz w:val="17"/>
          <w:szCs w:val="17"/>
          <w:color w:val="auto"/>
        </w:rPr>
        <w:t>Is authorized to schedule meetings of the independent directors, including executive sessions of the independent directors.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65" w:right="440" w:hanging="265"/>
        <w:spacing w:after="0" w:line="281" w:lineRule="auto"/>
        <w:tabs>
          <w:tab w:leader="none" w:pos="243" w:val="left"/>
        </w:tabs>
        <w:numPr>
          <w:ilvl w:val="0"/>
          <w:numId w:val="30"/>
        </w:numPr>
        <w:rPr>
          <w:rFonts w:ascii="Times New Roman" w:cs="Times New Roman" w:eastAsia="Times New Roman" w:hAnsi="Times New Roman"/>
          <w:sz w:val="16"/>
          <w:szCs w:val="16"/>
          <w:color w:val="00A0E0"/>
        </w:rPr>
      </w:pPr>
      <w:r>
        <w:rPr>
          <w:rFonts w:ascii="Arial" w:cs="Arial" w:eastAsia="Arial" w:hAnsi="Arial"/>
          <w:sz w:val="16"/>
          <w:szCs w:val="16"/>
          <w:color w:val="auto"/>
        </w:rPr>
        <w:t>Consults, reviews and has the opportunity to provide input on meeting agendas and meeting schedules for the Board, which may include matters relating to significant risks of our company.</w:t>
      </w:r>
    </w:p>
    <w:p>
      <w:pPr>
        <w:ind w:left="265" w:right="360" w:hanging="265"/>
        <w:spacing w:after="0" w:line="249" w:lineRule="auto"/>
        <w:tabs>
          <w:tab w:leader="none" w:pos="243" w:val="left"/>
        </w:tabs>
        <w:numPr>
          <w:ilvl w:val="0"/>
          <w:numId w:val="30"/>
        </w:numPr>
        <w:rPr>
          <w:rFonts w:ascii="Times New Roman" w:cs="Times New Roman" w:eastAsia="Times New Roman" w:hAnsi="Times New Roman"/>
          <w:sz w:val="17"/>
          <w:szCs w:val="17"/>
          <w:color w:val="00A0E0"/>
        </w:rPr>
      </w:pPr>
      <w:r>
        <w:rPr>
          <w:rFonts w:ascii="Arial" w:cs="Arial" w:eastAsia="Arial" w:hAnsi="Arial"/>
          <w:sz w:val="17"/>
          <w:szCs w:val="17"/>
          <w:color w:val="auto"/>
        </w:rPr>
        <w:t>With the Compensation and Human Capital Committee (“Compensation Committee”), organizes the annual Board evaluation of the performance of our Chief Executive Officer and senior management.</w:t>
      </w:r>
    </w:p>
    <w:p>
      <w:pPr>
        <w:spacing w:after="0" w:line="38" w:lineRule="exact"/>
        <w:rPr>
          <w:rFonts w:ascii="Times New Roman" w:cs="Times New Roman" w:eastAsia="Times New Roman" w:hAnsi="Times New Roman"/>
          <w:sz w:val="17"/>
          <w:szCs w:val="17"/>
          <w:color w:val="00A0E0"/>
        </w:rPr>
      </w:pPr>
    </w:p>
    <w:p>
      <w:pPr>
        <w:jc w:val="both"/>
        <w:ind w:left="265" w:right="720" w:hanging="265"/>
        <w:spacing w:after="0" w:line="257" w:lineRule="auto"/>
        <w:tabs>
          <w:tab w:leader="none" w:pos="243" w:val="left"/>
        </w:tabs>
        <w:numPr>
          <w:ilvl w:val="0"/>
          <w:numId w:val="30"/>
        </w:numPr>
        <w:rPr>
          <w:rFonts w:ascii="Times New Roman" w:cs="Times New Roman" w:eastAsia="Times New Roman" w:hAnsi="Times New Roman"/>
          <w:sz w:val="17"/>
          <w:szCs w:val="17"/>
          <w:color w:val="00A0E0"/>
        </w:rPr>
      </w:pPr>
      <w:r>
        <w:rPr>
          <w:rFonts w:ascii="Arial" w:cs="Arial" w:eastAsia="Arial" w:hAnsi="Arial"/>
          <w:sz w:val="17"/>
          <w:szCs w:val="17"/>
          <w:color w:val="auto"/>
        </w:rPr>
        <w:t>With the Governance Committee, reviews and approves the process for the annual self-assessment of our Board and its committees.</w:t>
      </w:r>
    </w:p>
    <w:p>
      <w:pPr>
        <w:spacing w:after="0" w:line="19" w:lineRule="exact"/>
        <w:rPr>
          <w:rFonts w:ascii="Times New Roman" w:cs="Times New Roman" w:eastAsia="Times New Roman" w:hAnsi="Times New Roman"/>
          <w:sz w:val="17"/>
          <w:szCs w:val="17"/>
          <w:color w:val="00A0E0"/>
        </w:rPr>
      </w:pPr>
    </w:p>
    <w:p>
      <w:pPr>
        <w:ind w:left="265" w:right="220" w:hanging="265"/>
        <w:spacing w:after="0" w:line="283" w:lineRule="auto"/>
        <w:tabs>
          <w:tab w:leader="none" w:pos="243" w:val="left"/>
        </w:tabs>
        <w:numPr>
          <w:ilvl w:val="0"/>
          <w:numId w:val="30"/>
        </w:numPr>
        <w:rPr>
          <w:rFonts w:ascii="Times New Roman" w:cs="Times New Roman" w:eastAsia="Times New Roman" w:hAnsi="Times New Roman"/>
          <w:sz w:val="17"/>
          <w:szCs w:val="17"/>
          <w:color w:val="00A0E0"/>
        </w:rPr>
      </w:pPr>
      <w:r>
        <w:rPr>
          <w:rFonts w:ascii="Arial" w:cs="Arial" w:eastAsia="Arial" w:hAnsi="Arial"/>
          <w:sz w:val="17"/>
          <w:szCs w:val="17"/>
          <w:color w:val="auto"/>
        </w:rPr>
        <w:t>Represents independent directors in communications with external constituencies, including significant shareholders, as appropriate.</w:t>
      </w:r>
    </w:p>
    <w:p>
      <w:pPr>
        <w:spacing w:after="0" w:line="200" w:lineRule="exact"/>
        <w:rPr>
          <w:sz w:val="20"/>
          <w:szCs w:val="20"/>
          <w:color w:val="auto"/>
        </w:rPr>
      </w:pPr>
    </w:p>
    <w:p>
      <w:pPr>
        <w:sectPr>
          <w:pgSz w:w="11900" w:h="16838" w:orient="portrait"/>
          <w:cols w:equalWidth="0" w:num="2">
            <w:col w:w="5500" w:space="255"/>
            <w:col w:w="5485"/>
          </w:cols>
          <w:pgMar w:left="320" w:top="122" w:right="339" w:bottom="1440" w:gutter="0" w:footer="0" w:header="0"/>
          <w:type w:val="continuous"/>
        </w:sectPr>
      </w:pPr>
    </w:p>
    <w:p>
      <w:pPr>
        <w:spacing w:after="0" w:line="54"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The role of Lead Independent Director is filled by an independent director recommended by the Governance Committee, which is chaired by and composed entirely of independent directors, and appointed by the Board annually. In recommending Mr. Breen to serve as our Lead Independent Director, our Governance Committee considered, among other qualifications, his extensive experience as a board chairman and chief executive officer seasoned in board-level risk oversight.</w:t>
      </w:r>
    </w:p>
    <w:p>
      <w:pPr>
        <w:spacing w:after="0" w:line="177"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Our Board believes that board independence and oversight of management are effectively maintained, and management plans are critically reviewed, through our existing governance structure and policies. The composition of our Board evolves gradually over time, which provides stability and experience, but the processes by which the Board works are dynamic and are designed to address the most critical risks and circumstances prevailing at any point in time. In addition to the Lead Independent Director position, we have strong and effective governance practices that support independent Board oversight, including: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15</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ind w:left="260" w:right="400" w:hanging="252"/>
        <w:spacing w:after="0" w:line="267" w:lineRule="auto"/>
        <w:tabs>
          <w:tab w:leader="none" w:pos="260" w:val="left"/>
        </w:tabs>
        <w:numPr>
          <w:ilvl w:val="0"/>
          <w:numId w:val="31"/>
        </w:numPr>
        <w:rPr>
          <w:rFonts w:ascii="Arial" w:cs="Arial" w:eastAsia="Arial" w:hAnsi="Arial"/>
          <w:sz w:val="17"/>
          <w:szCs w:val="17"/>
          <w:color w:val="00A0E0"/>
        </w:rPr>
      </w:pPr>
      <w:r>
        <w:rPr>
          <w:rFonts w:ascii="Arial" w:cs="Arial" w:eastAsia="Arial" w:hAnsi="Arial"/>
          <w:sz w:val="17"/>
          <w:szCs w:val="17"/>
          <w:color w:val="auto"/>
        </w:rPr>
        <w:t>Board independence and oversight of management effectively maintained through the Board’s composition, where all but one of our director nominees are independent.</w:t>
      </w:r>
    </w:p>
    <w:p>
      <w:pPr>
        <w:spacing w:after="0" w:line="10" w:lineRule="exact"/>
        <w:rPr>
          <w:rFonts w:ascii="Arial" w:cs="Arial" w:eastAsia="Arial" w:hAnsi="Arial"/>
          <w:sz w:val="17"/>
          <w:szCs w:val="17"/>
          <w:color w:val="00A0E0"/>
        </w:rPr>
      </w:pPr>
    </w:p>
    <w:p>
      <w:pPr>
        <w:ind w:left="260" w:right="720" w:hanging="252"/>
        <w:spacing w:after="0" w:line="267" w:lineRule="auto"/>
        <w:tabs>
          <w:tab w:leader="none" w:pos="260" w:val="left"/>
        </w:tabs>
        <w:numPr>
          <w:ilvl w:val="0"/>
          <w:numId w:val="31"/>
        </w:numPr>
        <w:rPr>
          <w:rFonts w:ascii="Arial" w:cs="Arial" w:eastAsia="Arial" w:hAnsi="Arial"/>
          <w:sz w:val="17"/>
          <w:szCs w:val="17"/>
          <w:color w:val="00A0E0"/>
        </w:rPr>
      </w:pPr>
      <w:r>
        <w:rPr>
          <w:rFonts w:ascii="Arial" w:cs="Arial" w:eastAsia="Arial" w:hAnsi="Arial"/>
          <w:sz w:val="17"/>
          <w:szCs w:val="17"/>
          <w:color w:val="auto"/>
        </w:rPr>
        <w:t>All Board-level committees (Audit, Compensation and Governance) are chaired by and composed entirely of independent directors, and appointed by the Board annually.</w:t>
      </w:r>
    </w:p>
    <w:p>
      <w:pPr>
        <w:spacing w:after="0" w:line="10" w:lineRule="exact"/>
        <w:rPr>
          <w:rFonts w:ascii="Arial" w:cs="Arial" w:eastAsia="Arial" w:hAnsi="Arial"/>
          <w:sz w:val="17"/>
          <w:szCs w:val="17"/>
          <w:color w:val="00A0E0"/>
        </w:rPr>
      </w:pPr>
    </w:p>
    <w:p>
      <w:pPr>
        <w:ind w:left="260" w:hanging="252"/>
        <w:spacing w:after="0"/>
        <w:tabs>
          <w:tab w:leader="none" w:pos="260" w:val="left"/>
        </w:tabs>
        <w:numPr>
          <w:ilvl w:val="0"/>
          <w:numId w:val="31"/>
        </w:numPr>
        <w:rPr>
          <w:rFonts w:ascii="Arial" w:cs="Arial" w:eastAsia="Arial" w:hAnsi="Arial"/>
          <w:sz w:val="17"/>
          <w:szCs w:val="17"/>
          <w:color w:val="00A0E0"/>
        </w:rPr>
      </w:pPr>
      <w:r>
        <w:rPr>
          <w:rFonts w:ascii="Arial" w:cs="Arial" w:eastAsia="Arial" w:hAnsi="Arial"/>
          <w:sz w:val="17"/>
          <w:szCs w:val="17"/>
          <w:color w:val="auto"/>
        </w:rPr>
        <w:t>All directors have access to management, external experts and independent auditors.</w:t>
      </w:r>
    </w:p>
    <w:p>
      <w:pPr>
        <w:spacing w:after="0" w:line="61" w:lineRule="exact"/>
        <w:rPr>
          <w:rFonts w:ascii="Arial" w:cs="Arial" w:eastAsia="Arial" w:hAnsi="Arial"/>
          <w:sz w:val="17"/>
          <w:szCs w:val="17"/>
          <w:color w:val="00A0E0"/>
        </w:rPr>
      </w:pPr>
    </w:p>
    <w:p>
      <w:pPr>
        <w:jc w:val="both"/>
        <w:ind w:left="260" w:right="20" w:hanging="252"/>
        <w:spacing w:after="0" w:line="249" w:lineRule="auto"/>
        <w:tabs>
          <w:tab w:leader="none" w:pos="260" w:val="left"/>
        </w:tabs>
        <w:numPr>
          <w:ilvl w:val="0"/>
          <w:numId w:val="31"/>
        </w:numPr>
        <w:rPr>
          <w:rFonts w:ascii="Arial" w:cs="Arial" w:eastAsia="Arial" w:hAnsi="Arial"/>
          <w:sz w:val="17"/>
          <w:szCs w:val="17"/>
          <w:color w:val="00A0E0"/>
        </w:rPr>
      </w:pPr>
      <w:r>
        <w:rPr>
          <w:rFonts w:ascii="Arial" w:cs="Arial" w:eastAsia="Arial" w:hAnsi="Arial"/>
          <w:sz w:val="17"/>
          <w:szCs w:val="17"/>
          <w:color w:val="auto"/>
        </w:rPr>
        <w:t>Independent directors regularly meet in executive sessions without management present, chaired at our Board by our Lead Independent Director and at committees by committee chairs, to review, among other things, our strategy and risks, operating and financial performance, management effectiveness and succession planning.</w:t>
      </w:r>
    </w:p>
    <w:p>
      <w:pPr>
        <w:spacing w:after="0" w:line="26" w:lineRule="exact"/>
        <w:rPr>
          <w:rFonts w:ascii="Arial" w:cs="Arial" w:eastAsia="Arial" w:hAnsi="Arial"/>
          <w:sz w:val="17"/>
          <w:szCs w:val="17"/>
          <w:color w:val="00A0E0"/>
        </w:rPr>
      </w:pPr>
    </w:p>
    <w:p>
      <w:pPr>
        <w:ind w:left="260" w:right="80" w:hanging="252"/>
        <w:spacing w:after="0" w:line="249" w:lineRule="auto"/>
        <w:tabs>
          <w:tab w:leader="none" w:pos="260" w:val="left"/>
        </w:tabs>
        <w:numPr>
          <w:ilvl w:val="0"/>
          <w:numId w:val="31"/>
        </w:numPr>
        <w:rPr>
          <w:rFonts w:ascii="Arial" w:cs="Arial" w:eastAsia="Arial" w:hAnsi="Arial"/>
          <w:sz w:val="17"/>
          <w:szCs w:val="17"/>
          <w:color w:val="00A0E0"/>
        </w:rPr>
      </w:pPr>
      <w:r>
        <w:rPr>
          <w:rFonts w:ascii="Arial" w:cs="Arial" w:eastAsia="Arial" w:hAnsi="Arial"/>
          <w:sz w:val="17"/>
          <w:szCs w:val="17"/>
          <w:color w:val="auto"/>
        </w:rPr>
        <w:t>Annual Board assessment process includes independent director input (which includes the Lead Independent Director) for Board and committee meeting agendas on key business and risk topics, director educational topics and the design, composition and effectiveness of our Board, its leadership structure and Board committees.</w:t>
      </w:r>
    </w:p>
    <w:p>
      <w:pPr>
        <w:spacing w:after="0" w:line="26" w:lineRule="exact"/>
        <w:rPr>
          <w:rFonts w:ascii="Arial" w:cs="Arial" w:eastAsia="Arial" w:hAnsi="Arial"/>
          <w:sz w:val="17"/>
          <w:szCs w:val="17"/>
          <w:color w:val="00A0E0"/>
        </w:rPr>
      </w:pPr>
    </w:p>
    <w:p>
      <w:pPr>
        <w:ind w:left="260" w:hanging="252"/>
        <w:spacing w:after="0"/>
        <w:tabs>
          <w:tab w:leader="none" w:pos="260" w:val="left"/>
        </w:tabs>
        <w:numPr>
          <w:ilvl w:val="0"/>
          <w:numId w:val="31"/>
        </w:numPr>
        <w:rPr>
          <w:rFonts w:ascii="Arial" w:cs="Arial" w:eastAsia="Arial" w:hAnsi="Arial"/>
          <w:sz w:val="17"/>
          <w:szCs w:val="17"/>
          <w:color w:val="00A0E0"/>
        </w:rPr>
      </w:pPr>
      <w:r>
        <w:rPr>
          <w:rFonts w:ascii="Arial" w:cs="Arial" w:eastAsia="Arial" w:hAnsi="Arial"/>
          <w:sz w:val="17"/>
          <w:szCs w:val="17"/>
          <w:color w:val="auto"/>
        </w:rPr>
        <w:t>All directors may suggest inclusion of additional subjects on Board or committee agendas.</w:t>
      </w:r>
    </w:p>
    <w:p>
      <w:pPr>
        <w:spacing w:after="0" w:line="61" w:lineRule="exact"/>
        <w:rPr>
          <w:rFonts w:ascii="Arial" w:cs="Arial" w:eastAsia="Arial" w:hAnsi="Arial"/>
          <w:sz w:val="17"/>
          <w:szCs w:val="17"/>
          <w:color w:val="00A0E0"/>
        </w:rPr>
      </w:pPr>
    </w:p>
    <w:p>
      <w:pPr>
        <w:ind w:left="260" w:right="600" w:hanging="252"/>
        <w:spacing w:after="0" w:line="267" w:lineRule="auto"/>
        <w:tabs>
          <w:tab w:leader="none" w:pos="260" w:val="left"/>
        </w:tabs>
        <w:numPr>
          <w:ilvl w:val="0"/>
          <w:numId w:val="31"/>
        </w:numPr>
        <w:rPr>
          <w:rFonts w:ascii="Arial" w:cs="Arial" w:eastAsia="Arial" w:hAnsi="Arial"/>
          <w:sz w:val="17"/>
          <w:szCs w:val="17"/>
          <w:color w:val="00A0E0"/>
        </w:rPr>
      </w:pPr>
      <w:r>
        <w:rPr>
          <w:rFonts w:ascii="Arial" w:cs="Arial" w:eastAsia="Arial" w:hAnsi="Arial"/>
          <w:sz w:val="17"/>
          <w:szCs w:val="17"/>
          <w:color w:val="auto"/>
        </w:rPr>
        <w:t>Independent director participation in and oversight of key governance processes, such as Chief Executive Officer performance, executive compensation and succession planning.</w:t>
      </w:r>
    </w:p>
    <w:p>
      <w:pPr>
        <w:spacing w:after="0" w:line="10" w:lineRule="exact"/>
        <w:rPr>
          <w:rFonts w:ascii="Arial" w:cs="Arial" w:eastAsia="Arial" w:hAnsi="Arial"/>
          <w:sz w:val="17"/>
          <w:szCs w:val="17"/>
          <w:color w:val="00A0E0"/>
        </w:rPr>
      </w:pPr>
    </w:p>
    <w:p>
      <w:pPr>
        <w:ind w:left="260" w:hanging="252"/>
        <w:spacing w:after="0" w:line="267" w:lineRule="auto"/>
        <w:tabs>
          <w:tab w:leader="none" w:pos="260" w:val="left"/>
        </w:tabs>
        <w:numPr>
          <w:ilvl w:val="0"/>
          <w:numId w:val="31"/>
        </w:numPr>
        <w:rPr>
          <w:rFonts w:ascii="Arial" w:cs="Arial" w:eastAsia="Arial" w:hAnsi="Arial"/>
          <w:sz w:val="17"/>
          <w:szCs w:val="17"/>
          <w:color w:val="00A0E0"/>
        </w:rPr>
      </w:pPr>
      <w:r>
        <w:rPr>
          <w:rFonts w:ascii="Arial" w:cs="Arial" w:eastAsia="Arial" w:hAnsi="Arial"/>
          <w:sz w:val="17"/>
          <w:szCs w:val="17"/>
          <w:color w:val="auto"/>
        </w:rPr>
        <w:t>Our Chairman and Chief Executive Officer and our Lead Independent Director meet and speak with each other regularly about our Board and our company.</w:t>
      </w:r>
    </w:p>
    <w:p>
      <w:pPr>
        <w:spacing w:after="0" w:line="15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addition, having one individual perform the roles of Chairman and Chief Executive Officer is not restricted or prohibited by current laws or regulations. Board action is the product of consensus following informed and thorough discussion, relying on external expertise when appropriate to supplement management resources or provide the independent directors with additional support. No director has the right to override the vote of any other director, but in practical terms Board action is based on consensus not contested votes.</w:t>
      </w:r>
    </w:p>
    <w:p>
      <w:pPr>
        <w:spacing w:after="0" w:line="17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Ultimately, we believe that our current leadership structure, together with our strong governance practices, creates a productive relationship between our Board and management, including strong and effective leadership of our company, as well as strong independent oversight that benefits our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auto"/>
        </w:rPr>
        <w:t>Board Meetings and Attendance</w:t>
      </w:r>
    </w:p>
    <w:p>
      <w:pPr>
        <w:spacing w:after="0" w:line="226"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Our Board and various committees of the Board meet throughout the year. During 2024, there were six meetings of our Board and a total of 19 committee meetings. Each director attended more than 75% of the aggregate number of Board meetings and the number of meetings held by all of the committees on which he or she served.</w:t>
      </w:r>
    </w:p>
    <w:p>
      <w:pPr>
        <w:spacing w:after="0" w:line="17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require our directors to participate in the annual meeting of shareholders, barring unusual circumstances. Each director then in office participated in the 2024 annual meeting of shareholders, other than Ms. Lucas who had a pre-existing commitment before having joined our Board.</w:t>
      </w:r>
    </w:p>
    <w:p>
      <w:pPr>
        <w:spacing w:after="0" w:line="15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Our independent directors have the opportunity to meet separately in executive session following each regularly scheduled Board and committee meeting and, under our corporate governance guidelines, are required to meet in executive session at least two times each year. In 2024, executive sessions were held at each regularly scheduled Board meeting, and most regularly scheduled committee meetings.</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auto"/>
        </w:rPr>
        <w:t>Committees of Our Board</w:t>
      </w:r>
    </w:p>
    <w:p>
      <w:pPr>
        <w:spacing w:after="0" w:line="226"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Our Board has three standing committees: Audit, Compensation and Governance. All of these committees are composed entirely of independent directors under applicable Nasdaq and SEC requirements.</w:t>
      </w:r>
    </w:p>
    <w:p>
      <w:pPr>
        <w:spacing w:after="0" w:line="159"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The Board makes committee and committee chair assignments annually at its meeting immediately preceding the annual meeting of shareholders, although further changes may be made from time to time as deemed appropriate by the Board.</w:t>
      </w:r>
    </w:p>
    <w:p>
      <w:pPr>
        <w:spacing w:after="0" w:line="15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 xml:space="preserve">Each committee has a Board-approved charter, which is reviewed annually by the respective committee, with the Governance Committee annually reviewing all charters and our corporate governance guidelines. Each committee has the authority to retain independent advisors to assist it in carrying out its responsibilities. Committee charters are posted under “Corporate Governance” in the Investors section of our website at </w:t>
      </w:r>
      <w:r>
        <w:rPr>
          <w:rFonts w:ascii="Arial" w:cs="Arial" w:eastAsia="Arial" w:hAnsi="Arial"/>
          <w:sz w:val="17"/>
          <w:szCs w:val="17"/>
          <w:i w:val="1"/>
          <w:iCs w:val="1"/>
          <w:color w:val="auto"/>
        </w:rPr>
        <w:t>www.cmcsa.com.</w:t>
      </w:r>
    </w:p>
    <w:p>
      <w:pPr>
        <w:spacing w:after="0" w:line="181"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291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9601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91" w:lineRule="exact"/>
        <w:rPr>
          <w:sz w:val="20"/>
          <w:szCs w:val="20"/>
          <w:color w:val="auto"/>
        </w:rPr>
      </w:pPr>
    </w:p>
    <w:p>
      <w:pPr>
        <w:ind w:left="1640"/>
        <w:spacing w:after="0"/>
        <w:rPr>
          <w:sz w:val="20"/>
          <w:szCs w:val="20"/>
          <w:color w:val="auto"/>
        </w:rPr>
      </w:pPr>
      <w:r>
        <w:rPr>
          <w:rFonts w:ascii="Arial" w:cs="Arial" w:eastAsia="Arial" w:hAnsi="Arial"/>
          <w:sz w:val="20"/>
          <w:szCs w:val="20"/>
          <w:b w:val="1"/>
          <w:bCs w:val="1"/>
          <w:color w:val="auto"/>
        </w:rPr>
        <w:t>Jeffrey A. Honickman (Chair)</w:t>
      </w:r>
    </w:p>
    <w:p>
      <w:pPr>
        <w:spacing w:after="0" w:line="95" w:lineRule="exact"/>
        <w:rPr>
          <w:sz w:val="20"/>
          <w:szCs w:val="20"/>
          <w:color w:val="auto"/>
        </w:rPr>
      </w:pPr>
    </w:p>
    <w:p>
      <w:pPr>
        <w:jc w:val="both"/>
        <w:ind w:left="1640"/>
        <w:spacing w:after="0"/>
        <w:tabs>
          <w:tab w:leader="none" w:pos="5500" w:val="left"/>
        </w:tabs>
        <w:rPr>
          <w:sz w:val="20"/>
          <w:szCs w:val="20"/>
          <w:color w:val="auto"/>
        </w:rPr>
      </w:pPr>
      <w:r>
        <w:rPr>
          <w:rFonts w:ascii="Arial" w:cs="Arial" w:eastAsia="Arial" w:hAnsi="Arial"/>
          <w:sz w:val="17"/>
          <w:szCs w:val="17"/>
          <w:b w:val="1"/>
          <w:bCs w:val="1"/>
          <w:color w:val="00A0E0"/>
        </w:rPr>
        <w:t>Members</w:t>
      </w:r>
      <w:r>
        <w:rPr>
          <w:sz w:val="20"/>
          <w:szCs w:val="20"/>
          <w:color w:val="auto"/>
        </w:rPr>
        <w:tab/>
      </w:r>
      <w:r>
        <w:rPr>
          <w:rFonts w:ascii="Arial" w:cs="Arial" w:eastAsia="Arial" w:hAnsi="Arial"/>
          <w:sz w:val="17"/>
          <w:szCs w:val="17"/>
          <w:b w:val="1"/>
          <w:bCs w:val="1"/>
          <w:color w:val="00A0E0"/>
        </w:rPr>
        <w:t xml:space="preserve">Meetings in 2024: </w:t>
      </w:r>
      <w:r>
        <w:rPr>
          <w:rFonts w:ascii="Arial" w:cs="Arial" w:eastAsia="Arial" w:hAnsi="Arial"/>
          <w:sz w:val="17"/>
          <w:szCs w:val="17"/>
          <w:b w:val="1"/>
          <w:bCs w:val="1"/>
          <w:color w:val="000000"/>
        </w:rPr>
        <w:t>8</w:t>
      </w:r>
    </w:p>
    <w:p>
      <w:pPr>
        <w:spacing w:after="0" w:line="61"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Louise F. Brady</w:t>
      </w:r>
    </w:p>
    <w:p>
      <w:pPr>
        <w:spacing w:after="0" w:line="75"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Wonya Y. Lucas</w:t>
      </w:r>
    </w:p>
    <w:p>
      <w:pPr>
        <w:spacing w:after="0" w:line="61"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Asuka Nakahara</w:t>
      </w:r>
    </w:p>
    <w:p>
      <w:pPr>
        <w:sectPr>
          <w:pgSz w:w="11900" w:h="16838" w:orient="portrait"/>
          <w:cols w:equalWidth="0" w:num="1">
            <w:col w:w="11240"/>
          </w:cols>
          <w:pgMar w:left="320" w:top="122" w:right="339" w:bottom="1440" w:gutter="0" w:footer="0" w:header="0"/>
        </w:sect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00A0E0"/>
        </w:rPr>
        <w:t>Key Responsibilities</w:t>
      </w:r>
    </w:p>
    <w:p>
      <w:pPr>
        <w:spacing w:after="0" w:line="61"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7"/>
          <w:szCs w:val="17"/>
          <w:color w:val="00A0E0"/>
        </w:rPr>
      </w:pPr>
      <w:r>
        <w:rPr>
          <w:rFonts w:ascii="Arial" w:cs="Arial" w:eastAsia="Arial" w:hAnsi="Arial"/>
          <w:sz w:val="17"/>
          <w:szCs w:val="17"/>
          <w:color w:val="auto"/>
        </w:rPr>
        <w:t>Reviews the quality and integrity of our financial statements.</w:t>
      </w:r>
    </w:p>
    <w:p>
      <w:pPr>
        <w:spacing w:after="0" w:line="61" w:lineRule="exact"/>
        <w:rPr>
          <w:rFonts w:ascii="Arial" w:cs="Arial" w:eastAsia="Arial" w:hAnsi="Arial"/>
          <w:sz w:val="17"/>
          <w:szCs w:val="17"/>
          <w:color w:val="00A0E0"/>
        </w:rPr>
      </w:pPr>
    </w:p>
    <w:p>
      <w:pPr>
        <w:ind w:left="260" w:right="120" w:hanging="252"/>
        <w:spacing w:after="0" w:line="244" w:lineRule="auto"/>
        <w:tabs>
          <w:tab w:leader="none" w:pos="260" w:val="left"/>
        </w:tabs>
        <w:numPr>
          <w:ilvl w:val="0"/>
          <w:numId w:val="33"/>
        </w:numPr>
        <w:rPr>
          <w:rFonts w:ascii="Arial" w:cs="Arial" w:eastAsia="Arial" w:hAnsi="Arial"/>
          <w:sz w:val="17"/>
          <w:szCs w:val="17"/>
          <w:color w:val="00A0E0"/>
        </w:rPr>
      </w:pPr>
      <w:r>
        <w:rPr>
          <w:rFonts w:ascii="Arial" w:cs="Arial" w:eastAsia="Arial" w:hAnsi="Arial"/>
          <w:sz w:val="17"/>
          <w:szCs w:val="17"/>
          <w:color w:val="auto"/>
        </w:rPr>
        <w:t>Reviews the financial statements and “Management’s Discussion and Analysis of Financial Condition and Results of Operations” in our Forms 10-Q and 10-K and our quarterly earnings press releases.</w:t>
      </w:r>
    </w:p>
    <w:p>
      <w:pPr>
        <w:spacing w:after="0" w:line="28" w:lineRule="exact"/>
        <w:rPr>
          <w:rFonts w:ascii="Arial" w:cs="Arial" w:eastAsia="Arial" w:hAnsi="Arial"/>
          <w:sz w:val="17"/>
          <w:szCs w:val="17"/>
          <w:color w:val="00A0E0"/>
        </w:rPr>
      </w:pPr>
    </w:p>
    <w:p>
      <w:pPr>
        <w:ind w:left="260" w:hanging="252"/>
        <w:spacing w:after="0" w:line="267" w:lineRule="auto"/>
        <w:tabs>
          <w:tab w:leader="none" w:pos="260" w:val="left"/>
        </w:tabs>
        <w:numPr>
          <w:ilvl w:val="0"/>
          <w:numId w:val="33"/>
        </w:numPr>
        <w:rPr>
          <w:rFonts w:ascii="Arial" w:cs="Arial" w:eastAsia="Arial" w:hAnsi="Arial"/>
          <w:sz w:val="17"/>
          <w:szCs w:val="17"/>
          <w:color w:val="00A0E0"/>
        </w:rPr>
      </w:pPr>
      <w:r>
        <w:rPr>
          <w:rFonts w:ascii="Arial" w:cs="Arial" w:eastAsia="Arial" w:hAnsi="Arial"/>
          <w:sz w:val="17"/>
          <w:szCs w:val="17"/>
          <w:color w:val="auto"/>
        </w:rPr>
        <w:t>Monitors our internal control over financial reporting and disclosure controls and procedures.</w:t>
      </w:r>
    </w:p>
    <w:p>
      <w:pPr>
        <w:spacing w:after="0" w:line="10" w:lineRule="exact"/>
        <w:rPr>
          <w:rFonts w:ascii="Arial" w:cs="Arial" w:eastAsia="Arial" w:hAnsi="Arial"/>
          <w:sz w:val="17"/>
          <w:szCs w:val="17"/>
          <w:color w:val="00A0E0"/>
        </w:rPr>
      </w:pPr>
    </w:p>
    <w:p>
      <w:pPr>
        <w:ind w:left="260" w:right="80" w:hanging="252"/>
        <w:spacing w:after="0" w:line="267" w:lineRule="auto"/>
        <w:tabs>
          <w:tab w:leader="none" w:pos="260" w:val="left"/>
        </w:tabs>
        <w:numPr>
          <w:ilvl w:val="0"/>
          <w:numId w:val="33"/>
        </w:numPr>
        <w:rPr>
          <w:rFonts w:ascii="Arial" w:cs="Arial" w:eastAsia="Arial" w:hAnsi="Arial"/>
          <w:sz w:val="17"/>
          <w:szCs w:val="17"/>
          <w:color w:val="00A0E0"/>
        </w:rPr>
      </w:pPr>
      <w:r>
        <w:rPr>
          <w:rFonts w:ascii="Arial" w:cs="Arial" w:eastAsia="Arial" w:hAnsi="Arial"/>
          <w:sz w:val="17"/>
          <w:szCs w:val="17"/>
          <w:color w:val="auto"/>
        </w:rPr>
        <w:t>Reviews the performance and responsibilities of our internal audit function and activities.</w:t>
      </w:r>
    </w:p>
    <w:p>
      <w:pPr>
        <w:spacing w:after="0" w:line="10" w:lineRule="exact"/>
        <w:rPr>
          <w:rFonts w:ascii="Arial" w:cs="Arial" w:eastAsia="Arial" w:hAnsi="Arial"/>
          <w:sz w:val="17"/>
          <w:szCs w:val="17"/>
          <w:color w:val="00A0E0"/>
        </w:rPr>
      </w:pPr>
    </w:p>
    <w:p>
      <w:pPr>
        <w:ind w:left="260" w:right="640" w:hanging="252"/>
        <w:spacing w:after="0" w:line="267" w:lineRule="auto"/>
        <w:tabs>
          <w:tab w:leader="none" w:pos="260" w:val="left"/>
        </w:tabs>
        <w:numPr>
          <w:ilvl w:val="0"/>
          <w:numId w:val="33"/>
        </w:numPr>
        <w:rPr>
          <w:rFonts w:ascii="Arial" w:cs="Arial" w:eastAsia="Arial" w:hAnsi="Arial"/>
          <w:sz w:val="17"/>
          <w:szCs w:val="17"/>
          <w:color w:val="00A0E0"/>
        </w:rPr>
      </w:pPr>
      <w:r>
        <w:rPr>
          <w:rFonts w:ascii="Arial" w:cs="Arial" w:eastAsia="Arial" w:hAnsi="Arial"/>
          <w:sz w:val="17"/>
          <w:szCs w:val="17"/>
          <w:color w:val="auto"/>
        </w:rPr>
        <w:t>Appoints and evaluates the qualification, performance and independence of our independent auditors.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left="251" w:right="60" w:hanging="251"/>
        <w:spacing w:after="0" w:line="267" w:lineRule="auto"/>
        <w:tabs>
          <w:tab w:leader="none" w:pos="251" w:val="left"/>
        </w:tabs>
        <w:numPr>
          <w:ilvl w:val="0"/>
          <w:numId w:val="34"/>
        </w:numPr>
        <w:rPr>
          <w:rFonts w:ascii="Arial" w:cs="Arial" w:eastAsia="Arial" w:hAnsi="Arial"/>
          <w:sz w:val="17"/>
          <w:szCs w:val="17"/>
          <w:color w:val="00A0E0"/>
        </w:rPr>
      </w:pPr>
      <w:r>
        <w:rPr>
          <w:rFonts w:ascii="Arial" w:cs="Arial" w:eastAsia="Arial" w:hAnsi="Arial"/>
          <w:sz w:val="17"/>
          <w:szCs w:val="17"/>
          <w:color w:val="auto"/>
        </w:rPr>
        <w:t>Reviews financial risk assessment and management, cybersecurity and significant business continuity risks.</w:t>
      </w:r>
    </w:p>
    <w:p>
      <w:pPr>
        <w:spacing w:after="0" w:line="10" w:lineRule="exact"/>
        <w:rPr>
          <w:rFonts w:ascii="Arial" w:cs="Arial" w:eastAsia="Arial" w:hAnsi="Arial"/>
          <w:sz w:val="17"/>
          <w:szCs w:val="17"/>
          <w:color w:val="00A0E0"/>
        </w:rPr>
      </w:pPr>
    </w:p>
    <w:p>
      <w:pPr>
        <w:ind w:left="251" w:right="240" w:hanging="251"/>
        <w:spacing w:after="0" w:line="267" w:lineRule="auto"/>
        <w:tabs>
          <w:tab w:leader="none" w:pos="251" w:val="left"/>
        </w:tabs>
        <w:numPr>
          <w:ilvl w:val="0"/>
          <w:numId w:val="34"/>
        </w:numPr>
        <w:rPr>
          <w:rFonts w:ascii="Arial" w:cs="Arial" w:eastAsia="Arial" w:hAnsi="Arial"/>
          <w:sz w:val="17"/>
          <w:szCs w:val="17"/>
          <w:color w:val="00A0E0"/>
        </w:rPr>
      </w:pPr>
      <w:r>
        <w:rPr>
          <w:rFonts w:ascii="Arial" w:cs="Arial" w:eastAsia="Arial" w:hAnsi="Arial"/>
          <w:sz w:val="17"/>
          <w:szCs w:val="17"/>
          <w:color w:val="auto"/>
        </w:rPr>
        <w:t>Reviews process with respect to our enterprise risk management (“ERM”) assessment.</w:t>
      </w:r>
    </w:p>
    <w:p>
      <w:pPr>
        <w:spacing w:after="0" w:line="10" w:lineRule="exact"/>
        <w:rPr>
          <w:rFonts w:ascii="Arial" w:cs="Arial" w:eastAsia="Arial" w:hAnsi="Arial"/>
          <w:sz w:val="17"/>
          <w:szCs w:val="17"/>
          <w:color w:val="00A0E0"/>
        </w:rPr>
      </w:pPr>
    </w:p>
    <w:p>
      <w:pPr>
        <w:ind w:left="251" w:right="100" w:hanging="251"/>
        <w:spacing w:after="0" w:line="267" w:lineRule="auto"/>
        <w:tabs>
          <w:tab w:leader="none" w:pos="251" w:val="left"/>
        </w:tabs>
        <w:numPr>
          <w:ilvl w:val="0"/>
          <w:numId w:val="34"/>
        </w:numPr>
        <w:rPr>
          <w:rFonts w:ascii="Arial" w:cs="Arial" w:eastAsia="Arial" w:hAnsi="Arial"/>
          <w:sz w:val="17"/>
          <w:szCs w:val="17"/>
          <w:color w:val="00A0E0"/>
        </w:rPr>
      </w:pPr>
      <w:r>
        <w:rPr>
          <w:rFonts w:ascii="Arial" w:cs="Arial" w:eastAsia="Arial" w:hAnsi="Arial"/>
          <w:sz w:val="17"/>
          <w:szCs w:val="17"/>
          <w:color w:val="auto"/>
        </w:rPr>
        <w:t>Reviews risks facing our company as disclosed in “Risk Factors” in our Form 10-K.</w:t>
      </w:r>
    </w:p>
    <w:p>
      <w:pPr>
        <w:spacing w:after="0" w:line="10" w:lineRule="exact"/>
        <w:rPr>
          <w:rFonts w:ascii="Arial" w:cs="Arial" w:eastAsia="Arial" w:hAnsi="Arial"/>
          <w:sz w:val="17"/>
          <w:szCs w:val="17"/>
          <w:color w:val="00A0E0"/>
        </w:rPr>
      </w:pPr>
    </w:p>
    <w:p>
      <w:pPr>
        <w:ind w:left="251" w:right="500" w:hanging="251"/>
        <w:spacing w:after="0" w:line="267" w:lineRule="auto"/>
        <w:tabs>
          <w:tab w:leader="none" w:pos="251" w:val="left"/>
        </w:tabs>
        <w:numPr>
          <w:ilvl w:val="0"/>
          <w:numId w:val="34"/>
        </w:numPr>
        <w:rPr>
          <w:rFonts w:ascii="Arial" w:cs="Arial" w:eastAsia="Arial" w:hAnsi="Arial"/>
          <w:sz w:val="17"/>
          <w:szCs w:val="17"/>
          <w:color w:val="00A0E0"/>
        </w:rPr>
      </w:pPr>
      <w:r>
        <w:rPr>
          <w:rFonts w:ascii="Arial" w:cs="Arial" w:eastAsia="Arial" w:hAnsi="Arial"/>
          <w:sz w:val="17"/>
          <w:szCs w:val="17"/>
          <w:color w:val="auto"/>
        </w:rPr>
        <w:t>Reports its discussions to the full Board for consideration and action when appropriate.</w:t>
      </w:r>
    </w:p>
    <w:p>
      <w:pPr>
        <w:spacing w:after="0" w:line="793" w:lineRule="exact"/>
        <w:rPr>
          <w:sz w:val="20"/>
          <w:szCs w:val="20"/>
          <w:color w:val="auto"/>
        </w:rPr>
      </w:pPr>
    </w:p>
    <w:p>
      <w:pPr>
        <w:sectPr>
          <w:pgSz w:w="11900" w:h="16838" w:orient="portrait"/>
          <w:cols w:equalWidth="0" w:num="2">
            <w:col w:w="5300" w:space="549"/>
            <w:col w:w="5391"/>
          </w:cols>
          <w:pgMar w:left="320" w:top="122" w:right="339" w:bottom="1440" w:gutter="0" w:footer="0" w:header="0"/>
          <w:type w:val="continuous"/>
        </w:sectPr>
      </w:pPr>
    </w:p>
    <w:p>
      <w:pPr>
        <w:ind w:right="260"/>
        <w:spacing w:after="0" w:line="267" w:lineRule="auto"/>
        <w:rPr>
          <w:sz w:val="20"/>
          <w:szCs w:val="20"/>
          <w:color w:val="auto"/>
        </w:rPr>
      </w:pPr>
      <w:r>
        <w:rPr>
          <w:rFonts w:ascii="Arial" w:cs="Arial" w:eastAsia="Arial" w:hAnsi="Arial"/>
          <w:sz w:val="17"/>
          <w:szCs w:val="17"/>
          <w:color w:val="auto"/>
        </w:rPr>
        <w:t>Each member of our Audit Committee is financially literate for audit committee purposes, and our Board has concluded that Jeffrey A. Honickman and Asuka Nakahara qualify as audit committee financial experts.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Audit Committee Report is included on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291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Compensation and Human Capital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9429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942975"/>
                    </a:xfrm>
                    <a:prstGeom prst="rect">
                      <a:avLst/>
                    </a:prstGeom>
                    <a:noFill/>
                  </pic:spPr>
                </pic:pic>
              </a:graphicData>
            </a:graphic>
          </wp:anchor>
        </w:drawing>
      </w:r>
    </w:p>
    <w:p>
      <w:pPr>
        <w:spacing w:after="0" w:line="191" w:lineRule="exact"/>
        <w:rPr>
          <w:sz w:val="20"/>
          <w:szCs w:val="20"/>
          <w:color w:val="auto"/>
        </w:rPr>
      </w:pPr>
    </w:p>
    <w:p>
      <w:pPr>
        <w:ind w:left="1640"/>
        <w:spacing w:after="0"/>
        <w:rPr>
          <w:sz w:val="20"/>
          <w:szCs w:val="20"/>
          <w:color w:val="auto"/>
        </w:rPr>
      </w:pPr>
      <w:r>
        <w:rPr>
          <w:rFonts w:ascii="Arial" w:cs="Arial" w:eastAsia="Arial" w:hAnsi="Arial"/>
          <w:sz w:val="20"/>
          <w:szCs w:val="20"/>
          <w:b w:val="1"/>
          <w:bCs w:val="1"/>
          <w:color w:val="auto"/>
        </w:rPr>
        <w:t>Edward D. Breen (Chair)</w:t>
      </w:r>
    </w:p>
    <w:p>
      <w:pPr>
        <w:spacing w:after="0" w:line="163" w:lineRule="exact"/>
        <w:rPr>
          <w:sz w:val="20"/>
          <w:szCs w:val="20"/>
          <w:color w:val="auto"/>
        </w:rPr>
      </w:pPr>
    </w:p>
    <w:p>
      <w:pPr>
        <w:ind w:left="1640"/>
        <w:spacing w:after="0"/>
        <w:tabs>
          <w:tab w:leader="none" w:pos="5500" w:val="left"/>
        </w:tabs>
        <w:rPr>
          <w:sz w:val="20"/>
          <w:szCs w:val="20"/>
          <w:color w:val="auto"/>
        </w:rPr>
      </w:pPr>
      <w:r>
        <w:rPr>
          <w:rFonts w:ascii="Arial" w:cs="Arial" w:eastAsia="Arial" w:hAnsi="Arial"/>
          <w:sz w:val="17"/>
          <w:szCs w:val="17"/>
          <w:b w:val="1"/>
          <w:bCs w:val="1"/>
          <w:color w:val="00A0E0"/>
        </w:rPr>
        <w:t>Members</w:t>
      </w:r>
      <w:r>
        <w:rPr>
          <w:sz w:val="20"/>
          <w:szCs w:val="20"/>
          <w:color w:val="auto"/>
        </w:rPr>
        <w:tab/>
      </w:r>
      <w:r>
        <w:rPr>
          <w:rFonts w:ascii="Arial" w:cs="Arial" w:eastAsia="Arial" w:hAnsi="Arial"/>
          <w:sz w:val="17"/>
          <w:szCs w:val="17"/>
          <w:b w:val="1"/>
          <w:bCs w:val="1"/>
          <w:color w:val="00A0E0"/>
        </w:rPr>
        <w:t xml:space="preserve">Meetings in 2024: </w:t>
      </w:r>
      <w:r>
        <w:rPr>
          <w:rFonts w:ascii="Arial" w:cs="Arial" w:eastAsia="Arial" w:hAnsi="Arial"/>
          <w:sz w:val="17"/>
          <w:szCs w:val="17"/>
          <w:b w:val="1"/>
          <w:bCs w:val="1"/>
          <w:color w:val="000000"/>
        </w:rPr>
        <w:t>6</w:t>
      </w:r>
    </w:p>
    <w:p>
      <w:pPr>
        <w:spacing w:after="0" w:line="75"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Thomas J. Baltimore, Jr.</w:t>
      </w:r>
    </w:p>
    <w:p>
      <w:pPr>
        <w:spacing w:after="0" w:line="61"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David C. Novak</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00A0E0"/>
        </w:rPr>
        <w:t>Key Responsibilities</w:t>
      </w:r>
    </w:p>
    <w:p>
      <w:pPr>
        <w:spacing w:after="0" w:line="75"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7"/>
          <w:szCs w:val="17"/>
          <w:color w:val="00A0E0"/>
        </w:rPr>
      </w:pPr>
      <w:r>
        <w:rPr>
          <w:rFonts w:ascii="Arial" w:cs="Arial" w:eastAsia="Arial" w:hAnsi="Arial"/>
          <w:sz w:val="17"/>
          <w:szCs w:val="17"/>
          <w:color w:val="auto"/>
        </w:rPr>
        <w:t>Oversees and sets compensation for our senior executives.</w:t>
      </w:r>
    </w:p>
    <w:p>
      <w:pPr>
        <w:spacing w:after="0" w:line="61" w:lineRule="exact"/>
        <w:rPr>
          <w:rFonts w:ascii="Arial" w:cs="Arial" w:eastAsia="Arial" w:hAnsi="Arial"/>
          <w:sz w:val="17"/>
          <w:szCs w:val="17"/>
          <w:color w:val="00A0E0"/>
        </w:rPr>
      </w:pPr>
    </w:p>
    <w:p>
      <w:pPr>
        <w:ind w:left="260" w:right="120" w:hanging="252"/>
        <w:spacing w:after="0" w:line="249" w:lineRule="auto"/>
        <w:tabs>
          <w:tab w:leader="none" w:pos="260" w:val="left"/>
        </w:tabs>
        <w:numPr>
          <w:ilvl w:val="0"/>
          <w:numId w:val="35"/>
        </w:numPr>
        <w:rPr>
          <w:rFonts w:ascii="Arial" w:cs="Arial" w:eastAsia="Arial" w:hAnsi="Arial"/>
          <w:sz w:val="17"/>
          <w:szCs w:val="17"/>
          <w:color w:val="00A0E0"/>
        </w:rPr>
      </w:pPr>
      <w:r>
        <w:rPr>
          <w:rFonts w:ascii="Arial" w:cs="Arial" w:eastAsia="Arial" w:hAnsi="Arial"/>
          <w:sz w:val="17"/>
          <w:szCs w:val="17"/>
          <w:color w:val="auto"/>
        </w:rPr>
        <w:t>Performs an annual review of our compensation philosophy, executive compensation programs and the performance of senior executives, including our named executive officers (“NEOs”).</w:t>
      </w:r>
    </w:p>
    <w:p>
      <w:pPr>
        <w:spacing w:after="0" w:line="26" w:lineRule="exact"/>
        <w:rPr>
          <w:rFonts w:ascii="Arial" w:cs="Arial" w:eastAsia="Arial" w:hAnsi="Arial"/>
          <w:sz w:val="17"/>
          <w:szCs w:val="17"/>
          <w:color w:val="00A0E0"/>
        </w:rPr>
      </w:pPr>
    </w:p>
    <w:p>
      <w:pPr>
        <w:ind w:left="260" w:hanging="252"/>
        <w:spacing w:after="0" w:line="267" w:lineRule="auto"/>
        <w:tabs>
          <w:tab w:leader="none" w:pos="260" w:val="left"/>
        </w:tabs>
        <w:numPr>
          <w:ilvl w:val="0"/>
          <w:numId w:val="35"/>
        </w:numPr>
        <w:rPr>
          <w:rFonts w:ascii="Arial" w:cs="Arial" w:eastAsia="Arial" w:hAnsi="Arial"/>
          <w:sz w:val="17"/>
          <w:szCs w:val="17"/>
          <w:color w:val="00A0E0"/>
        </w:rPr>
      </w:pPr>
      <w:r>
        <w:rPr>
          <w:rFonts w:ascii="Arial" w:cs="Arial" w:eastAsia="Arial" w:hAnsi="Arial"/>
          <w:sz w:val="17"/>
          <w:szCs w:val="17"/>
          <w:color w:val="auto"/>
        </w:rPr>
        <w:t>Evaluates annually whether there are any risks associated with our executive compensation program.</w:t>
      </w:r>
    </w:p>
    <w:p>
      <w:pPr>
        <w:spacing w:after="0" w:line="10" w:lineRule="exact"/>
        <w:rPr>
          <w:rFonts w:ascii="Arial" w:cs="Arial" w:eastAsia="Arial" w:hAnsi="Arial"/>
          <w:sz w:val="17"/>
          <w:szCs w:val="17"/>
          <w:color w:val="00A0E0"/>
        </w:rPr>
      </w:pPr>
    </w:p>
    <w:p>
      <w:pPr>
        <w:ind w:left="260" w:hanging="252"/>
        <w:spacing w:after="0"/>
        <w:tabs>
          <w:tab w:leader="none" w:pos="260" w:val="left"/>
        </w:tabs>
        <w:numPr>
          <w:ilvl w:val="0"/>
          <w:numId w:val="35"/>
        </w:numPr>
        <w:rPr>
          <w:rFonts w:ascii="Arial" w:cs="Arial" w:eastAsia="Arial" w:hAnsi="Arial"/>
          <w:sz w:val="17"/>
          <w:szCs w:val="17"/>
          <w:color w:val="00A0E0"/>
        </w:rPr>
      </w:pPr>
      <w:r>
        <w:rPr>
          <w:rFonts w:ascii="Arial" w:cs="Arial" w:eastAsia="Arial" w:hAnsi="Arial"/>
          <w:sz w:val="17"/>
          <w:szCs w:val="17"/>
          <w:color w:val="auto"/>
        </w:rPr>
        <w:t>Oversees succession planning for senior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51" w:right="20" w:hanging="251"/>
        <w:spacing w:after="0" w:line="249" w:lineRule="auto"/>
        <w:tabs>
          <w:tab w:leader="none" w:pos="251" w:val="left"/>
        </w:tabs>
        <w:numPr>
          <w:ilvl w:val="0"/>
          <w:numId w:val="36"/>
        </w:numPr>
        <w:rPr>
          <w:rFonts w:ascii="Arial" w:cs="Arial" w:eastAsia="Arial" w:hAnsi="Arial"/>
          <w:sz w:val="17"/>
          <w:szCs w:val="17"/>
          <w:color w:val="00A0E0"/>
        </w:rPr>
      </w:pPr>
      <w:r>
        <w:rPr>
          <w:rFonts w:ascii="Arial" w:cs="Arial" w:eastAsia="Arial" w:hAnsi="Arial"/>
          <w:sz w:val="17"/>
          <w:szCs w:val="17"/>
          <w:color w:val="auto"/>
        </w:rPr>
        <w:t>Reviews compensation and benefit plans and policies generally, including with respect to compensation of our senior executives and other employees.</w:t>
      </w:r>
    </w:p>
    <w:p>
      <w:pPr>
        <w:spacing w:after="0" w:line="26" w:lineRule="exact"/>
        <w:rPr>
          <w:rFonts w:ascii="Arial" w:cs="Arial" w:eastAsia="Arial" w:hAnsi="Arial"/>
          <w:sz w:val="17"/>
          <w:szCs w:val="17"/>
          <w:color w:val="00A0E0"/>
        </w:rPr>
      </w:pPr>
    </w:p>
    <w:p>
      <w:pPr>
        <w:ind w:left="251" w:right="160" w:hanging="251"/>
        <w:spacing w:after="0" w:line="244" w:lineRule="auto"/>
        <w:tabs>
          <w:tab w:leader="none" w:pos="251" w:val="left"/>
        </w:tabs>
        <w:numPr>
          <w:ilvl w:val="0"/>
          <w:numId w:val="36"/>
        </w:numPr>
        <w:rPr>
          <w:rFonts w:ascii="Arial" w:cs="Arial" w:eastAsia="Arial" w:hAnsi="Arial"/>
          <w:sz w:val="17"/>
          <w:szCs w:val="17"/>
          <w:color w:val="00A0E0"/>
        </w:rPr>
      </w:pPr>
      <w:r>
        <w:rPr>
          <w:rFonts w:ascii="Arial" w:cs="Arial" w:eastAsia="Arial" w:hAnsi="Arial"/>
          <w:sz w:val="17"/>
          <w:szCs w:val="17"/>
          <w:color w:val="auto"/>
        </w:rPr>
        <w:t>Reviews programs and strategies with respect to human capital management, including with respect to talent recruitment, development and retention, employee engagement and workforce composition.</w:t>
      </w:r>
    </w:p>
    <w:p>
      <w:pPr>
        <w:spacing w:after="0" w:line="28" w:lineRule="exact"/>
        <w:rPr>
          <w:rFonts w:ascii="Arial" w:cs="Arial" w:eastAsia="Arial" w:hAnsi="Arial"/>
          <w:sz w:val="17"/>
          <w:szCs w:val="17"/>
          <w:color w:val="00A0E0"/>
        </w:rPr>
      </w:pPr>
    </w:p>
    <w:p>
      <w:pPr>
        <w:ind w:left="251" w:right="500" w:hanging="251"/>
        <w:spacing w:after="0" w:line="267" w:lineRule="auto"/>
        <w:tabs>
          <w:tab w:leader="none" w:pos="251" w:val="left"/>
        </w:tabs>
        <w:numPr>
          <w:ilvl w:val="0"/>
          <w:numId w:val="36"/>
        </w:numPr>
        <w:rPr>
          <w:rFonts w:ascii="Arial" w:cs="Arial" w:eastAsia="Arial" w:hAnsi="Arial"/>
          <w:sz w:val="17"/>
          <w:szCs w:val="17"/>
          <w:color w:val="00A0E0"/>
        </w:rPr>
      </w:pPr>
      <w:r>
        <w:rPr>
          <w:rFonts w:ascii="Arial" w:cs="Arial" w:eastAsia="Arial" w:hAnsi="Arial"/>
          <w:sz w:val="17"/>
          <w:szCs w:val="17"/>
          <w:color w:val="auto"/>
        </w:rPr>
        <w:t>Reports its discussions to the full Board for consideration and action when appropriate.</w:t>
      </w:r>
    </w:p>
    <w:p>
      <w:pPr>
        <w:spacing w:after="0" w:line="159" w:lineRule="exact"/>
        <w:rPr>
          <w:sz w:val="20"/>
          <w:szCs w:val="20"/>
          <w:color w:val="auto"/>
        </w:rPr>
      </w:pPr>
    </w:p>
    <w:p>
      <w:pPr>
        <w:sectPr>
          <w:pgSz w:w="11900" w:h="16838" w:orient="portrait"/>
          <w:cols w:equalWidth="0" w:num="2">
            <w:col w:w="5320" w:space="529"/>
            <w:col w:w="5391"/>
          </w:cols>
          <w:pgMar w:left="320" w:top="122" w:right="339" w:bottom="1440" w:gutter="0" w:footer="0" w:header="0"/>
          <w:type w:val="continuous"/>
        </w:sectPr>
      </w:pPr>
    </w:p>
    <w:p>
      <w:pPr>
        <w:spacing w:after="0"/>
        <w:rPr>
          <w:sz w:val="20"/>
          <w:szCs w:val="20"/>
          <w:color w:val="auto"/>
        </w:rPr>
      </w:pPr>
      <w:r>
        <w:rPr>
          <w:rFonts w:ascii="Arial" w:cs="Arial" w:eastAsia="Arial" w:hAnsi="Arial"/>
          <w:sz w:val="17"/>
          <w:szCs w:val="17"/>
          <w:color w:val="auto"/>
        </w:rPr>
        <w:t>Each member of our Compensation Committee qualifies as a “non-employee director” under Rule 16b-3 under the Exchange Act.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Compensation Committee Report is included on page 40.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17</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291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Governance and Corporate Responsibility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9429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942975"/>
                    </a:xfrm>
                    <a:prstGeom prst="rect">
                      <a:avLst/>
                    </a:prstGeom>
                    <a:noFill/>
                  </pic:spPr>
                </pic:pic>
              </a:graphicData>
            </a:graphic>
          </wp:anchor>
        </w:drawing>
      </w:r>
    </w:p>
    <w:p>
      <w:pPr>
        <w:spacing w:after="0" w:line="191" w:lineRule="exact"/>
        <w:rPr>
          <w:sz w:val="20"/>
          <w:szCs w:val="20"/>
          <w:color w:val="auto"/>
        </w:rPr>
      </w:pPr>
    </w:p>
    <w:p>
      <w:pPr>
        <w:ind w:left="1640"/>
        <w:spacing w:after="0"/>
        <w:rPr>
          <w:sz w:val="20"/>
          <w:szCs w:val="20"/>
          <w:color w:val="auto"/>
        </w:rPr>
      </w:pPr>
      <w:r>
        <w:rPr>
          <w:rFonts w:ascii="Arial" w:cs="Arial" w:eastAsia="Arial" w:hAnsi="Arial"/>
          <w:sz w:val="20"/>
          <w:szCs w:val="20"/>
          <w:b w:val="1"/>
          <w:bCs w:val="1"/>
          <w:color w:val="auto"/>
        </w:rPr>
        <w:t>Kenneth J. Bacon (Chair)</w:t>
      </w:r>
    </w:p>
    <w:p>
      <w:pPr>
        <w:spacing w:after="0" w:line="163" w:lineRule="exact"/>
        <w:rPr>
          <w:sz w:val="20"/>
          <w:szCs w:val="20"/>
          <w:color w:val="auto"/>
        </w:rPr>
      </w:pPr>
    </w:p>
    <w:p>
      <w:pPr>
        <w:jc w:val="both"/>
        <w:ind w:left="1640"/>
        <w:spacing w:after="0"/>
        <w:tabs>
          <w:tab w:leader="none" w:pos="5520" w:val="left"/>
        </w:tabs>
        <w:rPr>
          <w:sz w:val="20"/>
          <w:szCs w:val="20"/>
          <w:color w:val="auto"/>
        </w:rPr>
      </w:pPr>
      <w:r>
        <w:rPr>
          <w:rFonts w:ascii="Arial" w:cs="Arial" w:eastAsia="Arial" w:hAnsi="Arial"/>
          <w:sz w:val="17"/>
          <w:szCs w:val="17"/>
          <w:b w:val="1"/>
          <w:bCs w:val="1"/>
          <w:color w:val="00A0E0"/>
        </w:rPr>
        <w:t>Members</w:t>
      </w:r>
      <w:r>
        <w:rPr>
          <w:sz w:val="20"/>
          <w:szCs w:val="20"/>
          <w:color w:val="auto"/>
        </w:rPr>
        <w:tab/>
      </w:r>
      <w:r>
        <w:rPr>
          <w:rFonts w:ascii="Arial" w:cs="Arial" w:eastAsia="Arial" w:hAnsi="Arial"/>
          <w:sz w:val="17"/>
          <w:szCs w:val="17"/>
          <w:b w:val="1"/>
          <w:bCs w:val="1"/>
          <w:color w:val="00A0E0"/>
        </w:rPr>
        <w:t xml:space="preserve">Meetings in 2024: </w:t>
      </w:r>
      <w:r>
        <w:rPr>
          <w:rFonts w:ascii="Arial" w:cs="Arial" w:eastAsia="Arial" w:hAnsi="Arial"/>
          <w:sz w:val="17"/>
          <w:szCs w:val="17"/>
          <w:b w:val="1"/>
          <w:bCs w:val="1"/>
          <w:color w:val="000000"/>
        </w:rPr>
        <w:t>5</w:t>
      </w:r>
    </w:p>
    <w:p>
      <w:pPr>
        <w:spacing w:after="0" w:line="61"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Madeline S. Bell</w:t>
      </w:r>
    </w:p>
    <w:p>
      <w:pPr>
        <w:spacing w:after="0" w:line="75"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Jeffrey A. Honickman</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00A0E0"/>
        </w:rPr>
        <w:t>Key Responsibilities</w:t>
      </w:r>
    </w:p>
    <w:p>
      <w:pPr>
        <w:spacing w:after="0" w:line="61"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7"/>
          <w:szCs w:val="17"/>
          <w:color w:val="00A0E0"/>
        </w:rPr>
      </w:pPr>
      <w:r>
        <w:rPr>
          <w:rFonts w:ascii="Arial" w:cs="Arial" w:eastAsia="Arial" w:hAnsi="Arial"/>
          <w:sz w:val="17"/>
          <w:szCs w:val="17"/>
          <w:color w:val="auto"/>
        </w:rPr>
        <w:t>Provides general oversight of corporate governance.</w:t>
      </w:r>
    </w:p>
    <w:p>
      <w:pPr>
        <w:spacing w:after="0" w:line="61" w:lineRule="exact"/>
        <w:rPr>
          <w:rFonts w:ascii="Arial" w:cs="Arial" w:eastAsia="Arial" w:hAnsi="Arial"/>
          <w:sz w:val="17"/>
          <w:szCs w:val="17"/>
          <w:color w:val="00A0E0"/>
        </w:rPr>
      </w:pPr>
    </w:p>
    <w:p>
      <w:pPr>
        <w:ind w:left="260" w:right="400" w:hanging="252"/>
        <w:spacing w:after="0" w:line="267" w:lineRule="auto"/>
        <w:tabs>
          <w:tab w:leader="none" w:pos="260" w:val="left"/>
        </w:tabs>
        <w:numPr>
          <w:ilvl w:val="0"/>
          <w:numId w:val="37"/>
        </w:numPr>
        <w:rPr>
          <w:rFonts w:ascii="Arial" w:cs="Arial" w:eastAsia="Arial" w:hAnsi="Arial"/>
          <w:sz w:val="17"/>
          <w:szCs w:val="17"/>
          <w:color w:val="00A0E0"/>
        </w:rPr>
      </w:pPr>
      <w:r>
        <w:rPr>
          <w:rFonts w:ascii="Arial" w:cs="Arial" w:eastAsia="Arial" w:hAnsi="Arial"/>
          <w:sz w:val="17"/>
          <w:szCs w:val="17"/>
          <w:color w:val="auto"/>
        </w:rPr>
        <w:t>Oversees culture of compliance and ethical business conduct, including compliance program.</w:t>
      </w:r>
    </w:p>
    <w:p>
      <w:pPr>
        <w:spacing w:after="0" w:line="10" w:lineRule="exact"/>
        <w:rPr>
          <w:rFonts w:ascii="Arial" w:cs="Arial" w:eastAsia="Arial" w:hAnsi="Arial"/>
          <w:sz w:val="17"/>
          <w:szCs w:val="17"/>
          <w:color w:val="00A0E0"/>
        </w:rPr>
      </w:pPr>
    </w:p>
    <w:p>
      <w:pPr>
        <w:ind w:left="260" w:right="80" w:hanging="252"/>
        <w:spacing w:after="0" w:line="267" w:lineRule="auto"/>
        <w:tabs>
          <w:tab w:leader="none" w:pos="260" w:val="left"/>
        </w:tabs>
        <w:numPr>
          <w:ilvl w:val="0"/>
          <w:numId w:val="37"/>
        </w:numPr>
        <w:rPr>
          <w:rFonts w:ascii="Arial" w:cs="Arial" w:eastAsia="Arial" w:hAnsi="Arial"/>
          <w:sz w:val="17"/>
          <w:szCs w:val="17"/>
          <w:color w:val="00A0E0"/>
        </w:rPr>
      </w:pPr>
      <w:r>
        <w:rPr>
          <w:rFonts w:ascii="Arial" w:cs="Arial" w:eastAsia="Arial" w:hAnsi="Arial"/>
          <w:sz w:val="17"/>
          <w:szCs w:val="17"/>
          <w:color w:val="auto"/>
        </w:rPr>
        <w:t>Reviews significant legal and regulatory compliance risks, such as privacy, AI and data governance.</w:t>
      </w:r>
    </w:p>
    <w:p>
      <w:pPr>
        <w:spacing w:after="0" w:line="10" w:lineRule="exact"/>
        <w:rPr>
          <w:rFonts w:ascii="Arial" w:cs="Arial" w:eastAsia="Arial" w:hAnsi="Arial"/>
          <w:sz w:val="17"/>
          <w:szCs w:val="17"/>
          <w:color w:val="00A0E0"/>
        </w:rPr>
      </w:pPr>
    </w:p>
    <w:p>
      <w:pPr>
        <w:ind w:left="260" w:hanging="252"/>
        <w:spacing w:after="0" w:line="267" w:lineRule="auto"/>
        <w:tabs>
          <w:tab w:leader="none" w:pos="260" w:val="left"/>
        </w:tabs>
        <w:numPr>
          <w:ilvl w:val="0"/>
          <w:numId w:val="37"/>
        </w:numPr>
        <w:rPr>
          <w:rFonts w:ascii="Arial" w:cs="Arial" w:eastAsia="Arial" w:hAnsi="Arial"/>
          <w:sz w:val="17"/>
          <w:szCs w:val="17"/>
          <w:color w:val="00A0E0"/>
        </w:rPr>
      </w:pPr>
      <w:r>
        <w:rPr>
          <w:rFonts w:ascii="Arial" w:cs="Arial" w:eastAsia="Arial" w:hAnsi="Arial"/>
          <w:sz w:val="17"/>
          <w:szCs w:val="17"/>
          <w:color w:val="auto"/>
        </w:rPr>
        <w:t>Oversees, monitors and receives reports on workplace harassment and discrimination matters.</w:t>
      </w:r>
    </w:p>
    <w:p>
      <w:pPr>
        <w:spacing w:after="0" w:line="10" w:lineRule="exact"/>
        <w:rPr>
          <w:rFonts w:ascii="Arial" w:cs="Arial" w:eastAsia="Arial" w:hAnsi="Arial"/>
          <w:sz w:val="17"/>
          <w:szCs w:val="17"/>
          <w:color w:val="00A0E0"/>
        </w:rPr>
      </w:pPr>
    </w:p>
    <w:p>
      <w:pPr>
        <w:ind w:left="260" w:right="160" w:hanging="252"/>
        <w:spacing w:after="0" w:line="267" w:lineRule="auto"/>
        <w:tabs>
          <w:tab w:leader="none" w:pos="260" w:val="left"/>
        </w:tabs>
        <w:numPr>
          <w:ilvl w:val="0"/>
          <w:numId w:val="37"/>
        </w:numPr>
        <w:rPr>
          <w:rFonts w:ascii="Arial" w:cs="Arial" w:eastAsia="Arial" w:hAnsi="Arial"/>
          <w:sz w:val="17"/>
          <w:szCs w:val="17"/>
          <w:color w:val="00A0E0"/>
        </w:rPr>
      </w:pPr>
      <w:r>
        <w:rPr>
          <w:rFonts w:ascii="Arial" w:cs="Arial" w:eastAsia="Arial" w:hAnsi="Arial"/>
          <w:sz w:val="17"/>
          <w:szCs w:val="17"/>
          <w:color w:val="auto"/>
        </w:rPr>
        <w:t>Reviews and assesses our corporate social responsibility report and significant environmental and social issues, risks and trends.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251" w:right="20" w:hanging="251"/>
        <w:spacing w:after="0" w:line="249" w:lineRule="auto"/>
        <w:tabs>
          <w:tab w:leader="none" w:pos="251" w:val="left"/>
        </w:tabs>
        <w:numPr>
          <w:ilvl w:val="0"/>
          <w:numId w:val="38"/>
        </w:numPr>
        <w:rPr>
          <w:rFonts w:ascii="Arial" w:cs="Arial" w:eastAsia="Arial" w:hAnsi="Arial"/>
          <w:sz w:val="17"/>
          <w:szCs w:val="17"/>
          <w:color w:val="00A0E0"/>
        </w:rPr>
      </w:pPr>
      <w:r>
        <w:rPr>
          <w:rFonts w:ascii="Arial" w:cs="Arial" w:eastAsia="Arial" w:hAnsi="Arial"/>
          <w:sz w:val="17"/>
          <w:szCs w:val="17"/>
          <w:color w:val="auto"/>
        </w:rPr>
        <w:t>Oversees our approach to political and lobbying activities, including by receiving periodic reports on our political contributions, lobbying and trade association activities.</w:t>
      </w:r>
    </w:p>
    <w:p>
      <w:pPr>
        <w:spacing w:after="0" w:line="26" w:lineRule="exact"/>
        <w:rPr>
          <w:rFonts w:ascii="Arial" w:cs="Arial" w:eastAsia="Arial" w:hAnsi="Arial"/>
          <w:sz w:val="17"/>
          <w:szCs w:val="17"/>
          <w:color w:val="00A0E0"/>
        </w:rPr>
      </w:pPr>
    </w:p>
    <w:p>
      <w:pPr>
        <w:ind w:left="251" w:right="460" w:hanging="251"/>
        <w:spacing w:after="0" w:line="267" w:lineRule="auto"/>
        <w:tabs>
          <w:tab w:leader="none" w:pos="251" w:val="left"/>
        </w:tabs>
        <w:numPr>
          <w:ilvl w:val="0"/>
          <w:numId w:val="38"/>
        </w:numPr>
        <w:rPr>
          <w:rFonts w:ascii="Arial" w:cs="Arial" w:eastAsia="Arial" w:hAnsi="Arial"/>
          <w:sz w:val="17"/>
          <w:szCs w:val="17"/>
          <w:color w:val="00A0E0"/>
        </w:rPr>
      </w:pPr>
      <w:r>
        <w:rPr>
          <w:rFonts w:ascii="Arial" w:cs="Arial" w:eastAsia="Arial" w:hAnsi="Arial"/>
          <w:sz w:val="17"/>
          <w:szCs w:val="17"/>
          <w:color w:val="auto"/>
        </w:rPr>
        <w:t>Reports its discussions to the full Board for consideration and action when appropriate.</w:t>
      </w:r>
    </w:p>
    <w:p>
      <w:pPr>
        <w:spacing w:after="0" w:line="1117" w:lineRule="exact"/>
        <w:rPr>
          <w:sz w:val="20"/>
          <w:szCs w:val="20"/>
          <w:color w:val="auto"/>
        </w:rPr>
      </w:pPr>
    </w:p>
    <w:p>
      <w:pPr>
        <w:sectPr>
          <w:pgSz w:w="11900" w:h="16838" w:orient="portrait"/>
          <w:cols w:equalWidth="0" w:num="2">
            <w:col w:w="5340" w:space="509"/>
            <w:col w:w="5351"/>
          </w:cols>
          <w:pgMar w:left="320" w:top="121" w:right="379" w:bottom="1440" w:gutter="0" w:footer="0" w:header="0"/>
          <w:type w:val="continuous"/>
        </w:sectPr>
      </w:pPr>
    </w:p>
    <w:p>
      <w:pPr>
        <w:spacing w:after="0"/>
        <w:rPr>
          <w:sz w:val="20"/>
          <w:szCs w:val="20"/>
          <w:color w:val="auto"/>
        </w:rPr>
      </w:pPr>
      <w:r>
        <w:rPr>
          <w:rFonts w:ascii="Arial" w:cs="Arial" w:eastAsia="Arial" w:hAnsi="Arial"/>
          <w:sz w:val="25"/>
          <w:szCs w:val="25"/>
          <w:color w:val="auto"/>
        </w:rPr>
        <w:t>Board and Committee Strategy and Risk Oversight Responsibilities</w:t>
      </w:r>
    </w:p>
    <w:p>
      <w:pPr>
        <w:spacing w:after="0" w:line="226" w:lineRule="exact"/>
        <w:rPr>
          <w:sz w:val="20"/>
          <w:szCs w:val="20"/>
          <w:color w:val="auto"/>
        </w:rPr>
      </w:pPr>
    </w:p>
    <w:p>
      <w:pPr>
        <w:jc w:val="both"/>
        <w:ind w:right="80"/>
        <w:spacing w:after="0" w:line="249" w:lineRule="auto"/>
        <w:rPr>
          <w:sz w:val="20"/>
          <w:szCs w:val="20"/>
          <w:color w:val="auto"/>
        </w:rPr>
      </w:pPr>
      <w:r>
        <w:rPr>
          <w:rFonts w:ascii="Arial" w:cs="Arial" w:eastAsia="Arial" w:hAnsi="Arial"/>
          <w:sz w:val="17"/>
          <w:szCs w:val="17"/>
          <w:color w:val="auto"/>
        </w:rPr>
        <w:t>Our Board and its committees provide guidance to and oversight of management with respect to our business strategy throughout the year. Various elements of strategy are discussed at every Board meeting, and our management is charged with executing the business strategy and updating the Board on progress.</w:t>
      </w:r>
    </w:p>
    <w:p>
      <w:pPr>
        <w:spacing w:after="0" w:line="17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While active risk management and responsibility for disclosure controls is primarily the responsibility of our management, our Board understands the significant risks facing our company. Our Board, as a whole and through its committees, exercises an appropriate degree of risk oversight, including risks associated with the design and operation of disclosure controls. Our management, with involvement and input from our Board, performs an annual ERM assessment to identify and manage key existing and emerging risks for our company. Our ERM process assesses the characteristics and circumstances of the evolving business environment at the time and seeks to identify both the potential impacts to our company of a particular risk and the velocity with which the risk may manifest (e.g., rapidly in less than three months or more slowly in more than twelve months). Members of our disclosure committee participate in the ERM process, and the ERM output helps inform how we present the risks facing our company in the “Risk Factors” section of our Annual Report on Form 10-K, which is also reviewed with our Audit Committee.</w:t>
      </w:r>
    </w:p>
    <w:p>
      <w:pPr>
        <w:spacing w:after="0" w:line="184" w:lineRule="exact"/>
        <w:rPr>
          <w:sz w:val="20"/>
          <w:szCs w:val="20"/>
          <w:color w:val="auto"/>
        </w:rPr>
      </w:pPr>
    </w:p>
    <w:p>
      <w:pPr>
        <w:ind w:right="300"/>
        <w:spacing w:after="0" w:line="239" w:lineRule="auto"/>
        <w:rPr>
          <w:sz w:val="20"/>
          <w:szCs w:val="20"/>
          <w:color w:val="auto"/>
        </w:rPr>
      </w:pPr>
      <w:r>
        <w:rPr>
          <w:rFonts w:ascii="Arial" w:cs="Arial" w:eastAsia="Arial" w:hAnsi="Arial"/>
          <w:sz w:val="17"/>
          <w:szCs w:val="17"/>
          <w:color w:val="auto"/>
        </w:rPr>
        <w:t>Our senior executive management team has the overall responsibility for, and oversight of, our ERM process, and an ERM steering committee manages the process, with one or more senior business executives then monitoring and managing each of the identified risks. Regular business presentations and discussions throughout the year at the Board or its committees, both from management and external experts as appropriate, highlight significant relevant risks and exposures, including those listed below as core enterprise risks identified through our ERM process. In addition to the ERM process, our Corporate Chief Compliance Officer, who reports to our Chief Legal Officer, leads an annual compliance risk assessment process, which is presented to our Governance Committee.</w:t>
      </w:r>
    </w:p>
    <w:p>
      <w:pPr>
        <w:spacing w:after="0" w:line="18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Our Board and its committees exercise their respective roles in strategy and risk oversight in a variety of ways, as set forth below. We believe the Board as a whole is ultimately accountable for risk oversight, but various Board committees may lead and inform the Board with regard to specific risks. To that end, our full Board receives an annual presentation on the results of the core enterprise risks identified through our ERM process for Board-level oversight, with our Audit Committee overseeing the process by which we perform our ERM exercise. Certain risks may be addressed by both the Board and its committees (such as succession planning and cybersecurity) or only by our Board or a committee, depending on the subject matter and significance of a particular risk. If discussion of a risk is covered during a committee meeting, the committee chair reports on the committee’s discussion to the full Board for consideration and action when appropriate.</w:t>
      </w:r>
    </w:p>
    <w:p>
      <w:pPr>
        <w:spacing w:after="0" w:line="186"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2146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Board of Directors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0E0"/>
        </w:rPr>
        <w:t>Oversight of Core Enterprise Risks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800" w:type="dxa"/>
            <w:vAlign w:val="bottom"/>
            <w:shd w:val="clear" w:color="auto" w:fill="EAF4FB"/>
          </w:tcPr>
          <w:p>
            <w:pPr>
              <w:jc w:val="center"/>
              <w:spacing w:after="0"/>
              <w:rPr>
                <w:sz w:val="20"/>
                <w:szCs w:val="20"/>
                <w:color w:val="auto"/>
              </w:rPr>
            </w:pPr>
            <w:r>
              <w:rPr>
                <w:rFonts w:ascii="Arial" w:cs="Arial" w:eastAsia="Arial" w:hAnsi="Arial"/>
                <w:sz w:val="17"/>
                <w:szCs w:val="17"/>
                <w:color w:val="auto"/>
              </w:rPr>
              <w:t>Competitive</w:t>
            </w:r>
          </w:p>
        </w:tc>
        <w:tc>
          <w:tcPr>
            <w:tcW w:w="1960" w:type="dxa"/>
            <w:vAlign w:val="bottom"/>
            <w:shd w:val="clear" w:color="auto" w:fill="EAF4FB"/>
          </w:tcPr>
          <w:p>
            <w:pPr>
              <w:jc w:val="center"/>
              <w:ind w:right="35"/>
              <w:spacing w:after="0"/>
              <w:rPr>
                <w:sz w:val="20"/>
                <w:szCs w:val="20"/>
                <w:color w:val="auto"/>
              </w:rPr>
            </w:pPr>
            <w:r>
              <w:rPr>
                <w:rFonts w:ascii="Arial" w:cs="Arial" w:eastAsia="Arial" w:hAnsi="Arial"/>
                <w:sz w:val="17"/>
                <w:szCs w:val="17"/>
                <w:color w:val="auto"/>
              </w:rPr>
              <w:t>Reputational</w:t>
            </w:r>
          </w:p>
        </w:tc>
        <w:tc>
          <w:tcPr>
            <w:tcW w:w="1920" w:type="dxa"/>
            <w:vAlign w:val="bottom"/>
            <w:shd w:val="clear" w:color="auto" w:fill="EAF4FB"/>
          </w:tcPr>
          <w:p>
            <w:pPr>
              <w:jc w:val="center"/>
              <w:spacing w:after="0"/>
              <w:rPr>
                <w:sz w:val="20"/>
                <w:szCs w:val="20"/>
                <w:color w:val="auto"/>
              </w:rPr>
            </w:pPr>
            <w:r>
              <w:rPr>
                <w:rFonts w:ascii="Arial" w:cs="Arial" w:eastAsia="Arial" w:hAnsi="Arial"/>
                <w:sz w:val="17"/>
                <w:szCs w:val="17"/>
                <w:color w:val="auto"/>
              </w:rPr>
              <w:t>Succession</w:t>
            </w:r>
          </w:p>
        </w:tc>
        <w:tc>
          <w:tcPr>
            <w:tcW w:w="1740" w:type="dxa"/>
            <w:vAlign w:val="bottom"/>
            <w:shd w:val="clear" w:color="auto" w:fill="EAF4FB"/>
          </w:tcPr>
          <w:p>
            <w:pPr>
              <w:jc w:val="center"/>
              <w:spacing w:after="0"/>
              <w:rPr>
                <w:sz w:val="20"/>
                <w:szCs w:val="20"/>
                <w:color w:val="auto"/>
              </w:rPr>
            </w:pPr>
            <w:r>
              <w:rPr>
                <w:rFonts w:ascii="Arial" w:cs="Arial" w:eastAsia="Arial" w:hAnsi="Arial"/>
                <w:sz w:val="17"/>
                <w:szCs w:val="17"/>
                <w:color w:val="auto"/>
              </w:rPr>
              <w:t>Capital</w:t>
            </w:r>
          </w:p>
        </w:tc>
        <w:tc>
          <w:tcPr>
            <w:tcW w:w="2120" w:type="dxa"/>
            <w:vAlign w:val="bottom"/>
            <w:shd w:val="clear" w:color="auto" w:fill="EAF4FB"/>
          </w:tcPr>
          <w:p>
            <w:pPr>
              <w:jc w:val="center"/>
              <w:ind w:left="35"/>
              <w:spacing w:after="0"/>
              <w:rPr>
                <w:sz w:val="20"/>
                <w:szCs w:val="20"/>
                <w:color w:val="auto"/>
              </w:rPr>
            </w:pPr>
            <w:r>
              <w:rPr>
                <w:rFonts w:ascii="Arial" w:cs="Arial" w:eastAsia="Arial" w:hAnsi="Arial"/>
                <w:sz w:val="17"/>
                <w:szCs w:val="17"/>
                <w:color w:val="auto"/>
                <w:w w:val="99"/>
              </w:rPr>
              <w:t>Cybersecurity &amp;</w:t>
            </w:r>
          </w:p>
        </w:tc>
        <w:tc>
          <w:tcPr>
            <w:tcW w:w="1700" w:type="dxa"/>
            <w:vAlign w:val="bottom"/>
            <w:shd w:val="clear" w:color="auto" w:fill="EAF4FB"/>
          </w:tcPr>
          <w:p>
            <w:pPr>
              <w:jc w:val="center"/>
              <w:spacing w:after="0"/>
              <w:rPr>
                <w:sz w:val="20"/>
                <w:szCs w:val="20"/>
                <w:color w:val="auto"/>
              </w:rPr>
            </w:pPr>
            <w:r>
              <w:rPr>
                <w:rFonts w:ascii="Arial" w:cs="Arial" w:eastAsia="Arial" w:hAnsi="Arial"/>
                <w:sz w:val="17"/>
                <w:szCs w:val="17"/>
                <w:color w:val="auto"/>
              </w:rPr>
              <w:t>Legal &amp;</w:t>
            </w:r>
          </w:p>
        </w:tc>
      </w:tr>
      <w:tr>
        <w:trPr>
          <w:trHeight w:val="225"/>
        </w:trPr>
        <w:tc>
          <w:tcPr>
            <w:tcW w:w="1800" w:type="dxa"/>
            <w:vAlign w:val="bottom"/>
            <w:shd w:val="clear" w:color="auto" w:fill="EAF4FB"/>
          </w:tcPr>
          <w:p>
            <w:pPr>
              <w:jc w:val="center"/>
              <w:spacing w:after="0"/>
              <w:rPr>
                <w:sz w:val="20"/>
                <w:szCs w:val="20"/>
                <w:color w:val="auto"/>
              </w:rPr>
            </w:pPr>
            <w:r>
              <w:rPr>
                <w:rFonts w:ascii="Arial" w:cs="Arial" w:eastAsia="Arial" w:hAnsi="Arial"/>
                <w:sz w:val="17"/>
                <w:szCs w:val="17"/>
                <w:color w:val="auto"/>
              </w:rPr>
              <w:t>Risks</w:t>
            </w:r>
          </w:p>
        </w:tc>
        <w:tc>
          <w:tcPr>
            <w:tcW w:w="1960" w:type="dxa"/>
            <w:vAlign w:val="bottom"/>
            <w:shd w:val="clear" w:color="auto" w:fill="EAF4FB"/>
          </w:tcPr>
          <w:p>
            <w:pPr>
              <w:jc w:val="center"/>
              <w:ind w:right="15"/>
              <w:spacing w:after="0"/>
              <w:rPr>
                <w:sz w:val="20"/>
                <w:szCs w:val="20"/>
                <w:color w:val="auto"/>
              </w:rPr>
            </w:pPr>
            <w:r>
              <w:rPr>
                <w:rFonts w:ascii="Arial" w:cs="Arial" w:eastAsia="Arial" w:hAnsi="Arial"/>
                <w:sz w:val="17"/>
                <w:szCs w:val="17"/>
                <w:color w:val="auto"/>
              </w:rPr>
              <w:t>Risks</w:t>
            </w:r>
          </w:p>
        </w:tc>
        <w:tc>
          <w:tcPr>
            <w:tcW w:w="1920" w:type="dxa"/>
            <w:vAlign w:val="bottom"/>
            <w:shd w:val="clear" w:color="auto" w:fill="EAF4FB"/>
          </w:tcPr>
          <w:p>
            <w:pPr>
              <w:jc w:val="center"/>
              <w:spacing w:after="0"/>
              <w:rPr>
                <w:sz w:val="20"/>
                <w:szCs w:val="20"/>
                <w:color w:val="auto"/>
              </w:rPr>
            </w:pPr>
            <w:r>
              <w:rPr>
                <w:rFonts w:ascii="Arial" w:cs="Arial" w:eastAsia="Arial" w:hAnsi="Arial"/>
                <w:sz w:val="17"/>
                <w:szCs w:val="17"/>
                <w:color w:val="auto"/>
              </w:rPr>
              <w:t>Planning</w:t>
            </w:r>
          </w:p>
        </w:tc>
        <w:tc>
          <w:tcPr>
            <w:tcW w:w="1740" w:type="dxa"/>
            <w:vAlign w:val="bottom"/>
            <w:shd w:val="clear" w:color="auto" w:fill="EAF4FB"/>
          </w:tcPr>
          <w:p>
            <w:pPr>
              <w:jc w:val="center"/>
              <w:spacing w:after="0"/>
              <w:rPr>
                <w:sz w:val="20"/>
                <w:szCs w:val="20"/>
                <w:color w:val="auto"/>
              </w:rPr>
            </w:pPr>
            <w:r>
              <w:rPr>
                <w:rFonts w:ascii="Arial" w:cs="Arial" w:eastAsia="Arial" w:hAnsi="Arial"/>
                <w:sz w:val="17"/>
                <w:szCs w:val="17"/>
                <w:color w:val="auto"/>
              </w:rPr>
              <w:t>Allocation</w:t>
            </w:r>
          </w:p>
        </w:tc>
        <w:tc>
          <w:tcPr>
            <w:tcW w:w="2120" w:type="dxa"/>
            <w:vAlign w:val="bottom"/>
            <w:shd w:val="clear" w:color="auto" w:fill="EAF4FB"/>
          </w:tcPr>
          <w:p>
            <w:pPr>
              <w:jc w:val="center"/>
              <w:ind w:left="35"/>
              <w:spacing w:after="0"/>
              <w:rPr>
                <w:sz w:val="20"/>
                <w:szCs w:val="20"/>
                <w:color w:val="auto"/>
              </w:rPr>
            </w:pPr>
            <w:r>
              <w:rPr>
                <w:rFonts w:ascii="Arial" w:cs="Arial" w:eastAsia="Arial" w:hAnsi="Arial"/>
                <w:sz w:val="17"/>
                <w:szCs w:val="17"/>
                <w:color w:val="auto"/>
              </w:rPr>
              <w:t>Privacy</w:t>
            </w:r>
          </w:p>
        </w:tc>
        <w:tc>
          <w:tcPr>
            <w:tcW w:w="1700" w:type="dxa"/>
            <w:vAlign w:val="bottom"/>
            <w:shd w:val="clear" w:color="auto" w:fill="EAF4FB"/>
          </w:tcPr>
          <w:p>
            <w:pPr>
              <w:jc w:val="center"/>
              <w:ind w:right="15"/>
              <w:spacing w:after="0"/>
              <w:rPr>
                <w:sz w:val="20"/>
                <w:szCs w:val="20"/>
                <w:color w:val="auto"/>
              </w:rPr>
            </w:pPr>
            <w:r>
              <w:rPr>
                <w:rFonts w:ascii="Arial" w:cs="Arial" w:eastAsia="Arial" w:hAnsi="Arial"/>
                <w:sz w:val="17"/>
                <w:szCs w:val="17"/>
                <w:color w:val="auto"/>
              </w:rPr>
              <w:t>Regulatory</w:t>
            </w:r>
          </w:p>
        </w:tc>
      </w:tr>
      <w:tr>
        <w:trPr>
          <w:trHeight w:val="95"/>
        </w:trPr>
        <w:tc>
          <w:tcPr>
            <w:tcW w:w="1800" w:type="dxa"/>
            <w:vAlign w:val="bottom"/>
            <w:shd w:val="clear" w:color="auto" w:fill="EAF4FB"/>
          </w:tcPr>
          <w:p>
            <w:pPr>
              <w:spacing w:after="0"/>
              <w:rPr>
                <w:sz w:val="8"/>
                <w:szCs w:val="8"/>
                <w:color w:val="auto"/>
              </w:rPr>
            </w:pPr>
          </w:p>
        </w:tc>
        <w:tc>
          <w:tcPr>
            <w:tcW w:w="1960" w:type="dxa"/>
            <w:vAlign w:val="bottom"/>
            <w:shd w:val="clear" w:color="auto" w:fill="EAF4FB"/>
          </w:tcPr>
          <w:p>
            <w:pPr>
              <w:spacing w:after="0"/>
              <w:rPr>
                <w:sz w:val="8"/>
                <w:szCs w:val="8"/>
                <w:color w:val="auto"/>
              </w:rPr>
            </w:pPr>
          </w:p>
        </w:tc>
        <w:tc>
          <w:tcPr>
            <w:tcW w:w="1920" w:type="dxa"/>
            <w:vAlign w:val="bottom"/>
            <w:shd w:val="clear" w:color="auto" w:fill="EAF4FB"/>
          </w:tcPr>
          <w:p>
            <w:pPr>
              <w:spacing w:after="0"/>
              <w:rPr>
                <w:sz w:val="8"/>
                <w:szCs w:val="8"/>
                <w:color w:val="auto"/>
              </w:rPr>
            </w:pPr>
          </w:p>
        </w:tc>
        <w:tc>
          <w:tcPr>
            <w:tcW w:w="1740" w:type="dxa"/>
            <w:vAlign w:val="bottom"/>
            <w:shd w:val="clear" w:color="auto" w:fill="EAF4FB"/>
          </w:tcPr>
          <w:p>
            <w:pPr>
              <w:spacing w:after="0"/>
              <w:rPr>
                <w:sz w:val="8"/>
                <w:szCs w:val="8"/>
                <w:color w:val="auto"/>
              </w:rPr>
            </w:pPr>
          </w:p>
        </w:tc>
        <w:tc>
          <w:tcPr>
            <w:tcW w:w="2120" w:type="dxa"/>
            <w:vAlign w:val="bottom"/>
            <w:shd w:val="clear" w:color="auto" w:fill="EAF4FB"/>
          </w:tcPr>
          <w:p>
            <w:pPr>
              <w:spacing w:after="0"/>
              <w:rPr>
                <w:sz w:val="8"/>
                <w:szCs w:val="8"/>
                <w:color w:val="auto"/>
              </w:rPr>
            </w:pPr>
          </w:p>
        </w:tc>
        <w:tc>
          <w:tcPr>
            <w:tcW w:w="1700" w:type="dxa"/>
            <w:vAlign w:val="bottom"/>
            <w:shd w:val="clear" w:color="auto" w:fill="EAF4FB"/>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2228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2288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Audit</w:t>
      </w:r>
    </w:p>
    <w:p>
      <w:pPr>
        <w:spacing w:after="0" w:line="21"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Committee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Oversight of:</w:t>
      </w:r>
    </w:p>
    <w:p>
      <w:pPr>
        <w:spacing w:after="0" w:line="61" w:lineRule="exact"/>
        <w:rPr>
          <w:sz w:val="20"/>
          <w:szCs w:val="20"/>
          <w:color w:val="auto"/>
        </w:rPr>
      </w:pPr>
    </w:p>
    <w:p>
      <w:pPr>
        <w:ind w:left="480" w:hanging="229"/>
        <w:spacing w:after="0"/>
        <w:tabs>
          <w:tab w:leader="none" w:pos="480" w:val="left"/>
        </w:tabs>
        <w:numPr>
          <w:ilvl w:val="0"/>
          <w:numId w:val="40"/>
        </w:numPr>
        <w:rPr>
          <w:rFonts w:ascii="Times New Roman" w:cs="Times New Roman" w:eastAsia="Times New Roman" w:hAnsi="Times New Roman"/>
          <w:sz w:val="17"/>
          <w:szCs w:val="17"/>
          <w:color w:val="00A0E0"/>
        </w:rPr>
      </w:pPr>
      <w:r>
        <w:rPr>
          <w:rFonts w:ascii="Arial" w:cs="Arial" w:eastAsia="Arial" w:hAnsi="Arial"/>
          <w:sz w:val="17"/>
          <w:szCs w:val="17"/>
          <w:color w:val="auto"/>
        </w:rPr>
        <w:t>ERM assessment process</w:t>
      </w:r>
    </w:p>
    <w:p>
      <w:pPr>
        <w:spacing w:after="0" w:line="87" w:lineRule="exact"/>
        <w:rPr>
          <w:rFonts w:ascii="Times New Roman" w:cs="Times New Roman" w:eastAsia="Times New Roman" w:hAnsi="Times New Roman"/>
          <w:sz w:val="17"/>
          <w:szCs w:val="17"/>
          <w:color w:val="00A0E0"/>
        </w:rPr>
      </w:pPr>
    </w:p>
    <w:p>
      <w:pPr>
        <w:ind w:left="520" w:right="260" w:hanging="269"/>
        <w:spacing w:after="0" w:line="281" w:lineRule="auto"/>
        <w:tabs>
          <w:tab w:leader="none" w:pos="497" w:val="left"/>
        </w:tabs>
        <w:numPr>
          <w:ilvl w:val="0"/>
          <w:numId w:val="40"/>
        </w:numPr>
        <w:rPr>
          <w:rFonts w:ascii="Times New Roman" w:cs="Times New Roman" w:eastAsia="Times New Roman" w:hAnsi="Times New Roman"/>
          <w:sz w:val="17"/>
          <w:szCs w:val="17"/>
          <w:color w:val="00A0E0"/>
        </w:rPr>
      </w:pPr>
      <w:r>
        <w:rPr>
          <w:rFonts w:ascii="Arial" w:cs="Arial" w:eastAsia="Arial" w:hAnsi="Arial"/>
          <w:sz w:val="17"/>
          <w:szCs w:val="17"/>
          <w:color w:val="auto"/>
        </w:rPr>
        <w:t>Financial reporting and accounting matters</w:t>
      </w:r>
    </w:p>
    <w:p>
      <w:pPr>
        <w:ind w:left="480" w:hanging="229"/>
        <w:spacing w:after="0"/>
        <w:tabs>
          <w:tab w:leader="none" w:pos="480" w:val="left"/>
        </w:tabs>
        <w:numPr>
          <w:ilvl w:val="0"/>
          <w:numId w:val="40"/>
        </w:numPr>
        <w:rPr>
          <w:rFonts w:ascii="Times New Roman" w:cs="Times New Roman" w:eastAsia="Times New Roman" w:hAnsi="Times New Roman"/>
          <w:sz w:val="17"/>
          <w:szCs w:val="17"/>
          <w:color w:val="00A0E0"/>
        </w:rPr>
      </w:pPr>
      <w:r>
        <w:rPr>
          <w:rFonts w:ascii="Arial" w:cs="Arial" w:eastAsia="Arial" w:hAnsi="Arial"/>
          <w:sz w:val="17"/>
          <w:szCs w:val="17"/>
          <w:color w:val="auto"/>
        </w:rPr>
        <w:t>Internal and disclosure controls</w:t>
      </w:r>
    </w:p>
    <w:p>
      <w:pPr>
        <w:spacing w:after="0" w:line="73" w:lineRule="exact"/>
        <w:rPr>
          <w:rFonts w:ascii="Times New Roman" w:cs="Times New Roman" w:eastAsia="Times New Roman" w:hAnsi="Times New Roman"/>
          <w:sz w:val="17"/>
          <w:szCs w:val="17"/>
          <w:color w:val="00A0E0"/>
        </w:rPr>
      </w:pPr>
    </w:p>
    <w:p>
      <w:pPr>
        <w:ind w:left="480" w:hanging="229"/>
        <w:spacing w:after="0"/>
        <w:tabs>
          <w:tab w:leader="none" w:pos="480" w:val="left"/>
        </w:tabs>
        <w:numPr>
          <w:ilvl w:val="0"/>
          <w:numId w:val="40"/>
        </w:numPr>
        <w:rPr>
          <w:rFonts w:ascii="Times New Roman" w:cs="Times New Roman" w:eastAsia="Times New Roman" w:hAnsi="Times New Roman"/>
          <w:sz w:val="17"/>
          <w:szCs w:val="17"/>
          <w:color w:val="00A0E0"/>
        </w:rPr>
      </w:pPr>
      <w:r>
        <w:rPr>
          <w:rFonts w:ascii="Arial" w:cs="Arial" w:eastAsia="Arial" w:hAnsi="Arial"/>
          <w:sz w:val="17"/>
          <w:szCs w:val="17"/>
          <w:color w:val="auto"/>
        </w:rPr>
        <w:t>Financial risks</w:t>
      </w:r>
    </w:p>
    <w:p>
      <w:pPr>
        <w:spacing w:after="0" w:line="87" w:lineRule="exact"/>
        <w:rPr>
          <w:rFonts w:ascii="Times New Roman" w:cs="Times New Roman" w:eastAsia="Times New Roman" w:hAnsi="Times New Roman"/>
          <w:sz w:val="17"/>
          <w:szCs w:val="17"/>
          <w:color w:val="00A0E0"/>
        </w:rPr>
      </w:pPr>
    </w:p>
    <w:p>
      <w:pPr>
        <w:ind w:left="480" w:hanging="229"/>
        <w:spacing w:after="0"/>
        <w:tabs>
          <w:tab w:leader="none" w:pos="480" w:val="left"/>
        </w:tabs>
        <w:numPr>
          <w:ilvl w:val="0"/>
          <w:numId w:val="40"/>
        </w:numPr>
        <w:rPr>
          <w:rFonts w:ascii="Times New Roman" w:cs="Times New Roman" w:eastAsia="Times New Roman" w:hAnsi="Times New Roman"/>
          <w:sz w:val="17"/>
          <w:szCs w:val="17"/>
          <w:color w:val="00A0E0"/>
        </w:rPr>
      </w:pPr>
      <w:r>
        <w:rPr>
          <w:rFonts w:ascii="Arial" w:cs="Arial" w:eastAsia="Arial" w:hAnsi="Arial"/>
          <w:sz w:val="17"/>
          <w:szCs w:val="17"/>
          <w:color w:val="auto"/>
        </w:rPr>
        <w:t>Cybersecurity and business continuity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Compensation &amp; Human</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Capital Committee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Oversight of:</w:t>
      </w:r>
    </w:p>
    <w:p>
      <w:pPr>
        <w:spacing w:after="0" w:line="61" w:lineRule="exact"/>
        <w:rPr>
          <w:sz w:val="20"/>
          <w:szCs w:val="20"/>
          <w:color w:val="auto"/>
        </w:rPr>
      </w:pPr>
    </w:p>
    <w:p>
      <w:pPr>
        <w:ind w:left="300" w:hanging="235"/>
        <w:spacing w:after="0"/>
        <w:tabs>
          <w:tab w:leader="none" w:pos="300" w:val="left"/>
        </w:tabs>
        <w:numPr>
          <w:ilvl w:val="0"/>
          <w:numId w:val="41"/>
        </w:numPr>
        <w:rPr>
          <w:rFonts w:ascii="Times New Roman" w:cs="Times New Roman" w:eastAsia="Times New Roman" w:hAnsi="Times New Roman"/>
          <w:sz w:val="17"/>
          <w:szCs w:val="17"/>
          <w:color w:val="00A0E0"/>
        </w:rPr>
      </w:pPr>
      <w:r>
        <w:rPr>
          <w:rFonts w:ascii="Arial" w:cs="Arial" w:eastAsia="Arial" w:hAnsi="Arial"/>
          <w:sz w:val="17"/>
          <w:szCs w:val="17"/>
          <w:color w:val="auto"/>
        </w:rPr>
        <w:t>Executive compensation program</w:t>
      </w:r>
    </w:p>
    <w:p>
      <w:pPr>
        <w:spacing w:after="0" w:line="87" w:lineRule="exact"/>
        <w:rPr>
          <w:rFonts w:ascii="Times New Roman" w:cs="Times New Roman" w:eastAsia="Times New Roman" w:hAnsi="Times New Roman"/>
          <w:sz w:val="17"/>
          <w:szCs w:val="17"/>
          <w:color w:val="00A0E0"/>
        </w:rPr>
      </w:pPr>
    </w:p>
    <w:p>
      <w:pPr>
        <w:ind w:left="300" w:hanging="235"/>
        <w:spacing w:after="0"/>
        <w:tabs>
          <w:tab w:leader="none" w:pos="300" w:val="left"/>
        </w:tabs>
        <w:numPr>
          <w:ilvl w:val="0"/>
          <w:numId w:val="41"/>
        </w:numPr>
        <w:rPr>
          <w:rFonts w:ascii="Times New Roman" w:cs="Times New Roman" w:eastAsia="Times New Roman" w:hAnsi="Times New Roman"/>
          <w:sz w:val="17"/>
          <w:szCs w:val="17"/>
          <w:color w:val="00A0E0"/>
        </w:rPr>
      </w:pPr>
      <w:r>
        <w:rPr>
          <w:rFonts w:ascii="Arial" w:cs="Arial" w:eastAsia="Arial" w:hAnsi="Arial"/>
          <w:sz w:val="17"/>
          <w:szCs w:val="17"/>
          <w:color w:val="auto"/>
        </w:rPr>
        <w:t>Nonemployee director compensation</w:t>
      </w:r>
    </w:p>
    <w:p>
      <w:pPr>
        <w:spacing w:after="0" w:line="73" w:lineRule="exact"/>
        <w:rPr>
          <w:rFonts w:ascii="Times New Roman" w:cs="Times New Roman" w:eastAsia="Times New Roman" w:hAnsi="Times New Roman"/>
          <w:sz w:val="17"/>
          <w:szCs w:val="17"/>
          <w:color w:val="00A0E0"/>
        </w:rPr>
      </w:pPr>
    </w:p>
    <w:p>
      <w:pPr>
        <w:ind w:left="320" w:hanging="255"/>
        <w:spacing w:after="0" w:line="249" w:lineRule="auto"/>
        <w:tabs>
          <w:tab w:leader="none" w:pos="297" w:val="left"/>
        </w:tabs>
        <w:numPr>
          <w:ilvl w:val="0"/>
          <w:numId w:val="41"/>
        </w:numPr>
        <w:rPr>
          <w:rFonts w:ascii="Times New Roman" w:cs="Times New Roman" w:eastAsia="Times New Roman" w:hAnsi="Times New Roman"/>
          <w:sz w:val="17"/>
          <w:szCs w:val="17"/>
          <w:color w:val="00A0E0"/>
        </w:rPr>
      </w:pPr>
      <w:r>
        <w:rPr>
          <w:rFonts w:ascii="Arial" w:cs="Arial" w:eastAsia="Arial" w:hAnsi="Arial"/>
          <w:sz w:val="17"/>
          <w:szCs w:val="17"/>
          <w:color w:val="auto"/>
        </w:rPr>
        <w:t>Human capital management, including talent recruitment, development and retention, employee engagement and workforce composition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Governance &amp; Corporate</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Responsibility Committee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Oversight of:</w:t>
      </w:r>
    </w:p>
    <w:p>
      <w:pPr>
        <w:spacing w:after="0" w:line="61" w:lineRule="exact"/>
        <w:rPr>
          <w:sz w:val="20"/>
          <w:szCs w:val="20"/>
          <w:color w:val="auto"/>
        </w:rPr>
      </w:pPr>
    </w:p>
    <w:p>
      <w:pPr>
        <w:ind w:left="320" w:hanging="248"/>
        <w:spacing w:after="0"/>
        <w:tabs>
          <w:tab w:leader="none" w:pos="320" w:val="left"/>
        </w:tabs>
        <w:numPr>
          <w:ilvl w:val="0"/>
          <w:numId w:val="42"/>
        </w:numPr>
        <w:rPr>
          <w:rFonts w:ascii="Times New Roman" w:cs="Times New Roman" w:eastAsia="Times New Roman" w:hAnsi="Times New Roman"/>
          <w:sz w:val="17"/>
          <w:szCs w:val="17"/>
          <w:color w:val="00A0E0"/>
        </w:rPr>
      </w:pPr>
      <w:r>
        <w:rPr>
          <w:rFonts w:ascii="Arial" w:cs="Arial" w:eastAsia="Arial" w:hAnsi="Arial"/>
          <w:sz w:val="17"/>
          <w:szCs w:val="17"/>
          <w:color w:val="auto"/>
        </w:rPr>
        <w:t>Corporate governance</w:t>
      </w:r>
    </w:p>
    <w:p>
      <w:pPr>
        <w:spacing w:after="0" w:line="87" w:lineRule="exact"/>
        <w:rPr>
          <w:rFonts w:ascii="Times New Roman" w:cs="Times New Roman" w:eastAsia="Times New Roman" w:hAnsi="Times New Roman"/>
          <w:sz w:val="17"/>
          <w:szCs w:val="17"/>
          <w:color w:val="00A0E0"/>
        </w:rPr>
      </w:pPr>
    </w:p>
    <w:p>
      <w:pPr>
        <w:ind w:left="340" w:right="200" w:hanging="268"/>
        <w:spacing w:after="0" w:line="257" w:lineRule="auto"/>
        <w:tabs>
          <w:tab w:leader="none" w:pos="317" w:val="left"/>
        </w:tabs>
        <w:numPr>
          <w:ilvl w:val="0"/>
          <w:numId w:val="42"/>
        </w:numPr>
        <w:rPr>
          <w:rFonts w:ascii="Times New Roman" w:cs="Times New Roman" w:eastAsia="Times New Roman" w:hAnsi="Times New Roman"/>
          <w:sz w:val="17"/>
          <w:szCs w:val="17"/>
          <w:color w:val="00A0E0"/>
        </w:rPr>
      </w:pPr>
      <w:r>
        <w:rPr>
          <w:rFonts w:ascii="Arial" w:cs="Arial" w:eastAsia="Arial" w:hAnsi="Arial"/>
          <w:sz w:val="17"/>
          <w:szCs w:val="17"/>
          <w:color w:val="auto"/>
        </w:rPr>
        <w:t>Compliance, legal and regulatory matters, including privacy, AI and data governance</w:t>
      </w:r>
    </w:p>
    <w:p>
      <w:pPr>
        <w:spacing w:after="0" w:line="19" w:lineRule="exact"/>
        <w:rPr>
          <w:rFonts w:ascii="Times New Roman" w:cs="Times New Roman" w:eastAsia="Times New Roman" w:hAnsi="Times New Roman"/>
          <w:sz w:val="17"/>
          <w:szCs w:val="17"/>
          <w:color w:val="00A0E0"/>
        </w:rPr>
      </w:pPr>
    </w:p>
    <w:p>
      <w:pPr>
        <w:ind w:left="340" w:right="760" w:hanging="268"/>
        <w:spacing w:after="0" w:line="281" w:lineRule="auto"/>
        <w:tabs>
          <w:tab w:leader="none" w:pos="317" w:val="left"/>
        </w:tabs>
        <w:numPr>
          <w:ilvl w:val="0"/>
          <w:numId w:val="42"/>
        </w:numPr>
        <w:rPr>
          <w:rFonts w:ascii="Times New Roman" w:cs="Times New Roman" w:eastAsia="Times New Roman" w:hAnsi="Times New Roman"/>
          <w:sz w:val="17"/>
          <w:szCs w:val="17"/>
          <w:color w:val="00A0E0"/>
        </w:rPr>
      </w:pPr>
      <w:r>
        <w:rPr>
          <w:rFonts w:ascii="Arial" w:cs="Arial" w:eastAsia="Arial" w:hAnsi="Arial"/>
          <w:sz w:val="17"/>
          <w:szCs w:val="17"/>
          <w:color w:val="auto"/>
        </w:rPr>
        <w:t>Harassment and discrimination matters</w:t>
      </w:r>
    </w:p>
    <w:p>
      <w:pPr>
        <w:ind w:left="320" w:hanging="248"/>
        <w:spacing w:after="0"/>
        <w:tabs>
          <w:tab w:leader="none" w:pos="320" w:val="left"/>
        </w:tabs>
        <w:numPr>
          <w:ilvl w:val="0"/>
          <w:numId w:val="42"/>
        </w:numPr>
        <w:rPr>
          <w:rFonts w:ascii="Times New Roman" w:cs="Times New Roman" w:eastAsia="Times New Roman" w:hAnsi="Times New Roman"/>
          <w:sz w:val="17"/>
          <w:szCs w:val="17"/>
          <w:color w:val="00A0E0"/>
        </w:rPr>
      </w:pPr>
      <w:r>
        <w:rPr>
          <w:rFonts w:ascii="Arial" w:cs="Arial" w:eastAsia="Arial" w:hAnsi="Arial"/>
          <w:sz w:val="17"/>
          <w:szCs w:val="17"/>
          <w:color w:val="auto"/>
        </w:rPr>
        <w:t>Political and lobbying activities</w:t>
      </w:r>
    </w:p>
    <w:p>
      <w:pPr>
        <w:spacing w:after="0" w:line="87" w:lineRule="exact"/>
        <w:rPr>
          <w:rFonts w:ascii="Times New Roman" w:cs="Times New Roman" w:eastAsia="Times New Roman" w:hAnsi="Times New Roman"/>
          <w:sz w:val="17"/>
          <w:szCs w:val="17"/>
          <w:color w:val="00A0E0"/>
        </w:rPr>
      </w:pPr>
    </w:p>
    <w:p>
      <w:pPr>
        <w:ind w:left="340" w:right="380" w:hanging="268"/>
        <w:spacing w:after="0" w:line="283" w:lineRule="auto"/>
        <w:tabs>
          <w:tab w:leader="none" w:pos="317" w:val="left"/>
        </w:tabs>
        <w:numPr>
          <w:ilvl w:val="0"/>
          <w:numId w:val="42"/>
        </w:numPr>
        <w:rPr>
          <w:rFonts w:ascii="Times New Roman" w:cs="Times New Roman" w:eastAsia="Times New Roman" w:hAnsi="Times New Roman"/>
          <w:sz w:val="17"/>
          <w:szCs w:val="17"/>
          <w:color w:val="00A0E0"/>
        </w:rPr>
      </w:pPr>
      <w:r>
        <w:rPr>
          <w:rFonts w:ascii="Arial" w:cs="Arial" w:eastAsia="Arial" w:hAnsi="Arial"/>
          <w:sz w:val="17"/>
          <w:szCs w:val="17"/>
          <w:color w:val="auto"/>
        </w:rPr>
        <w:t>Significant environmental and social issues, risks and trends</w:t>
      </w:r>
    </w:p>
    <w:p>
      <w:pPr>
        <w:spacing w:after="0" w:line="200" w:lineRule="exact"/>
        <w:rPr>
          <w:sz w:val="20"/>
          <w:szCs w:val="20"/>
          <w:color w:val="auto"/>
        </w:rPr>
      </w:pPr>
    </w:p>
    <w:p>
      <w:pPr>
        <w:sectPr>
          <w:pgSz w:w="11900" w:h="16838" w:orient="portrait"/>
          <w:cols w:equalWidth="0" w:num="3">
            <w:col w:w="3360" w:space="660"/>
            <w:col w:w="3200" w:space="600"/>
            <w:col w:w="3420"/>
          </w:cols>
          <w:pgMar w:left="320" w:top="121" w:right="3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Corporate Governance Practices, Policies and Processes</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color w:val="auto"/>
        </w:rPr>
        <w:t>Corporate Governance Highlights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As described in more detail elsewhere in this proxy statement, below are highlights of our corporate governance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FFFFFF"/>
        </w:rPr>
        <w:t>Board Independence/Composition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183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p>
      <w:pPr>
        <w:spacing w:after="0" w:line="143" w:lineRule="exact"/>
        <w:rPr>
          <w:sz w:val="20"/>
          <w:szCs w:val="20"/>
          <w:color w:val="auto"/>
        </w:rPr>
      </w:pPr>
    </w:p>
    <w:p>
      <w:pPr>
        <w:ind w:left="440" w:hanging="243"/>
        <w:spacing w:after="0"/>
        <w:tabs>
          <w:tab w:leader="none" w:pos="440" w:val="left"/>
        </w:tabs>
        <w:numPr>
          <w:ilvl w:val="0"/>
          <w:numId w:val="43"/>
        </w:numPr>
        <w:rPr>
          <w:rFonts w:ascii="Times New Roman" w:cs="Times New Roman" w:eastAsia="Times New Roman" w:hAnsi="Times New Roman"/>
          <w:sz w:val="17"/>
          <w:szCs w:val="17"/>
          <w:color w:val="00A0E0"/>
        </w:rPr>
      </w:pPr>
      <w:r>
        <w:rPr>
          <w:rFonts w:ascii="Arial" w:cs="Arial" w:eastAsia="Arial" w:hAnsi="Arial"/>
          <w:sz w:val="17"/>
          <w:szCs w:val="17"/>
          <w:color w:val="auto"/>
        </w:rPr>
        <w:t>Strong Lead Independent Director, with defined role and responsibilities</w:t>
      </w:r>
    </w:p>
    <w:p>
      <w:pPr>
        <w:spacing w:after="0" w:line="73"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3"/>
        </w:numPr>
        <w:rPr>
          <w:rFonts w:ascii="Times New Roman" w:cs="Times New Roman" w:eastAsia="Times New Roman" w:hAnsi="Times New Roman"/>
          <w:sz w:val="17"/>
          <w:szCs w:val="17"/>
          <w:color w:val="00A0E0"/>
        </w:rPr>
      </w:pPr>
      <w:r>
        <w:rPr>
          <w:rFonts w:ascii="Arial" w:cs="Arial" w:eastAsia="Arial" w:hAnsi="Arial"/>
          <w:sz w:val="17"/>
          <w:szCs w:val="17"/>
          <w:color w:val="auto"/>
        </w:rPr>
        <w:t>All but one of our director nominees are independent</w:t>
      </w:r>
    </w:p>
    <w:p>
      <w:pPr>
        <w:spacing w:after="0" w:line="87"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3"/>
        </w:numPr>
        <w:rPr>
          <w:rFonts w:ascii="Times New Roman" w:cs="Times New Roman" w:eastAsia="Times New Roman" w:hAnsi="Times New Roman"/>
          <w:sz w:val="17"/>
          <w:szCs w:val="17"/>
          <w:color w:val="00A0E0"/>
        </w:rPr>
      </w:pPr>
      <w:r>
        <w:rPr>
          <w:rFonts w:ascii="Arial" w:cs="Arial" w:eastAsia="Arial" w:hAnsi="Arial"/>
          <w:sz w:val="17"/>
          <w:szCs w:val="17"/>
          <w:color w:val="auto"/>
        </w:rPr>
        <w:t>Director tenure considered in annual Board director independence determinations</w:t>
      </w:r>
    </w:p>
    <w:p>
      <w:pPr>
        <w:spacing w:after="0" w:line="73"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3"/>
        </w:numPr>
        <w:rPr>
          <w:rFonts w:ascii="Times New Roman" w:cs="Times New Roman" w:eastAsia="Times New Roman" w:hAnsi="Times New Roman"/>
          <w:sz w:val="17"/>
          <w:szCs w:val="17"/>
          <w:color w:val="00A0E0"/>
        </w:rPr>
      </w:pPr>
      <w:r>
        <w:rPr>
          <w:rFonts w:ascii="Arial" w:cs="Arial" w:eastAsia="Arial" w:hAnsi="Arial"/>
          <w:sz w:val="17"/>
          <w:szCs w:val="17"/>
          <w:color w:val="auto"/>
        </w:rPr>
        <w:t>All members of Board committees are independent</w:t>
      </w:r>
    </w:p>
    <w:p>
      <w:pPr>
        <w:spacing w:after="0" w:line="73"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3"/>
        </w:numPr>
        <w:rPr>
          <w:rFonts w:ascii="Times New Roman" w:cs="Times New Roman" w:eastAsia="Times New Roman" w:hAnsi="Times New Roman"/>
          <w:sz w:val="17"/>
          <w:szCs w:val="17"/>
          <w:color w:val="00A0E0"/>
        </w:rPr>
      </w:pPr>
      <w:r>
        <w:rPr>
          <w:rFonts w:ascii="Arial" w:cs="Arial" w:eastAsia="Arial" w:hAnsi="Arial"/>
          <w:sz w:val="17"/>
          <w:szCs w:val="17"/>
          <w:color w:val="auto"/>
        </w:rPr>
        <w:t>Opportunity for executive sessions at every Board and committee meeting</w:t>
      </w:r>
    </w:p>
    <w:p>
      <w:pPr>
        <w:spacing w:after="0" w:line="87"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3"/>
        </w:numPr>
        <w:rPr>
          <w:rFonts w:ascii="Times New Roman" w:cs="Times New Roman" w:eastAsia="Times New Roman" w:hAnsi="Times New Roman"/>
          <w:sz w:val="17"/>
          <w:szCs w:val="17"/>
          <w:color w:val="00A0E0"/>
        </w:rPr>
      </w:pPr>
      <w:r>
        <w:rPr>
          <w:rFonts w:ascii="Arial" w:cs="Arial" w:eastAsia="Arial" w:hAnsi="Arial"/>
          <w:sz w:val="17"/>
          <w:szCs w:val="17"/>
          <w:color w:val="auto"/>
        </w:rPr>
        <w:t>Compensation Committee directly retains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222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FFFFFF"/>
        </w:rPr>
        <w:t>Board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318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31850"/>
                    </a:xfrm>
                    <a:prstGeom prst="rect">
                      <a:avLst/>
                    </a:prstGeom>
                    <a:noFill/>
                  </pic:spPr>
                </pic:pic>
              </a:graphicData>
            </a:graphic>
          </wp:anchor>
        </w:drawing>
      </w:r>
    </w:p>
    <w:p>
      <w:pPr>
        <w:spacing w:after="0" w:line="143" w:lineRule="exact"/>
        <w:rPr>
          <w:sz w:val="20"/>
          <w:szCs w:val="20"/>
          <w:color w:val="auto"/>
        </w:rPr>
      </w:pPr>
    </w:p>
    <w:p>
      <w:pPr>
        <w:ind w:left="440" w:hanging="243"/>
        <w:spacing w:after="0"/>
        <w:tabs>
          <w:tab w:leader="none" w:pos="440" w:val="left"/>
        </w:tabs>
        <w:numPr>
          <w:ilvl w:val="0"/>
          <w:numId w:val="44"/>
        </w:numPr>
        <w:rPr>
          <w:rFonts w:ascii="Times New Roman" w:cs="Times New Roman" w:eastAsia="Times New Roman" w:hAnsi="Times New Roman"/>
          <w:sz w:val="17"/>
          <w:szCs w:val="17"/>
          <w:color w:val="00A0E0"/>
        </w:rPr>
      </w:pPr>
      <w:r>
        <w:rPr>
          <w:rFonts w:ascii="Arial" w:cs="Arial" w:eastAsia="Arial" w:hAnsi="Arial"/>
          <w:sz w:val="17"/>
          <w:szCs w:val="17"/>
          <w:color w:val="auto"/>
        </w:rPr>
        <w:t>Annual Board and committee evaluations</w:t>
      </w:r>
    </w:p>
    <w:p>
      <w:pPr>
        <w:spacing w:after="0" w:line="73"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4"/>
        </w:numPr>
        <w:rPr>
          <w:rFonts w:ascii="Times New Roman" w:cs="Times New Roman" w:eastAsia="Times New Roman" w:hAnsi="Times New Roman"/>
          <w:sz w:val="17"/>
          <w:szCs w:val="17"/>
          <w:color w:val="00A0E0"/>
        </w:rPr>
      </w:pPr>
      <w:r>
        <w:rPr>
          <w:rFonts w:ascii="Arial" w:cs="Arial" w:eastAsia="Arial" w:hAnsi="Arial"/>
          <w:sz w:val="17"/>
          <w:szCs w:val="17"/>
          <w:color w:val="auto"/>
        </w:rPr>
        <w:t>Board/committee oversight of strategy, significant company risks and corporate responsibility matters</w:t>
      </w:r>
    </w:p>
    <w:p>
      <w:pPr>
        <w:spacing w:after="0" w:line="87"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4"/>
        </w:numPr>
        <w:rPr>
          <w:rFonts w:ascii="Times New Roman" w:cs="Times New Roman" w:eastAsia="Times New Roman" w:hAnsi="Times New Roman"/>
          <w:sz w:val="17"/>
          <w:szCs w:val="17"/>
          <w:color w:val="00A0E0"/>
        </w:rPr>
      </w:pPr>
      <w:r>
        <w:rPr>
          <w:rFonts w:ascii="Arial" w:cs="Arial" w:eastAsia="Arial" w:hAnsi="Arial"/>
          <w:sz w:val="17"/>
          <w:szCs w:val="17"/>
          <w:color w:val="auto"/>
        </w:rPr>
        <w:t>Annual Board and Compensation Committee discussion of succession planning for CEO and senior executives</w:t>
      </w:r>
    </w:p>
    <w:p>
      <w:pPr>
        <w:spacing w:after="0" w:line="73"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4"/>
        </w:numPr>
        <w:rPr>
          <w:rFonts w:ascii="Times New Roman" w:cs="Times New Roman" w:eastAsia="Times New Roman" w:hAnsi="Times New Roman"/>
          <w:sz w:val="17"/>
          <w:szCs w:val="17"/>
          <w:color w:val="00A0E0"/>
        </w:rPr>
      </w:pPr>
      <w:r>
        <w:rPr>
          <w:rFonts w:ascii="Arial" w:cs="Arial" w:eastAsia="Arial" w:hAnsi="Arial"/>
          <w:sz w:val="17"/>
          <w:szCs w:val="17"/>
          <w:color w:val="auto"/>
        </w:rPr>
        <w:t>Director education on key Company topics and issues, including as requested by independent directors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19</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2228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06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06245"/>
                    </a:xfrm>
                    <a:prstGeom prst="rect">
                      <a:avLst/>
                    </a:prstGeom>
                    <a:noFill/>
                  </pic:spPr>
                </pic:pic>
              </a:graphicData>
            </a:graphic>
          </wp:anchor>
        </w:drawing>
      </w:r>
    </w:p>
    <w:p>
      <w:pPr>
        <w:spacing w:after="0" w:line="143" w:lineRule="exact"/>
        <w:rPr>
          <w:sz w:val="20"/>
          <w:szCs w:val="20"/>
          <w:color w:val="auto"/>
        </w:rPr>
      </w:pPr>
    </w:p>
    <w:p>
      <w:pPr>
        <w:ind w:left="440" w:hanging="243"/>
        <w:spacing w:after="0"/>
        <w:tabs>
          <w:tab w:leader="none" w:pos="440" w:val="left"/>
        </w:tabs>
        <w:numPr>
          <w:ilvl w:val="0"/>
          <w:numId w:val="45"/>
        </w:numPr>
        <w:rPr>
          <w:rFonts w:ascii="Times New Roman" w:cs="Times New Roman" w:eastAsia="Times New Roman" w:hAnsi="Times New Roman"/>
          <w:sz w:val="17"/>
          <w:szCs w:val="17"/>
          <w:color w:val="00A0E0"/>
        </w:rPr>
      </w:pPr>
      <w:r>
        <w:rPr>
          <w:rFonts w:ascii="Arial" w:cs="Arial" w:eastAsia="Arial" w:hAnsi="Arial"/>
          <w:sz w:val="17"/>
          <w:szCs w:val="17"/>
          <w:color w:val="auto"/>
        </w:rPr>
        <w:t>Added three new independent directors within past three years</w:t>
      </w:r>
    </w:p>
    <w:p>
      <w:pPr>
        <w:spacing w:after="0" w:line="73"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5"/>
        </w:numPr>
        <w:rPr>
          <w:rFonts w:ascii="Times New Roman" w:cs="Times New Roman" w:eastAsia="Times New Roman" w:hAnsi="Times New Roman"/>
          <w:sz w:val="17"/>
          <w:szCs w:val="17"/>
          <w:color w:val="00A0E0"/>
        </w:rPr>
      </w:pPr>
      <w:r>
        <w:rPr>
          <w:rFonts w:ascii="Arial" w:cs="Arial" w:eastAsia="Arial" w:hAnsi="Arial"/>
          <w:sz w:val="17"/>
          <w:szCs w:val="17"/>
          <w:color w:val="auto"/>
        </w:rPr>
        <w:t>Average tenure of independent director nominees is 9.4 years</w:t>
      </w:r>
    </w:p>
    <w:p>
      <w:pPr>
        <w:spacing w:after="0" w:line="87"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5"/>
        </w:numPr>
        <w:rPr>
          <w:rFonts w:ascii="Times New Roman" w:cs="Times New Roman" w:eastAsia="Times New Roman" w:hAnsi="Times New Roman"/>
          <w:sz w:val="17"/>
          <w:szCs w:val="17"/>
          <w:color w:val="00A0E0"/>
        </w:rPr>
      </w:pPr>
      <w:r>
        <w:rPr>
          <w:rFonts w:ascii="Arial" w:cs="Arial" w:eastAsia="Arial" w:hAnsi="Arial"/>
          <w:sz w:val="17"/>
          <w:szCs w:val="17"/>
          <w:color w:val="auto"/>
        </w:rPr>
        <w:t>Independent director retirement policy at age 75</w:t>
      </w:r>
    </w:p>
    <w:p>
      <w:pPr>
        <w:spacing w:after="0" w:line="73"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5"/>
        </w:numPr>
        <w:rPr>
          <w:rFonts w:ascii="Times New Roman" w:cs="Times New Roman" w:eastAsia="Times New Roman" w:hAnsi="Times New Roman"/>
          <w:sz w:val="17"/>
          <w:szCs w:val="17"/>
          <w:color w:val="00A0E0"/>
        </w:rPr>
      </w:pPr>
      <w:r>
        <w:rPr>
          <w:rFonts w:ascii="Arial" w:cs="Arial" w:eastAsia="Arial" w:hAnsi="Arial"/>
          <w:sz w:val="17"/>
          <w:szCs w:val="17"/>
          <w:color w:val="auto"/>
        </w:rPr>
        <w:t>Director “overboarding” policy</w:t>
      </w:r>
    </w:p>
    <w:p>
      <w:pPr>
        <w:spacing w:after="0" w:line="73"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5"/>
        </w:numPr>
        <w:rPr>
          <w:rFonts w:ascii="Times New Roman" w:cs="Times New Roman" w:eastAsia="Times New Roman" w:hAnsi="Times New Roman"/>
          <w:sz w:val="17"/>
          <w:szCs w:val="17"/>
          <w:color w:val="00A0E0"/>
        </w:rPr>
      </w:pPr>
      <w:r>
        <w:rPr>
          <w:rFonts w:ascii="Arial" w:cs="Arial" w:eastAsia="Arial" w:hAnsi="Arial"/>
          <w:sz w:val="17"/>
          <w:szCs w:val="17"/>
          <w:color w:val="auto"/>
        </w:rPr>
        <w:t>Robust shareholder engagement program</w:t>
      </w:r>
    </w:p>
    <w:p>
      <w:pPr>
        <w:spacing w:after="0" w:line="87"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5"/>
        </w:numPr>
        <w:rPr>
          <w:rFonts w:ascii="Times New Roman" w:cs="Times New Roman" w:eastAsia="Times New Roman" w:hAnsi="Times New Roman"/>
          <w:sz w:val="17"/>
          <w:szCs w:val="17"/>
          <w:color w:val="00A0E0"/>
        </w:rPr>
      </w:pPr>
      <w:r>
        <w:rPr>
          <w:rFonts w:ascii="Arial" w:cs="Arial" w:eastAsia="Arial" w:hAnsi="Arial"/>
          <w:sz w:val="17"/>
          <w:szCs w:val="17"/>
          <w:color w:val="auto"/>
        </w:rPr>
        <w:t>Annual director elections</w:t>
      </w:r>
    </w:p>
    <w:p>
      <w:pPr>
        <w:spacing w:after="0" w:line="73"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5"/>
        </w:numPr>
        <w:rPr>
          <w:rFonts w:ascii="Times New Roman" w:cs="Times New Roman" w:eastAsia="Times New Roman" w:hAnsi="Times New Roman"/>
          <w:sz w:val="17"/>
          <w:szCs w:val="17"/>
          <w:color w:val="00A0E0"/>
        </w:rPr>
      </w:pPr>
      <w:r>
        <w:rPr>
          <w:rFonts w:ascii="Arial" w:cs="Arial" w:eastAsia="Arial" w:hAnsi="Arial"/>
          <w:sz w:val="17"/>
          <w:szCs w:val="17"/>
          <w:color w:val="auto"/>
        </w:rPr>
        <w:t>Proxy access bylaw</w:t>
      </w:r>
    </w:p>
    <w:p>
      <w:pPr>
        <w:spacing w:after="0" w:line="73"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5"/>
        </w:numPr>
        <w:rPr>
          <w:rFonts w:ascii="Times New Roman" w:cs="Times New Roman" w:eastAsia="Times New Roman" w:hAnsi="Times New Roman"/>
          <w:sz w:val="17"/>
          <w:szCs w:val="17"/>
          <w:color w:val="00A0E0"/>
        </w:rPr>
      </w:pPr>
      <w:r>
        <w:rPr>
          <w:rFonts w:ascii="Arial" w:cs="Arial" w:eastAsia="Arial" w:hAnsi="Arial"/>
          <w:sz w:val="17"/>
          <w:szCs w:val="17"/>
          <w:color w:val="auto"/>
        </w:rPr>
        <w:t>Recoupment (“clawback”) policy for executive compensation</w:t>
      </w:r>
    </w:p>
    <w:p>
      <w:pPr>
        <w:spacing w:after="0" w:line="87"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5"/>
        </w:numPr>
        <w:rPr>
          <w:rFonts w:ascii="Times New Roman" w:cs="Times New Roman" w:eastAsia="Times New Roman" w:hAnsi="Times New Roman"/>
          <w:sz w:val="17"/>
          <w:szCs w:val="17"/>
          <w:color w:val="00A0E0"/>
        </w:rPr>
      </w:pPr>
      <w:r>
        <w:rPr>
          <w:rFonts w:ascii="Arial" w:cs="Arial" w:eastAsia="Arial" w:hAnsi="Arial"/>
          <w:sz w:val="17"/>
          <w:szCs w:val="17"/>
          <w:color w:val="auto"/>
        </w:rPr>
        <w:t>No automatic acceleration of vesting in connection with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2228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FFFFFF"/>
        </w:rPr>
        <w:t>Stock Ownership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9601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43" w:lineRule="exact"/>
        <w:rPr>
          <w:sz w:val="20"/>
          <w:szCs w:val="20"/>
          <w:color w:val="auto"/>
        </w:rPr>
      </w:pPr>
    </w:p>
    <w:p>
      <w:pPr>
        <w:ind w:left="440" w:hanging="243"/>
        <w:spacing w:after="0"/>
        <w:tabs>
          <w:tab w:leader="none" w:pos="440" w:val="left"/>
        </w:tabs>
        <w:numPr>
          <w:ilvl w:val="0"/>
          <w:numId w:val="46"/>
        </w:numPr>
        <w:rPr>
          <w:rFonts w:ascii="Times New Roman" w:cs="Times New Roman" w:eastAsia="Times New Roman" w:hAnsi="Times New Roman"/>
          <w:sz w:val="17"/>
          <w:szCs w:val="17"/>
          <w:color w:val="00A0E0"/>
        </w:rPr>
      </w:pPr>
      <w:r>
        <w:rPr>
          <w:rFonts w:ascii="Arial" w:cs="Arial" w:eastAsia="Arial" w:hAnsi="Arial"/>
          <w:sz w:val="17"/>
          <w:szCs w:val="17"/>
          <w:color w:val="auto"/>
        </w:rPr>
        <w:t>Robust stock ownership requirements for executive officers and nonemployee directors</w:t>
      </w:r>
    </w:p>
    <w:p>
      <w:pPr>
        <w:sectPr>
          <w:pgSz w:w="11900" w:h="16838" w:orient="portrait"/>
          <w:cols w:equalWidth="0" w:num="1">
            <w:col w:w="11180"/>
          </w:cols>
          <w:pgMar w:left="320" w:top="121" w:right="399" w:bottom="1440" w:gutter="0" w:footer="0" w:header="0"/>
        </w:sectPr>
      </w:pPr>
    </w:p>
    <w:p>
      <w:pPr>
        <w:spacing w:after="0" w:line="74" w:lineRule="exact"/>
        <w:rPr>
          <w:sz w:val="20"/>
          <w:szCs w:val="20"/>
          <w:color w:val="auto"/>
        </w:rPr>
      </w:pPr>
    </w:p>
    <w:p>
      <w:pPr>
        <w:ind w:left="460"/>
        <w:spacing w:after="0"/>
        <w:tabs>
          <w:tab w:leader="none" w:pos="760" w:val="left"/>
        </w:tabs>
        <w:rPr>
          <w:sz w:val="20"/>
          <w:szCs w:val="20"/>
          <w:color w:val="auto"/>
        </w:rPr>
      </w:pPr>
      <w:r>
        <w:rPr>
          <w:rFonts w:ascii="Times New Roman" w:cs="Times New Roman" w:eastAsia="Times New Roman" w:hAnsi="Times New Roman"/>
          <w:sz w:val="17"/>
          <w:szCs w:val="17"/>
          <w:color w:val="00A0E0"/>
        </w:rPr>
        <w:t>—</w:t>
      </w:r>
      <w:r>
        <w:rPr>
          <w:sz w:val="20"/>
          <w:szCs w:val="20"/>
          <w:color w:val="auto"/>
        </w:rPr>
        <w:tab/>
      </w:r>
      <w:r>
        <w:rPr>
          <w:rFonts w:ascii="Arial" w:cs="Arial" w:eastAsia="Arial" w:hAnsi="Arial"/>
          <w:sz w:val="17"/>
          <w:szCs w:val="17"/>
          <w:color w:val="auto"/>
        </w:rPr>
        <w:t>CEO = 10x salary</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center"/>
        <w:ind w:right="3060"/>
        <w:spacing w:after="0"/>
        <w:tabs>
          <w:tab w:leader="none" w:pos="120" w:val="left"/>
        </w:tabs>
        <w:rPr>
          <w:sz w:val="20"/>
          <w:szCs w:val="20"/>
          <w:color w:val="auto"/>
        </w:rPr>
      </w:pPr>
      <w:r>
        <w:rPr>
          <w:rFonts w:ascii="Times New Roman" w:cs="Times New Roman" w:eastAsia="Times New Roman" w:hAnsi="Times New Roman"/>
          <w:sz w:val="17"/>
          <w:szCs w:val="17"/>
          <w:color w:val="00A0E0"/>
        </w:rPr>
        <w:t>—</w:t>
      </w:r>
      <w:r>
        <w:rPr>
          <w:sz w:val="20"/>
          <w:szCs w:val="20"/>
          <w:color w:val="auto"/>
        </w:rPr>
        <w:tab/>
      </w:r>
      <w:r>
        <w:rPr>
          <w:rFonts w:ascii="Arial" w:cs="Arial" w:eastAsia="Arial" w:hAnsi="Arial"/>
          <w:sz w:val="17"/>
          <w:szCs w:val="17"/>
          <w:color w:val="auto"/>
        </w:rPr>
        <w:t>Other executive officers = 3x salary</w:t>
      </w:r>
    </w:p>
    <w:p>
      <w:pPr>
        <w:spacing w:after="0" w:line="87" w:lineRule="exact"/>
        <w:rPr>
          <w:sz w:val="20"/>
          <w:szCs w:val="20"/>
          <w:color w:val="auto"/>
        </w:rPr>
      </w:pPr>
    </w:p>
    <w:p>
      <w:pPr>
        <w:sectPr>
          <w:pgSz w:w="11900" w:h="16838" w:orient="portrait"/>
          <w:cols w:equalWidth="0" w:num="2">
            <w:col w:w="4420" w:space="720"/>
            <w:col w:w="6040"/>
          </w:cols>
          <w:pgMar w:left="320" w:top="121" w:right="399" w:bottom="1440" w:gutter="0" w:footer="0" w:header="0"/>
          <w:type w:val="continuous"/>
        </w:sectPr>
      </w:pPr>
    </w:p>
    <w:p>
      <w:pPr>
        <w:ind w:left="460"/>
        <w:spacing w:after="0"/>
        <w:tabs>
          <w:tab w:leader="none" w:pos="760" w:val="left"/>
        </w:tabs>
        <w:rPr>
          <w:sz w:val="20"/>
          <w:szCs w:val="20"/>
          <w:color w:val="auto"/>
        </w:rPr>
      </w:pPr>
      <w:r>
        <w:rPr>
          <w:rFonts w:ascii="Times New Roman" w:cs="Times New Roman" w:eastAsia="Times New Roman" w:hAnsi="Times New Roman"/>
          <w:sz w:val="17"/>
          <w:szCs w:val="17"/>
          <w:color w:val="00A0E0"/>
        </w:rPr>
        <w:t>—</w:t>
      </w:r>
      <w:r>
        <w:rPr>
          <w:sz w:val="20"/>
          <w:szCs w:val="20"/>
          <w:color w:val="auto"/>
        </w:rPr>
        <w:tab/>
      </w:r>
      <w:r>
        <w:rPr>
          <w:rFonts w:ascii="Arial" w:cs="Arial" w:eastAsia="Arial" w:hAnsi="Arial"/>
          <w:sz w:val="17"/>
          <w:szCs w:val="17"/>
          <w:color w:val="auto"/>
        </w:rPr>
        <w:t>President = 5x salary</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Times New Roman" w:cs="Times New Roman" w:eastAsia="Times New Roman" w:hAnsi="Times New Roman"/>
          <w:sz w:val="17"/>
          <w:szCs w:val="17"/>
          <w:color w:val="00A0E0"/>
        </w:rPr>
        <w:t>—</w:t>
      </w:r>
      <w:r>
        <w:rPr>
          <w:sz w:val="20"/>
          <w:szCs w:val="20"/>
          <w:color w:val="auto"/>
        </w:rPr>
        <w:tab/>
      </w:r>
      <w:r>
        <w:rPr>
          <w:rFonts w:ascii="Arial" w:cs="Arial" w:eastAsia="Arial" w:hAnsi="Arial"/>
          <w:sz w:val="17"/>
          <w:szCs w:val="17"/>
          <w:color w:val="auto"/>
        </w:rPr>
        <w:t>Nonemployee directors = 5x annual cash retainer</w:t>
      </w:r>
    </w:p>
    <w:p>
      <w:pPr>
        <w:spacing w:after="0" w:line="74" w:lineRule="exact"/>
        <w:rPr>
          <w:sz w:val="20"/>
          <w:szCs w:val="20"/>
          <w:color w:val="auto"/>
        </w:rPr>
      </w:pPr>
    </w:p>
    <w:p>
      <w:pPr>
        <w:sectPr>
          <w:pgSz w:w="11900" w:h="16838" w:orient="portrait"/>
          <w:cols w:equalWidth="0" w:num="2">
            <w:col w:w="4420" w:space="720"/>
            <w:col w:w="6040"/>
          </w:cols>
          <w:pgMar w:left="320" w:top="121" w:right="399" w:bottom="1440" w:gutter="0" w:footer="0" w:header="0"/>
          <w:type w:val="continuous"/>
        </w:sectPr>
      </w:pPr>
    </w:p>
    <w:p>
      <w:pPr>
        <w:ind w:left="440" w:hanging="243"/>
        <w:spacing w:after="0"/>
        <w:tabs>
          <w:tab w:leader="none" w:pos="440" w:val="left"/>
        </w:tabs>
        <w:numPr>
          <w:ilvl w:val="0"/>
          <w:numId w:val="47"/>
        </w:numPr>
        <w:rPr>
          <w:rFonts w:ascii="Times New Roman" w:cs="Times New Roman" w:eastAsia="Times New Roman" w:hAnsi="Times New Roman"/>
          <w:sz w:val="17"/>
          <w:szCs w:val="17"/>
          <w:color w:val="00A0E0"/>
        </w:rPr>
      </w:pPr>
      <w:r>
        <w:rPr>
          <w:rFonts w:ascii="Arial" w:cs="Arial" w:eastAsia="Arial" w:hAnsi="Arial"/>
          <w:sz w:val="17"/>
          <w:szCs w:val="17"/>
          <w:color w:val="auto"/>
        </w:rPr>
        <w:t>No dividend equivalents paid on unearned restricted stock units (“RSUs”) or on any stock options</w:t>
      </w:r>
    </w:p>
    <w:p>
      <w:pPr>
        <w:spacing w:after="0" w:line="73"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7"/>
        </w:numPr>
        <w:rPr>
          <w:rFonts w:ascii="Times New Roman" w:cs="Times New Roman" w:eastAsia="Times New Roman" w:hAnsi="Times New Roman"/>
          <w:sz w:val="17"/>
          <w:szCs w:val="17"/>
          <w:color w:val="00A0E0"/>
        </w:rPr>
      </w:pPr>
      <w:r>
        <w:rPr>
          <w:rFonts w:ascii="Arial" w:cs="Arial" w:eastAsia="Arial" w:hAnsi="Arial"/>
          <w:sz w:val="17"/>
          <w:szCs w:val="17"/>
          <w:color w:val="auto"/>
        </w:rPr>
        <w:t>Insider trading policies prohibit hedging and pledging Comcast stock</w:t>
      </w:r>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color w:val="auto"/>
        </w:rPr>
        <w:t>Succession Planning</w:t>
      </w:r>
    </w:p>
    <w:p>
      <w:pPr>
        <w:spacing w:after="0" w:line="226"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Ensuring that we have the appropriate senior management talent to successfully pursue our strategies is one of the Board’s primary responsibilities. To this end, the Board discusses succession planning for our CEO and the remainder of our senior executive management team in private sessions at most of its regularly scheduled meetings. To help fulfill the Board’s responsibility, our Compensation Committee is required, pursuant to our corporate governance guidelines, to ensure that we have in place appropriate planning to address CEO succession both in the ordinary course of business and in emergency situations. Our CEO succession planning includes criteria that reflect our business strategies, such as identifying and developing internal candidates. Our corporate governance guidelines also require that our Compensation Committee ensures that we have appropriate succession planning for the remainder of our senior executive management team, including our NEOs. Each year, our Board and Compensation Committee formally discuss succession planning for our senior executive management team and their respective direct reports.</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color w:val="auto"/>
        </w:rPr>
        <w:t>Board and Committee Evaluations</w:t>
      </w:r>
    </w:p>
    <w:p>
      <w:pPr>
        <w:spacing w:after="0" w:line="22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Every year, our Board and each of its committees perform a self-assessment to evaluate their effectiveness. As part of these assessments, each director completes a detailed questionnaire for the Board and any committees on which he or she serves, addressing topics such as Board structure and composition, Board responsibilities, Board meetings and materials, Board and management interactions and ethics and compliance. The questionnaire seeks both quantitative-based responses and general comments. The Governance Committee reviews and approves the process and the questionnaires to be used, with outside counsel also reviewing the questionnaires. The results of the assessments are compiled anonymously and are reviewed and discussed with the Board and the Governance Committee (as it relates to both the Board and all committees) and each committee (as it relates to such committee). In addition to the formal evaluation process, directors provide feedback on the Board’s and its committees’ performance on an ongoing basis. The Governance Committee develops action plans for items that may require follow-up, and it also coordinates recommendations for key business and director educational topics for the following year’s Board and committee meeting agendas.</w:t>
      </w:r>
    </w:p>
    <w:p>
      <w:pPr>
        <w:spacing w:after="0" w:line="191" w:lineRule="exact"/>
        <w:rPr>
          <w:sz w:val="20"/>
          <w:szCs w:val="20"/>
          <w:color w:val="auto"/>
        </w:rPr>
      </w:pPr>
    </w:p>
    <w:p>
      <w:pPr>
        <w:ind w:left="400" w:hanging="392"/>
        <w:spacing w:after="0"/>
        <w:tabs>
          <w:tab w:leader="none" w:pos="40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color w:val="auto"/>
        </w:rPr>
        <w:t>Corporate Governance Guidelines and Code of Conduct</w:t>
      </w:r>
    </w:p>
    <w:p>
      <w:pPr>
        <w:spacing w:after="0" w:line="226"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 xml:space="preserve">Our Board has adopted corporate governance guidelines that address items such as the standards, qualifications and responsibilities of our directors and director candidates and corporate governance policies and standards applicable to us in general. We also have a code of conduct that applies to all of our employees, including our executive officers, and our directors. Both the guidelines and the code of conduct applicable to our executive officers and directors are posted under “Corporate Governance” in the Investors section of our website at </w:t>
      </w:r>
      <w:r>
        <w:rPr>
          <w:rFonts w:ascii="Arial" w:cs="Arial" w:eastAsia="Arial" w:hAnsi="Arial"/>
          <w:sz w:val="17"/>
          <w:szCs w:val="17"/>
          <w:i w:val="1"/>
          <w:iCs w:val="1"/>
          <w:color w:val="auto"/>
        </w:rPr>
        <w:t>www.cmcsa.com</w:t>
      </w:r>
      <w:r>
        <w:rPr>
          <w:rFonts w:ascii="Arial" w:cs="Arial" w:eastAsia="Arial" w:hAnsi="Arial"/>
          <w:sz w:val="17"/>
          <w:szCs w:val="17"/>
          <w:color w:val="auto"/>
        </w:rPr>
        <w:t>. We will disclose under “Corporate Governance” in the Investors section of our website any amendments to, or any waivers under, the code of conduct that are required to be disclosed by SEC or Nasdaq rules.</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color w:val="auto"/>
        </w:rPr>
        <w:t>Shareholder Engagement</w:t>
      </w:r>
    </w:p>
    <w:p>
      <w:pPr>
        <w:spacing w:after="0" w:line="226"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We have an active, broad-based and year-round investor relations outreach program to solicit input and to communicate with members of the investment community on a variety of topics. In addition to our regular investor relations program that reviews our business and strategy with buy-side investors and sell-side securities analysts, we also engage with investors on various corporate governance, compensation, environmental and social topics. This dialogue provides an opportunity to discuss governance matters generally, including our directors’ skills and tenure, Board oversight roles and responsibilities, corporate responsibility initiatives and executive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key elements of our investor relations outreach program in 2024 are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29146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914650"/>
                    </a:xfrm>
                    <a:prstGeom prst="rect">
                      <a:avLst/>
                    </a:prstGeom>
                    <a:noFill/>
                  </pic:spPr>
                </pic:pic>
              </a:graphicData>
            </a:graphic>
          </wp:anchor>
        </w:drawing>
      </w:r>
    </w:p>
    <w:p>
      <w:pPr>
        <w:spacing w:after="0" w:line="392" w:lineRule="exact"/>
        <w:rPr>
          <w:sz w:val="20"/>
          <w:szCs w:val="20"/>
          <w:color w:val="auto"/>
        </w:rPr>
      </w:pPr>
    </w:p>
    <w:p>
      <w:pPr>
        <w:ind w:left="480" w:right="300" w:hanging="270"/>
        <w:spacing w:after="0" w:line="257" w:lineRule="auto"/>
        <w:tabs>
          <w:tab w:leader="none" w:pos="457" w:val="left"/>
        </w:tabs>
        <w:numPr>
          <w:ilvl w:val="0"/>
          <w:numId w:val="49"/>
        </w:numPr>
        <w:rPr>
          <w:rFonts w:ascii="Times New Roman" w:cs="Times New Roman" w:eastAsia="Times New Roman" w:hAnsi="Times New Roman"/>
          <w:sz w:val="17"/>
          <w:szCs w:val="17"/>
          <w:color w:val="00A0E0"/>
        </w:rPr>
      </w:pPr>
      <w:r>
        <w:rPr>
          <w:rFonts w:ascii="Arial" w:cs="Arial" w:eastAsia="Arial" w:hAnsi="Arial"/>
          <w:sz w:val="17"/>
          <w:szCs w:val="17"/>
          <w:color w:val="auto"/>
        </w:rPr>
        <w:t>Focused, one-on-one meetings with over 30 investors representing over 50% of Class A common stock and senior management — and, at times, independent directors — on a range of governance, compensation and other corporate responsibility matters, as well as general business and strategy updates</w:t>
      </w:r>
    </w:p>
    <w:p>
      <w:pPr>
        <w:spacing w:after="0" w:line="19" w:lineRule="exact"/>
        <w:rPr>
          <w:rFonts w:ascii="Times New Roman" w:cs="Times New Roman" w:eastAsia="Times New Roman" w:hAnsi="Times New Roman"/>
          <w:sz w:val="17"/>
          <w:szCs w:val="17"/>
          <w:color w:val="00A0E0"/>
        </w:rPr>
      </w:pPr>
    </w:p>
    <w:p>
      <w:pPr>
        <w:ind w:left="440" w:hanging="230"/>
        <w:spacing w:after="0"/>
        <w:tabs>
          <w:tab w:leader="none" w:pos="440" w:val="left"/>
        </w:tabs>
        <w:numPr>
          <w:ilvl w:val="0"/>
          <w:numId w:val="49"/>
        </w:numPr>
        <w:rPr>
          <w:rFonts w:ascii="Times New Roman" w:cs="Times New Roman" w:eastAsia="Times New Roman" w:hAnsi="Times New Roman"/>
          <w:sz w:val="17"/>
          <w:szCs w:val="17"/>
          <w:color w:val="00A0E0"/>
        </w:rPr>
      </w:pPr>
      <w:r>
        <w:rPr>
          <w:rFonts w:ascii="Arial" w:cs="Arial" w:eastAsia="Arial" w:hAnsi="Arial"/>
          <w:sz w:val="17"/>
          <w:szCs w:val="17"/>
          <w:color w:val="auto"/>
        </w:rPr>
        <w:t>Outreach to proxy advisory firms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0" w:right="5224" w:hanging="270"/>
        <w:spacing w:after="0" w:line="298" w:lineRule="auto"/>
        <w:tabs>
          <w:tab w:leader="none" w:pos="457" w:val="left"/>
        </w:tabs>
        <w:numPr>
          <w:ilvl w:val="0"/>
          <w:numId w:val="50"/>
        </w:numPr>
        <w:rPr>
          <w:rFonts w:ascii="Times New Roman" w:cs="Times New Roman" w:eastAsia="Times New Roman" w:hAnsi="Times New Roman"/>
          <w:sz w:val="16"/>
          <w:szCs w:val="16"/>
          <w:color w:val="00A0E0"/>
        </w:rPr>
      </w:pPr>
      <w:r>
        <w:rPr>
          <w:rFonts w:ascii="Arial" w:cs="Arial" w:eastAsia="Arial" w:hAnsi="Arial"/>
          <w:sz w:val="16"/>
          <w:szCs w:val="16"/>
          <w:color w:val="auto"/>
        </w:rPr>
        <w:t>Live webcasts of quarterly earnings presentations</w:t>
      </w:r>
    </w:p>
    <w:p>
      <w:pPr>
        <w:spacing w:after="0" w:line="1" w:lineRule="exact"/>
        <w:rPr>
          <w:rFonts w:ascii="Times New Roman" w:cs="Times New Roman" w:eastAsia="Times New Roman" w:hAnsi="Times New Roman"/>
          <w:sz w:val="16"/>
          <w:szCs w:val="16"/>
          <w:color w:val="00A0E0"/>
        </w:rPr>
      </w:pPr>
    </w:p>
    <w:p>
      <w:pPr>
        <w:ind w:left="480" w:right="4964" w:hanging="270"/>
        <w:spacing w:after="0" w:line="249" w:lineRule="auto"/>
        <w:tabs>
          <w:tab w:leader="none" w:pos="457" w:val="left"/>
        </w:tabs>
        <w:numPr>
          <w:ilvl w:val="0"/>
          <w:numId w:val="50"/>
        </w:numPr>
        <w:rPr>
          <w:rFonts w:ascii="Times New Roman" w:cs="Times New Roman" w:eastAsia="Times New Roman" w:hAnsi="Times New Roman"/>
          <w:sz w:val="17"/>
          <w:szCs w:val="17"/>
          <w:color w:val="00A0E0"/>
        </w:rPr>
      </w:pPr>
      <w:r>
        <w:rPr>
          <w:rFonts w:ascii="Arial" w:cs="Arial" w:eastAsia="Arial" w:hAnsi="Arial"/>
          <w:sz w:val="17"/>
          <w:szCs w:val="17"/>
          <w:color w:val="auto"/>
        </w:rPr>
        <w:t>Live webcasts of CEO, President, CFO and other business leaders speaking at investor conferences</w:t>
      </w:r>
    </w:p>
    <w:p>
      <w:pPr>
        <w:spacing w:after="0" w:line="38" w:lineRule="exact"/>
        <w:rPr>
          <w:rFonts w:ascii="Times New Roman" w:cs="Times New Roman" w:eastAsia="Times New Roman" w:hAnsi="Times New Roman"/>
          <w:sz w:val="17"/>
          <w:szCs w:val="17"/>
          <w:color w:val="00A0E0"/>
        </w:rPr>
      </w:pPr>
    </w:p>
    <w:p>
      <w:pPr>
        <w:ind w:left="480" w:right="4944" w:hanging="270"/>
        <w:spacing w:after="0" w:line="244" w:lineRule="auto"/>
        <w:tabs>
          <w:tab w:leader="none" w:pos="457" w:val="left"/>
        </w:tabs>
        <w:numPr>
          <w:ilvl w:val="0"/>
          <w:numId w:val="50"/>
        </w:numPr>
        <w:rPr>
          <w:rFonts w:ascii="Times New Roman" w:cs="Times New Roman" w:eastAsia="Times New Roman" w:hAnsi="Times New Roman"/>
          <w:sz w:val="17"/>
          <w:szCs w:val="17"/>
          <w:color w:val="00A0E0"/>
        </w:rPr>
      </w:pPr>
      <w:r>
        <w:rPr>
          <w:rFonts w:ascii="Arial" w:cs="Arial" w:eastAsia="Arial" w:hAnsi="Arial"/>
          <w:sz w:val="17"/>
          <w:szCs w:val="17"/>
          <w:color w:val="auto"/>
        </w:rPr>
        <w:t>Met with over 300 institutional investors on strategy and business results through a combination of in-person and virtual meetings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56" w:right="400" w:hanging="256"/>
        <w:spacing w:after="0" w:line="257" w:lineRule="auto"/>
        <w:tabs>
          <w:tab w:leader="none" w:pos="233" w:val="left"/>
        </w:tabs>
        <w:numPr>
          <w:ilvl w:val="0"/>
          <w:numId w:val="51"/>
        </w:numPr>
        <w:rPr>
          <w:rFonts w:ascii="Times New Roman" w:cs="Times New Roman" w:eastAsia="Times New Roman" w:hAnsi="Times New Roman"/>
          <w:sz w:val="17"/>
          <w:szCs w:val="17"/>
          <w:color w:val="00A0E0"/>
        </w:rPr>
      </w:pPr>
      <w:r>
        <w:rPr>
          <w:rFonts w:ascii="Arial" w:cs="Arial" w:eastAsia="Arial" w:hAnsi="Arial"/>
          <w:sz w:val="17"/>
          <w:szCs w:val="17"/>
          <w:color w:val="auto"/>
        </w:rPr>
        <w:t>Outreach to proponents of shareholder proposals before proxy statement filed</w:t>
      </w:r>
    </w:p>
    <w:p>
      <w:pPr>
        <w:spacing w:after="0" w:line="19" w:lineRule="exact"/>
        <w:rPr>
          <w:rFonts w:ascii="Times New Roman" w:cs="Times New Roman" w:eastAsia="Times New Roman" w:hAnsi="Times New Roman"/>
          <w:sz w:val="17"/>
          <w:szCs w:val="17"/>
          <w:color w:val="00A0E0"/>
        </w:rPr>
      </w:pPr>
    </w:p>
    <w:p>
      <w:pPr>
        <w:ind w:left="256" w:right="680" w:hanging="256"/>
        <w:spacing w:after="0" w:line="257" w:lineRule="auto"/>
        <w:tabs>
          <w:tab w:leader="none" w:pos="233" w:val="left"/>
        </w:tabs>
        <w:numPr>
          <w:ilvl w:val="0"/>
          <w:numId w:val="51"/>
        </w:numPr>
        <w:rPr>
          <w:rFonts w:ascii="Times New Roman" w:cs="Times New Roman" w:eastAsia="Times New Roman" w:hAnsi="Times New Roman"/>
          <w:sz w:val="17"/>
          <w:szCs w:val="17"/>
          <w:color w:val="00A0E0"/>
        </w:rPr>
      </w:pPr>
      <w:r>
        <w:rPr>
          <w:rFonts w:ascii="Arial" w:cs="Arial" w:eastAsia="Arial" w:hAnsi="Arial"/>
          <w:sz w:val="17"/>
          <w:szCs w:val="17"/>
          <w:color w:val="auto"/>
        </w:rPr>
        <w:t>Meetings with investors to discuss annual meeting proposals</w:t>
      </w:r>
    </w:p>
    <w:p>
      <w:pPr>
        <w:spacing w:after="0" w:line="32" w:lineRule="exact"/>
        <w:rPr>
          <w:rFonts w:ascii="Times New Roman" w:cs="Times New Roman" w:eastAsia="Times New Roman" w:hAnsi="Times New Roman"/>
          <w:sz w:val="17"/>
          <w:szCs w:val="17"/>
          <w:color w:val="00A0E0"/>
        </w:rPr>
      </w:pPr>
    </w:p>
    <w:p>
      <w:pPr>
        <w:ind w:left="256" w:right="660" w:hanging="256"/>
        <w:spacing w:after="0" w:line="283" w:lineRule="auto"/>
        <w:tabs>
          <w:tab w:leader="none" w:pos="233" w:val="left"/>
        </w:tabs>
        <w:numPr>
          <w:ilvl w:val="0"/>
          <w:numId w:val="51"/>
        </w:numPr>
        <w:rPr>
          <w:rFonts w:ascii="Times New Roman" w:cs="Times New Roman" w:eastAsia="Times New Roman" w:hAnsi="Times New Roman"/>
          <w:sz w:val="17"/>
          <w:szCs w:val="17"/>
          <w:color w:val="00A0E0"/>
        </w:rPr>
      </w:pPr>
      <w:r>
        <w:rPr>
          <w:rFonts w:ascii="Arial" w:cs="Arial" w:eastAsia="Arial" w:hAnsi="Arial"/>
          <w:sz w:val="17"/>
          <w:szCs w:val="17"/>
          <w:color w:val="auto"/>
        </w:rPr>
        <w:t>Review and consider shareholder voting results</w:t>
      </w:r>
    </w:p>
    <w:p>
      <w:pPr>
        <w:spacing w:after="0" w:line="449" w:lineRule="exact"/>
        <w:rPr>
          <w:sz w:val="20"/>
          <w:szCs w:val="20"/>
          <w:color w:val="auto"/>
        </w:rPr>
      </w:pPr>
    </w:p>
    <w:p>
      <w:pPr>
        <w:sectPr>
          <w:pgSz w:w="11900" w:h="16838" w:orient="portrait"/>
          <w:cols w:equalWidth="0" w:num="2">
            <w:col w:w="7644" w:space="720"/>
            <w:col w:w="2876"/>
          </w:cols>
          <w:pgMar w:left="320" w:top="121" w:right="33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Our Board has established a process for shareholders and other interested parties to communicate with its members. Correspondence may be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addressed to the Board, the Lead Independent Director, any other particular director, any committee of the Board or any other group of directors, in</w:t>
      </w:r>
    </w:p>
    <w:p>
      <w:pPr>
        <w:spacing w:after="0" w:line="232" w:lineRule="auto"/>
        <w:rPr>
          <w:sz w:val="20"/>
          <w:szCs w:val="20"/>
          <w:color w:val="auto"/>
        </w:rPr>
      </w:pPr>
      <w:r>
        <w:rPr>
          <w:rFonts w:ascii="Arial" w:cs="Arial" w:eastAsia="Arial" w:hAnsi="Arial"/>
          <w:sz w:val="17"/>
          <w:szCs w:val="17"/>
          <w:color w:val="auto"/>
        </w:rPr>
        <w:t>care of Thomas J. Reid, Secretary, Comcast Corporation, at the mailing address provided on page 61 or the following e-mail address:</w:t>
      </w:r>
    </w:p>
    <w:p>
      <w:pPr>
        <w:spacing w:after="0" w:line="232" w:lineRule="auto"/>
        <w:rPr>
          <w:sz w:val="20"/>
          <w:szCs w:val="20"/>
          <w:color w:val="auto"/>
        </w:rPr>
      </w:pPr>
      <w:r>
        <w:rPr>
          <w:rFonts w:ascii="Arial" w:cs="Arial" w:eastAsia="Arial" w:hAnsi="Arial"/>
          <w:sz w:val="17"/>
          <w:szCs w:val="17"/>
          <w:color w:val="auto"/>
        </w:rPr>
        <w:t>audit_committee_chair@comcast.com. The Secretary, or his designee, promptly reviews all such correspondence and, as appropriate, forwards it to</w:t>
      </w:r>
    </w:p>
    <w:p>
      <w:pPr>
        <w:spacing w:after="0" w:line="232" w:lineRule="auto"/>
        <w:rPr>
          <w:sz w:val="20"/>
          <w:szCs w:val="20"/>
          <w:color w:val="auto"/>
        </w:rPr>
      </w:pPr>
      <w:r>
        <w:rPr>
          <w:rFonts w:ascii="Arial" w:cs="Arial" w:eastAsia="Arial" w:hAnsi="Arial"/>
          <w:sz w:val="17"/>
          <w:szCs w:val="17"/>
          <w:color w:val="auto"/>
        </w:rPr>
        <w:t>the Board or other addressee based on the subject matter of the correspondence. Any such correspondence relating to accounting, internal</w:t>
      </w:r>
    </w:p>
    <w:p>
      <w:pPr>
        <w:spacing w:after="0"/>
        <w:rPr>
          <w:sz w:val="20"/>
          <w:szCs w:val="20"/>
          <w:color w:val="auto"/>
        </w:rPr>
      </w:pPr>
      <w:r>
        <w:rPr>
          <w:rFonts w:ascii="Arial" w:cs="Arial" w:eastAsia="Arial" w:hAnsi="Arial"/>
          <w:sz w:val="17"/>
          <w:szCs w:val="17"/>
          <w:color w:val="auto"/>
        </w:rPr>
        <w:t>accounting controls or auditing matters is handled in accordance with procedures established by the Audit Committee.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21</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891540" cy="291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91540" cy="291465"/>
                    </a:xfrm>
                    <a:prstGeom prst="rect">
                      <a:avLst/>
                    </a:prstGeom>
                    <a:noFill/>
                  </pic:spPr>
                </pic:pic>
              </a:graphicData>
            </a:graphic>
          </wp:anchor>
        </w:drawing>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FFFFFF"/>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677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677545"/>
                    </a:xfrm>
                    <a:prstGeom prst="rect">
                      <a:avLst/>
                    </a:prstGeom>
                    <a:noFill/>
                  </pic:spPr>
                </pic:pic>
              </a:graphicData>
            </a:graphic>
          </wp:anchor>
        </w:drawing>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00A0E0"/>
        </w:rPr>
        <w:t>Ratify Appointment of Independent Auditors</w:t>
      </w:r>
    </w:p>
    <w:p>
      <w:pPr>
        <w:spacing w:after="0" w:line="124" w:lineRule="exact"/>
        <w:rPr>
          <w:sz w:val="20"/>
          <w:szCs w:val="20"/>
          <w:color w:val="auto"/>
        </w:rPr>
      </w:pPr>
    </w:p>
    <w:p>
      <w:pPr>
        <w:ind w:left="760" w:right="980"/>
        <w:spacing w:after="0" w:line="267" w:lineRule="auto"/>
        <w:rPr>
          <w:sz w:val="20"/>
          <w:szCs w:val="20"/>
          <w:color w:val="auto"/>
        </w:rPr>
      </w:pPr>
      <w:r>
        <w:rPr>
          <w:rFonts w:ascii="Arial" w:cs="Arial" w:eastAsia="Arial" w:hAnsi="Arial"/>
          <w:sz w:val="17"/>
          <w:szCs w:val="17"/>
          <w:color w:val="auto"/>
        </w:rPr>
        <w:t xml:space="preserve">Our Board unanimously recommends that shareholders vote </w:t>
      </w:r>
      <w:r>
        <w:rPr>
          <w:rFonts w:ascii="Arial" w:cs="Arial" w:eastAsia="Arial" w:hAnsi="Arial"/>
          <w:sz w:val="17"/>
          <w:szCs w:val="17"/>
          <w:b w:val="1"/>
          <w:bCs w:val="1"/>
          <w:color w:val="00A0E0"/>
        </w:rPr>
        <w:t>“FOR”</w:t>
      </w:r>
      <w:r>
        <w:rPr>
          <w:rFonts w:ascii="Arial" w:cs="Arial" w:eastAsia="Arial" w:hAnsi="Arial"/>
          <w:sz w:val="17"/>
          <w:szCs w:val="17"/>
          <w:color w:val="auto"/>
        </w:rPr>
        <w:t xml:space="preserve"> ratifying the appointment of Deloitte &amp; Touche LLP as our independent auditors.</w:t>
      </w: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color w:val="auto"/>
        </w:rPr>
        <w:t>Selection of Independent Registered Public Accounting Firm</w:t>
      </w:r>
    </w:p>
    <w:p>
      <w:pPr>
        <w:spacing w:after="0" w:line="22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 Audit Committee is directly responsible for the appointment, compensation, retention and oversight of our independent auditors, Deloitte &amp; Touche LLP (“Deloitte”). Deloitte, together with its predecessors, has served as our independent auditors since 1963. The lead engagement partner from Deloitte is required to be rotated every five years. The process for selection of a new lead engagement partner includes a meeting between the Chair of the Audit Committee and the candidate for this role, as well as discussion by the full Audit Committee and meetings with senior management.</w:t>
      </w:r>
    </w:p>
    <w:p>
      <w:pPr>
        <w:spacing w:after="0" w:line="180"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Each year, the Audit Committee, along with our management and internal auditors, reviews Deloitte’s performance as part of the Audit Committee’s consideration of whether to reappoint the firm as our independent auditors. As part of this review, the Audit Committee considers (i) the continued independence of Deloitte, (ii) its quality of service provided on prior audits, (iii) evaluations of Deloitte by our management and internal auditors, (iv) Deloitte’s effectiveness of communications and working relationships with the Audit Committee and our management and internal auditors, (v) the length of time Deloitte has served as our independent auditors and (vi) the quality and depth of Deloitte and the audit team’s expertise and experience in our industries in light of the breadth, complexity and global reach of our businesses.</w:t>
      </w:r>
    </w:p>
    <w:p>
      <w:pPr>
        <w:spacing w:after="0" w:line="182" w:lineRule="exact"/>
        <w:rPr>
          <w:sz w:val="20"/>
          <w:szCs w:val="20"/>
          <w:color w:val="auto"/>
        </w:rPr>
      </w:pPr>
    </w:p>
    <w:p>
      <w:pPr>
        <w:jc w:val="both"/>
        <w:ind w:right="180"/>
        <w:spacing w:after="0" w:line="249" w:lineRule="auto"/>
        <w:rPr>
          <w:sz w:val="20"/>
          <w:szCs w:val="20"/>
          <w:color w:val="auto"/>
        </w:rPr>
      </w:pPr>
      <w:r>
        <w:rPr>
          <w:rFonts w:ascii="Arial" w:cs="Arial" w:eastAsia="Arial" w:hAnsi="Arial"/>
          <w:sz w:val="17"/>
          <w:szCs w:val="17"/>
          <w:color w:val="auto"/>
        </w:rPr>
        <w:t>Following the Audit Committee’s review of Deloitte’s performance, the Audit Committee appointed Deloitte to serve as our independent auditors for the year ending December 31, 2025. The Audit Committee and our Board recommend that you ratify this appointment, although your ratification is not required. A partner of Deloitte will be present at the annual meeting and will be available to respond to appropriate questions.</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auto"/>
        </w:rPr>
        <w:t>Fees of Independent Registered Public Accounting Firm</w:t>
      </w:r>
    </w:p>
    <w:p>
      <w:pPr>
        <w:spacing w:after="0" w:line="226"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Set forth below are the fees paid or accrued for the services of Deloitte, the member firms of Deloitte Touche Tohmatsu and their respective affiliates in 2024 and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980" w:type="dxa"/>
            <w:vAlign w:val="bottom"/>
          </w:tcPr>
          <w:p>
            <w:pPr>
              <w:spacing w:after="0"/>
              <w:rPr>
                <w:sz w:val="20"/>
                <w:szCs w:val="20"/>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2024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r>
      <w:tr>
        <w:trPr>
          <w:trHeight w:val="232"/>
        </w:trPr>
        <w:tc>
          <w:tcPr>
            <w:tcW w:w="99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IN MILLIONS)</w:t>
            </w:r>
          </w:p>
        </w:tc>
      </w:tr>
      <w:tr>
        <w:trPr>
          <w:trHeight w:val="295"/>
        </w:trPr>
        <w:tc>
          <w:tcPr>
            <w:tcW w:w="9980" w:type="dxa"/>
            <w:vAlign w:val="bottom"/>
            <w:tcBorders>
              <w:bottom w:val="single" w:sz="8" w:color="DCDDDE"/>
            </w:tcBorders>
          </w:tcPr>
          <w:p>
            <w:pPr>
              <w:ind w:left="80"/>
              <w:spacing w:after="0"/>
              <w:rPr>
                <w:sz w:val="20"/>
                <w:szCs w:val="20"/>
                <w:color w:val="auto"/>
              </w:rPr>
            </w:pPr>
            <w:r>
              <w:rPr>
                <w:rFonts w:ascii="Arial" w:cs="Arial" w:eastAsia="Arial" w:hAnsi="Arial"/>
                <w:sz w:val="17"/>
                <w:szCs w:val="17"/>
                <w:b w:val="1"/>
                <w:bCs w:val="1"/>
                <w:color w:val="auto"/>
              </w:rPr>
              <w:t>Audit fees</w:t>
            </w:r>
          </w:p>
        </w:tc>
        <w:tc>
          <w:tcPr>
            <w:tcW w:w="600" w:type="dxa"/>
            <w:vAlign w:val="bottom"/>
            <w:tcBorders>
              <w:bottom w:val="single" w:sz="8" w:color="DCDDDE"/>
            </w:tcBorders>
          </w:tcPr>
          <w:p>
            <w:pPr>
              <w:jc w:val="right"/>
              <w:ind w:right="115"/>
              <w:spacing w:after="0"/>
              <w:rPr>
                <w:sz w:val="20"/>
                <w:szCs w:val="20"/>
                <w:color w:val="auto"/>
              </w:rPr>
            </w:pPr>
            <w:r>
              <w:rPr>
                <w:rFonts w:ascii="Arial" w:cs="Arial" w:eastAsia="Arial" w:hAnsi="Arial"/>
                <w:sz w:val="17"/>
                <w:szCs w:val="17"/>
                <w:color w:val="auto"/>
              </w:rPr>
              <w:t>30.9</w:t>
            </w:r>
          </w:p>
        </w:tc>
        <w:tc>
          <w:tcPr>
            <w:tcW w:w="660" w:type="dxa"/>
            <w:vAlign w:val="bottom"/>
            <w:tcBorders>
              <w:bottom w:val="single" w:sz="8" w:color="DCDDDE"/>
            </w:tcBorders>
          </w:tcPr>
          <w:p>
            <w:pPr>
              <w:jc w:val="right"/>
              <w:spacing w:after="0"/>
              <w:rPr>
                <w:sz w:val="20"/>
                <w:szCs w:val="20"/>
                <w:color w:val="auto"/>
              </w:rPr>
            </w:pPr>
            <w:r>
              <w:rPr>
                <w:rFonts w:ascii="Arial" w:cs="Arial" w:eastAsia="Arial" w:hAnsi="Arial"/>
                <w:sz w:val="17"/>
                <w:szCs w:val="17"/>
                <w:color w:val="auto"/>
              </w:rPr>
              <w:t>26.9</w:t>
            </w:r>
          </w:p>
        </w:tc>
      </w:tr>
      <w:tr>
        <w:trPr>
          <w:trHeight w:val="236"/>
        </w:trPr>
        <w:tc>
          <w:tcPr>
            <w:tcW w:w="9980" w:type="dxa"/>
            <w:vAlign w:val="bottom"/>
            <w:tcBorders>
              <w:bottom w:val="single" w:sz="8" w:color="DCDDDE"/>
            </w:tcBorders>
          </w:tcPr>
          <w:p>
            <w:pPr>
              <w:ind w:left="80"/>
              <w:spacing w:after="0"/>
              <w:rPr>
                <w:sz w:val="20"/>
                <w:szCs w:val="20"/>
                <w:color w:val="auto"/>
              </w:rPr>
            </w:pPr>
            <w:r>
              <w:rPr>
                <w:rFonts w:ascii="Arial" w:cs="Arial" w:eastAsia="Arial" w:hAnsi="Arial"/>
                <w:sz w:val="17"/>
                <w:szCs w:val="17"/>
                <w:b w:val="1"/>
                <w:bCs w:val="1"/>
                <w:color w:val="auto"/>
              </w:rPr>
              <w:t>Audit-related fees</w:t>
            </w:r>
          </w:p>
        </w:tc>
        <w:tc>
          <w:tcPr>
            <w:tcW w:w="600" w:type="dxa"/>
            <w:vAlign w:val="bottom"/>
            <w:tcBorders>
              <w:bottom w:val="single" w:sz="8" w:color="DCDDDE"/>
            </w:tcBorders>
          </w:tcPr>
          <w:p>
            <w:pPr>
              <w:jc w:val="right"/>
              <w:ind w:right="115"/>
              <w:spacing w:after="0"/>
              <w:rPr>
                <w:sz w:val="20"/>
                <w:szCs w:val="20"/>
                <w:color w:val="auto"/>
              </w:rPr>
            </w:pPr>
            <w:r>
              <w:rPr>
                <w:rFonts w:ascii="Arial" w:cs="Arial" w:eastAsia="Arial" w:hAnsi="Arial"/>
                <w:sz w:val="17"/>
                <w:szCs w:val="17"/>
                <w:color w:val="auto"/>
              </w:rPr>
              <w:t>2.4</w:t>
            </w:r>
          </w:p>
        </w:tc>
        <w:tc>
          <w:tcPr>
            <w:tcW w:w="660" w:type="dxa"/>
            <w:vAlign w:val="bottom"/>
            <w:tcBorders>
              <w:bottom w:val="single" w:sz="8" w:color="DCDDDE"/>
            </w:tcBorders>
          </w:tcPr>
          <w:p>
            <w:pPr>
              <w:jc w:val="right"/>
              <w:spacing w:after="0"/>
              <w:rPr>
                <w:sz w:val="20"/>
                <w:szCs w:val="20"/>
                <w:color w:val="auto"/>
              </w:rPr>
            </w:pPr>
            <w:r>
              <w:rPr>
                <w:rFonts w:ascii="Arial" w:cs="Arial" w:eastAsia="Arial" w:hAnsi="Arial"/>
                <w:sz w:val="17"/>
                <w:szCs w:val="17"/>
                <w:color w:val="auto"/>
              </w:rPr>
              <w:t>1.3</w:t>
            </w:r>
          </w:p>
        </w:tc>
      </w:tr>
      <w:tr>
        <w:trPr>
          <w:trHeight w:val="237"/>
        </w:trPr>
        <w:tc>
          <w:tcPr>
            <w:tcW w:w="9980" w:type="dxa"/>
            <w:vAlign w:val="bottom"/>
            <w:tcBorders>
              <w:bottom w:val="single" w:sz="8" w:color="DCDDDE"/>
            </w:tcBorders>
          </w:tcPr>
          <w:p>
            <w:pPr>
              <w:ind w:left="80"/>
              <w:spacing w:after="0"/>
              <w:rPr>
                <w:sz w:val="20"/>
                <w:szCs w:val="20"/>
                <w:color w:val="auto"/>
              </w:rPr>
            </w:pPr>
            <w:r>
              <w:rPr>
                <w:rFonts w:ascii="Arial" w:cs="Arial" w:eastAsia="Arial" w:hAnsi="Arial"/>
                <w:sz w:val="17"/>
                <w:szCs w:val="17"/>
                <w:b w:val="1"/>
                <w:bCs w:val="1"/>
                <w:color w:val="auto"/>
              </w:rPr>
              <w:t>Tax fees</w:t>
            </w:r>
          </w:p>
        </w:tc>
        <w:tc>
          <w:tcPr>
            <w:tcW w:w="600" w:type="dxa"/>
            <w:vAlign w:val="bottom"/>
            <w:tcBorders>
              <w:bottom w:val="single" w:sz="8" w:color="DCDDDE"/>
            </w:tcBorders>
          </w:tcPr>
          <w:p>
            <w:pPr>
              <w:jc w:val="right"/>
              <w:ind w:right="115"/>
              <w:spacing w:after="0"/>
              <w:rPr>
                <w:sz w:val="20"/>
                <w:szCs w:val="20"/>
                <w:color w:val="auto"/>
              </w:rPr>
            </w:pPr>
            <w:r>
              <w:rPr>
                <w:rFonts w:ascii="Arial" w:cs="Arial" w:eastAsia="Arial" w:hAnsi="Arial"/>
                <w:sz w:val="17"/>
                <w:szCs w:val="17"/>
                <w:color w:val="auto"/>
              </w:rPr>
              <w:t>0.7</w:t>
            </w:r>
          </w:p>
        </w:tc>
        <w:tc>
          <w:tcPr>
            <w:tcW w:w="660" w:type="dxa"/>
            <w:vAlign w:val="bottom"/>
            <w:tcBorders>
              <w:bottom w:val="single" w:sz="8" w:color="DCDDDE"/>
            </w:tcBorders>
          </w:tcPr>
          <w:p>
            <w:pPr>
              <w:jc w:val="right"/>
              <w:spacing w:after="0"/>
              <w:rPr>
                <w:sz w:val="20"/>
                <w:szCs w:val="20"/>
                <w:color w:val="auto"/>
              </w:rPr>
            </w:pPr>
            <w:r>
              <w:rPr>
                <w:rFonts w:ascii="Arial" w:cs="Arial" w:eastAsia="Arial" w:hAnsi="Arial"/>
                <w:sz w:val="17"/>
                <w:szCs w:val="17"/>
                <w:color w:val="auto"/>
              </w:rPr>
              <w:t>0.6</w:t>
            </w:r>
          </w:p>
        </w:tc>
      </w:tr>
      <w:tr>
        <w:trPr>
          <w:trHeight w:val="236"/>
        </w:trPr>
        <w:tc>
          <w:tcPr>
            <w:tcW w:w="9980" w:type="dxa"/>
            <w:vAlign w:val="bottom"/>
            <w:tcBorders>
              <w:bottom w:val="single" w:sz="8" w:color="DCDDDE"/>
            </w:tcBorders>
          </w:tcPr>
          <w:p>
            <w:pPr>
              <w:ind w:left="80"/>
              <w:spacing w:after="0"/>
              <w:rPr>
                <w:sz w:val="20"/>
                <w:szCs w:val="20"/>
                <w:color w:val="auto"/>
              </w:rPr>
            </w:pPr>
            <w:r>
              <w:rPr>
                <w:rFonts w:ascii="Arial" w:cs="Arial" w:eastAsia="Arial" w:hAnsi="Arial"/>
                <w:sz w:val="17"/>
                <w:szCs w:val="17"/>
                <w:b w:val="1"/>
                <w:bCs w:val="1"/>
                <w:color w:val="auto"/>
              </w:rPr>
              <w:t>All other fees</w:t>
            </w:r>
          </w:p>
        </w:tc>
        <w:tc>
          <w:tcPr>
            <w:tcW w:w="600" w:type="dxa"/>
            <w:vAlign w:val="bottom"/>
            <w:tcBorders>
              <w:bottom w:val="single" w:sz="8" w:color="DCDDDE"/>
            </w:tcBorders>
          </w:tcPr>
          <w:p>
            <w:pPr>
              <w:jc w:val="right"/>
              <w:ind w:right="115"/>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DCDDDE"/>
            </w:tcBorders>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998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Total</w:t>
            </w: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34.0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w:t>
            </w:r>
          </w:p>
        </w:tc>
      </w:tr>
    </w:tbl>
    <w:p>
      <w:pPr>
        <w:spacing w:after="0" w:line="194"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Audit fees consisted of fees paid or accrued for services rendered to us and our subsidiaries for the audits of our annual financial statements, audits of our internal control over financial reporting (as required by Section 404 of the Sarbanes-Oxley Act of 2002), reviews of our quarterly financial statements and audit services provided in connection with other statutory, regulatory or contractual requirements.</w:t>
      </w:r>
    </w:p>
    <w:p>
      <w:pPr>
        <w:spacing w:after="0" w:line="175"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Audit-related fees consisted of fees paid or accrued for financial due diligence services and attestation services. In 2024, these services include the audit of financial statements in connection with the proposed spin-off.</w:t>
      </w:r>
    </w:p>
    <w:p>
      <w:pPr>
        <w:spacing w:after="0" w:line="159"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color w:val="auto"/>
        </w:rPr>
        <w:t>Tax fees consisted of fees paid or accrued for domestic and foreign tax compliance services, including review of tax returns and tax examination assistance. There were no fees paid or accrued in 2024 and 2023 for tax planning.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Other fees included fees paid or accrued for subscription services.</w:t>
      </w:r>
    </w:p>
    <w:p>
      <w:pPr>
        <w:spacing w:after="0" w:line="214"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color w:val="auto"/>
        </w:rPr>
        <w:t>Preapproval Policy of Audit Committee of Services Performed by Independent Auditors</w:t>
      </w:r>
    </w:p>
    <w:p>
      <w:pPr>
        <w:spacing w:after="0" w:line="226"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The Audit Committee’s policy requires that the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$1 million in a single engagement or series of related engagements, it requires separate preapproval. The Audit Committee has delegated its preapproval authority to its Chair.</w:t>
      </w:r>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00A0DD"/>
        </w:rPr>
        <w:t>Report of the Audit Committee</w:t>
      </w:r>
    </w:p>
    <w:p>
      <w:pPr>
        <w:spacing w:after="0" w:line="23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 xml:space="preserve">The Audit Committee (as used in this section, “we” or “our”) is composed solely of independent directors meeting the requirements of the applicable rules of the SEC and The Nasdaq Stock Market LLC. Each member also is financially literate for audit committee purposes under the Nasdaq rules, and the Board has concluded that Jeffrey A. Honickman and Asuka Nakahara qualify as audit committee financial experts. The key responsibilities of our committee are set forth in our charter, which was adopted by us and approved by the Board and is posted under “Corporate Governance” in the Investors section of Comcast’s website at </w:t>
      </w:r>
      <w:r>
        <w:rPr>
          <w:rFonts w:ascii="Arial" w:cs="Arial" w:eastAsia="Arial" w:hAnsi="Arial"/>
          <w:sz w:val="17"/>
          <w:szCs w:val="17"/>
          <w:i w:val="1"/>
          <w:iCs w:val="1"/>
          <w:color w:val="auto"/>
        </w:rPr>
        <w:t>www.cmcsa.com</w:t>
      </w:r>
      <w:r>
        <w:rPr>
          <w:rFonts w:ascii="Arial" w:cs="Arial" w:eastAsia="Arial" w:hAnsi="Arial"/>
          <w:sz w:val="17"/>
          <w:szCs w:val="17"/>
          <w:color w:val="auto"/>
        </w:rPr>
        <w:t>.</w:t>
      </w:r>
    </w:p>
    <w:p>
      <w:pPr>
        <w:spacing w:after="0" w:line="180" w:lineRule="exact"/>
        <w:rPr>
          <w:sz w:val="20"/>
          <w:szCs w:val="20"/>
          <w:color w:val="auto"/>
        </w:rPr>
      </w:pPr>
    </w:p>
    <w:p>
      <w:pPr>
        <w:ind w:right="400"/>
        <w:spacing w:after="0" w:line="244" w:lineRule="auto"/>
        <w:rPr>
          <w:sz w:val="20"/>
          <w:szCs w:val="20"/>
          <w:color w:val="auto"/>
        </w:rPr>
      </w:pPr>
      <w:r>
        <w:rPr>
          <w:rFonts w:ascii="Arial" w:cs="Arial" w:eastAsia="Arial" w:hAnsi="Arial"/>
          <w:sz w:val="17"/>
          <w:szCs w:val="17"/>
          <w:color w:val="auto"/>
        </w:rPr>
        <w:t>We serve in an oversight capacity and are not intended to be part of Comcast’s operational or managerial decision-making process. Comcast’s management is responsible for the preparation, integrity and fair presentation of information in Comcast’s consolidated financial statements, the financial reporting process and internal control over financial reporting. Deloitte, Comcast’s independent auditors, is responsible for auditing Comcast’s consolidated financial statements and internal control over financial reporting. Our principal purpose is to monitor these processes.</w:t>
      </w:r>
    </w:p>
    <w:p>
      <w:pPr>
        <w:spacing w:after="0" w:line="177" w:lineRule="exact"/>
        <w:rPr>
          <w:sz w:val="20"/>
          <w:szCs w:val="20"/>
          <w:color w:val="auto"/>
        </w:rPr>
      </w:pPr>
    </w:p>
    <w:p>
      <w:pPr>
        <w:jc w:val="both"/>
        <w:ind w:right="80"/>
        <w:spacing w:after="0" w:line="249" w:lineRule="auto"/>
        <w:rPr>
          <w:sz w:val="20"/>
          <w:szCs w:val="20"/>
          <w:color w:val="auto"/>
        </w:rPr>
      </w:pPr>
      <w:r>
        <w:rPr>
          <w:rFonts w:ascii="Arial" w:cs="Arial" w:eastAsia="Arial" w:hAnsi="Arial"/>
          <w:sz w:val="17"/>
          <w:szCs w:val="17"/>
          <w:color w:val="auto"/>
        </w:rPr>
        <w:t>In this context, at each regularly scheduled in-person meeting, we met and held discussions with management, Comcast’s internal auditors and the independent auditors. Management represented to us that Comcast’s consolidated financial statements were prepared in accordance with generally accepted accounting principles applied on a consistent basis.</w:t>
      </w:r>
    </w:p>
    <w:p>
      <w:pPr>
        <w:spacing w:after="0" w:line="175"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Prior to their issuance, we reviewed and discussed the quarterly and annual earnings press releases, consolidated financial statements and disclosures under “Management’s Discussion and Analysis of Financial Condition and Results of Operations” (including the presentation of non-GAAP financial information and critical accounting estimates) with management, Comcast’s internal auditors and the independent auditors. We also reviewed Comcast’s policies, practices and assessments with respect to significant financial risks and significant business risks, including cybersecurity, as well as its processes and practices with respect to enterprise risk assessment and management. We discussed with</w:t>
      </w:r>
    </w:p>
    <w:p>
      <w:pPr>
        <w:spacing w:after="0" w:line="4" w:lineRule="exact"/>
        <w:rPr>
          <w:sz w:val="20"/>
          <w:szCs w:val="20"/>
          <w:color w:val="auto"/>
        </w:rPr>
      </w:pPr>
    </w:p>
    <w:p>
      <w:pPr>
        <w:ind w:right="460"/>
        <w:spacing w:after="0" w:line="248" w:lineRule="auto"/>
        <w:rPr>
          <w:sz w:val="20"/>
          <w:szCs w:val="20"/>
          <w:color w:val="auto"/>
        </w:rPr>
      </w:pPr>
      <w:r>
        <w:rPr>
          <w:rFonts w:ascii="Arial" w:cs="Arial" w:eastAsia="Arial" w:hAnsi="Arial"/>
          <w:sz w:val="17"/>
          <w:szCs w:val="17"/>
          <w:color w:val="auto"/>
        </w:rPr>
        <w:t>the independent auditors critical audit matters identified during the course of the audit and other matters required to be discussed by applicable Public Company Accounting Oversight Board (“PCAOB”) and SEC rules.</w:t>
      </w:r>
    </w:p>
    <w:p>
      <w:pPr>
        <w:spacing w:after="0" w:line="174"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We discussed with the independent auditors the overall scope and plans for their audit and approved the terms of their engagement letter. We also reviewed Comcast’s internal audit plan. We met with the independent auditors and with Comcast’s internal auditors, in each case with and without other members of management present, to discuss the results of their respective examinations, the evaluations of Comcast’s internal controls and the overall quality and integrity of Comcast’s financial reporting. Among other things, in our discussions with the independent auditors, we sought their perspectives on the appropriateness of the accounting principles selected by management and their assessment of risk in financial reporting.</w:t>
      </w:r>
    </w:p>
    <w:p>
      <w:pPr>
        <w:spacing w:after="0" w:line="18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Additionally, we reviewed the performance, responsibilities, budget and staffing of Comcast’s internal auditors. We also have established, and oversaw compliance with, procedures for Comcast’s receipt, retention and treatment of complaints regarding accounting, internal accounting controls or auditing matters and its employees’ confidential and anonymous submissions of concerns regarding questionable accounting or auditing matters.</w:t>
      </w:r>
    </w:p>
    <w:p>
      <w:pPr>
        <w:spacing w:after="0" w:line="175"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discussed with the independent auditors the auditors’ independence from Comcast and its management, including the matters required to be discussed by the applicable requirements of the PCAOB and SEC, and received written disclosures from the independent auditors required by applicable PCAOB rules regarding their independence. We also reviewed Comcast’s hiring policies and practices with respect to current and former employees of the independent auditors. We preapproved, in accordance with our preapproval policy described above, all services provided by the independent auditors and considered whether their provision of such services to Comcast is compatible with maintaining the auditors’ independence. Based on the reviews and discussions referred to above, we recommended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23</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to the Board, and the Board approved, that the audited consolidated financial statements be included in Comcast’s Annual Report on Form 10-K for the year ended December 31, 2024, filed with the SEC.</w:t>
      </w:r>
    </w:p>
    <w:p>
      <w:pPr>
        <w:spacing w:after="0" w:line="159"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In addition, as in prior years, we, along with Comcast’s management and internal auditors, reviewed Deloitte’s performance as part of our consideration of whether to appoint the firm as independent auditors for 2025 and recommend that shareholders ratify this appointment. As part of this review, we considered the continued independence of Deloitte, the quality of service provided on prior audits, the results of an evaluation of Deloitte by Comcast’s management and internal auditors and Deloitte’s effectiveness of communications and working relationships with us, management and the internal auditors. We also considered the period of time that Deloitte has served as Comcast’s independent auditors and evaluated the quality and depth of the firm and the audit team’s expertise and experience in our industries in light of the breadth, complexity and global reach of Comcast’s businesses. Following this review, we have appointed Deloitte as Comcast’s independent auditors for 2025 and are recommending that Comcast’s shareholders ratify this appointment.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Members of the Audit Committee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Jeffrey A. Honickman (Chair)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Louise F. Brady</w:t>
      </w:r>
    </w:p>
    <w:p>
      <w:pPr>
        <w:spacing w:after="0" w:line="232" w:lineRule="auto"/>
        <w:rPr>
          <w:sz w:val="20"/>
          <w:szCs w:val="20"/>
          <w:color w:val="auto"/>
        </w:rPr>
      </w:pPr>
      <w:r>
        <w:rPr>
          <w:rFonts w:ascii="Arial" w:cs="Arial" w:eastAsia="Arial" w:hAnsi="Arial"/>
          <w:sz w:val="17"/>
          <w:szCs w:val="17"/>
          <w:color w:val="auto"/>
        </w:rPr>
        <w:t>Wonya Y. Lucas</w:t>
      </w:r>
    </w:p>
    <w:p>
      <w:pPr>
        <w:spacing w:after="0"/>
        <w:rPr>
          <w:sz w:val="20"/>
          <w:szCs w:val="20"/>
          <w:color w:val="auto"/>
        </w:rPr>
      </w:pPr>
      <w:r>
        <w:rPr>
          <w:rFonts w:ascii="Arial" w:cs="Arial" w:eastAsia="Arial" w:hAnsi="Arial"/>
          <w:sz w:val="17"/>
          <w:szCs w:val="17"/>
          <w:color w:val="auto"/>
        </w:rPr>
        <w:t>Asuka Nakahara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891540" cy="291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91540" cy="291465"/>
                    </a:xfrm>
                    <a:prstGeom prst="rect">
                      <a:avLst/>
                    </a:prstGeom>
                    <a:noFill/>
                  </pic:spPr>
                </pic:pic>
              </a:graphicData>
            </a:graphic>
          </wp:anchor>
        </w:drawing>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FFFFFF"/>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915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91540"/>
                    </a:xfrm>
                    <a:prstGeom prst="rect">
                      <a:avLst/>
                    </a:prstGeom>
                    <a:noFill/>
                  </pic:spPr>
                </pic:pic>
              </a:graphicData>
            </a:graphic>
          </wp:anchor>
        </w:drawing>
      </w:r>
    </w:p>
    <w:p>
      <w:pPr>
        <w:spacing w:after="0" w:line="180" w:lineRule="exact"/>
        <w:rPr>
          <w:sz w:val="20"/>
          <w:szCs w:val="20"/>
          <w:color w:val="auto"/>
        </w:rPr>
      </w:pPr>
    </w:p>
    <w:p>
      <w:pPr>
        <w:ind w:left="120" w:right="700"/>
        <w:spacing w:after="0" w:line="286" w:lineRule="auto"/>
        <w:rPr>
          <w:sz w:val="20"/>
          <w:szCs w:val="20"/>
          <w:color w:val="auto"/>
        </w:rPr>
      </w:pPr>
      <w:r>
        <w:rPr>
          <w:rFonts w:ascii="Arial" w:cs="Arial" w:eastAsia="Arial" w:hAnsi="Arial"/>
          <w:sz w:val="29"/>
          <w:szCs w:val="29"/>
          <w:b w:val="1"/>
          <w:bCs w:val="1"/>
          <w:color w:val="00A0E0"/>
        </w:rPr>
        <w:t>Increase Share Authorization Under Comcast-NBCUniversal 2011 Employee Stock Purchase Plan</w:t>
      </w:r>
    </w:p>
    <w:p>
      <w:pPr>
        <w:ind w:left="760" w:right="20"/>
        <w:spacing w:after="0" w:line="267" w:lineRule="auto"/>
        <w:rPr>
          <w:sz w:val="20"/>
          <w:szCs w:val="20"/>
          <w:color w:val="auto"/>
        </w:rPr>
      </w:pPr>
      <w:r>
        <w:rPr>
          <w:rFonts w:ascii="Arial" w:cs="Arial" w:eastAsia="Arial" w:hAnsi="Arial"/>
          <w:sz w:val="17"/>
          <w:szCs w:val="17"/>
          <w:color w:val="auto"/>
        </w:rPr>
        <w:t xml:space="preserve">Our Board unanimously recommends that shareholders vote </w:t>
      </w:r>
      <w:r>
        <w:rPr>
          <w:rFonts w:ascii="Arial" w:cs="Arial" w:eastAsia="Arial" w:hAnsi="Arial"/>
          <w:sz w:val="17"/>
          <w:szCs w:val="17"/>
          <w:b w:val="1"/>
          <w:bCs w:val="1"/>
          <w:color w:val="00A0E0"/>
        </w:rPr>
        <w:t>“FOR”</w:t>
      </w:r>
      <w:r>
        <w:rPr>
          <w:rFonts w:ascii="Arial" w:cs="Arial" w:eastAsia="Arial" w:hAnsi="Arial"/>
          <w:sz w:val="17"/>
          <w:szCs w:val="17"/>
          <w:color w:val="auto"/>
        </w:rPr>
        <w:t xml:space="preserve"> increasing the share authorization under the Comcast-NBCUniversal 2011 Employee Stock Purchase Plan, as amended and restated.</w:t>
      </w:r>
    </w:p>
    <w:p>
      <w:pPr>
        <w:spacing w:after="0" w:line="29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 February 23, 2011, our Board adopted the Comcast-NBCUniversal 2011 Employee Stock Purchase Plan (the “ESPP”), which was amended and restated in accordance with its terms on March 18, 2011. Our shareholders approved the ESPP in 2011, 2012 and, most recently, in 2016. The ESPP was adopted for the benefit of eligible employees of NBCUniversal and certain of its subsidiaries and is similar to the Comcast Corporation 2002 Employee Stock Purchase Plan in nearly all respects. The ESPP provides for broad-based eligibility; however, because it excludes participation by certain workers covered by collective bargaining agreements, certain workers classified as “temporary” or intermittent employees and workers based outside of the United States, the plan cannot satisfy the employee eligibility requirements of Section 423 of the Internal Revenue Code. Due to the participation of our employees in the ESPP, the current authorized share pool of 24.2 million shares under the plan is nearly exhausted. As a result, on February 25, 2025, the Compensation Committee approved an amendment to the ESPP to increase the number of shares available for issuance by 10 million from 24.2 million to 34.2 million.</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Description of the Comcast-NBCUniversal 2011 Employee Stock Purchase Plan</w:t>
      </w:r>
    </w:p>
    <w:p>
      <w:pPr>
        <w:spacing w:after="0" w:line="228"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 xml:space="preserve">The following is a summary of the material features of the ESPP, as amended and restated. This summary does not purport to be complete and is qualified in its entirety by reference to the terms of the ESPP, which is attached as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to this proxy statement.</w:t>
      </w:r>
    </w:p>
    <w:p>
      <w:pPr>
        <w:spacing w:after="0" w:line="159" w:lineRule="exact"/>
        <w:rPr>
          <w:sz w:val="20"/>
          <w:szCs w:val="20"/>
          <w:color w:val="auto"/>
        </w:rPr>
      </w:pPr>
    </w:p>
    <w:p>
      <w:pPr>
        <w:spacing w:after="0" w:line="241"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In general, a full-time employee or part-time employee working at least 20 hours per week at NBCUniversal or a participating subsidiary is</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to participate in the ESPP if he or she has been continuously employed for at least 90 days as of the first day of an offering period. A part-time employee working less than 20 hours per week is generally eligible to participate in the ESPP if he or she has been continuously employed by NBCUniversal or its predecessors for at least one year as of the first day of an offering period. However, the following individuals are not eligible to participate in the ESPP:</w:t>
      </w:r>
    </w:p>
    <w:p>
      <w:pPr>
        <w:spacing w:after="0" w:line="180" w:lineRule="exact"/>
        <w:rPr>
          <w:sz w:val="20"/>
          <w:szCs w:val="20"/>
          <w:color w:val="auto"/>
        </w:rPr>
      </w:pPr>
    </w:p>
    <w:p>
      <w:pPr>
        <w:ind w:left="260" w:right="160" w:hanging="252"/>
        <w:spacing w:after="0" w:line="267" w:lineRule="auto"/>
        <w:tabs>
          <w:tab w:leader="none" w:pos="260" w:val="left"/>
        </w:tabs>
        <w:numPr>
          <w:ilvl w:val="0"/>
          <w:numId w:val="53"/>
        </w:numPr>
        <w:rPr>
          <w:rFonts w:ascii="Arial" w:cs="Arial" w:eastAsia="Arial" w:hAnsi="Arial"/>
          <w:sz w:val="17"/>
          <w:szCs w:val="17"/>
          <w:color w:val="00A0E0"/>
        </w:rPr>
      </w:pPr>
      <w:r>
        <w:rPr>
          <w:rFonts w:ascii="Arial" w:cs="Arial" w:eastAsia="Arial" w:hAnsi="Arial"/>
          <w:sz w:val="17"/>
          <w:szCs w:val="17"/>
          <w:color w:val="auto"/>
        </w:rPr>
        <w:t>an individual covered by a collective bargaining agreement, unless the collective bargaining agreement specifically provides for participation in the ESPP;</w:t>
      </w:r>
    </w:p>
    <w:p>
      <w:pPr>
        <w:spacing w:after="0" w:line="10" w:lineRule="exact"/>
        <w:rPr>
          <w:rFonts w:ascii="Arial" w:cs="Arial" w:eastAsia="Arial" w:hAnsi="Arial"/>
          <w:sz w:val="17"/>
          <w:szCs w:val="17"/>
          <w:color w:val="00A0E0"/>
        </w:rPr>
      </w:pPr>
    </w:p>
    <w:p>
      <w:pPr>
        <w:ind w:left="260" w:right="80" w:hanging="252"/>
        <w:spacing w:after="0" w:line="267" w:lineRule="auto"/>
        <w:tabs>
          <w:tab w:leader="none" w:pos="260" w:val="left"/>
        </w:tabs>
        <w:numPr>
          <w:ilvl w:val="0"/>
          <w:numId w:val="53"/>
        </w:numPr>
        <w:rPr>
          <w:rFonts w:ascii="Arial" w:cs="Arial" w:eastAsia="Arial" w:hAnsi="Arial"/>
          <w:sz w:val="17"/>
          <w:szCs w:val="17"/>
          <w:color w:val="00A0E0"/>
        </w:rPr>
      </w:pPr>
      <w:r>
        <w:rPr>
          <w:rFonts w:ascii="Arial" w:cs="Arial" w:eastAsia="Arial" w:hAnsi="Arial"/>
          <w:sz w:val="17"/>
          <w:szCs w:val="17"/>
          <w:color w:val="auto"/>
        </w:rPr>
        <w:t>unless otherwise provided by the terms of the ESPP, an individual who is not on a United States employee payroll of a participating company or an individual with respect to whom the participating company does not report such individual’s compensation as wages on Form W-2;</w:t>
      </w:r>
    </w:p>
    <w:p>
      <w:pPr>
        <w:spacing w:after="0" w:line="163" w:lineRule="exact"/>
        <w:rPr>
          <w:sz w:val="20"/>
          <w:szCs w:val="20"/>
          <w:color w:val="auto"/>
        </w:rPr>
      </w:pPr>
    </w:p>
    <w:p>
      <w:pPr>
        <w:ind w:left="400" w:hanging="392"/>
        <w:spacing w:after="0"/>
        <w:tabs>
          <w:tab w:leader="none" w:pos="40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ind w:left="260" w:right="540" w:hanging="252"/>
        <w:spacing w:after="0" w:line="267" w:lineRule="auto"/>
        <w:tabs>
          <w:tab w:leader="none" w:pos="260" w:val="left"/>
        </w:tabs>
        <w:numPr>
          <w:ilvl w:val="0"/>
          <w:numId w:val="55"/>
        </w:numPr>
        <w:rPr>
          <w:rFonts w:ascii="Arial" w:cs="Arial" w:eastAsia="Arial" w:hAnsi="Arial"/>
          <w:sz w:val="17"/>
          <w:szCs w:val="17"/>
          <w:color w:val="00A0E0"/>
        </w:rPr>
      </w:pPr>
      <w:r>
        <w:rPr>
          <w:rFonts w:ascii="Arial" w:cs="Arial" w:eastAsia="Arial" w:hAnsi="Arial"/>
          <w:sz w:val="17"/>
          <w:szCs w:val="17"/>
          <w:color w:val="auto"/>
        </w:rPr>
        <w:t>an individual who has entered into an agreement with a participating company that excludes such individual from participation in employee benefit plans of a participating company;</w:t>
      </w:r>
    </w:p>
    <w:p>
      <w:pPr>
        <w:spacing w:after="0" w:line="10" w:lineRule="exact"/>
        <w:rPr>
          <w:rFonts w:ascii="Arial" w:cs="Arial" w:eastAsia="Arial" w:hAnsi="Arial"/>
          <w:sz w:val="17"/>
          <w:szCs w:val="17"/>
          <w:color w:val="00A0E0"/>
        </w:rPr>
      </w:pPr>
    </w:p>
    <w:p>
      <w:pPr>
        <w:ind w:left="260" w:right="40" w:hanging="252"/>
        <w:spacing w:after="0" w:line="267" w:lineRule="auto"/>
        <w:tabs>
          <w:tab w:leader="none" w:pos="260" w:val="left"/>
        </w:tabs>
        <w:numPr>
          <w:ilvl w:val="0"/>
          <w:numId w:val="55"/>
        </w:numPr>
        <w:rPr>
          <w:rFonts w:ascii="Arial" w:cs="Arial" w:eastAsia="Arial" w:hAnsi="Arial"/>
          <w:sz w:val="17"/>
          <w:szCs w:val="17"/>
          <w:color w:val="00A0E0"/>
        </w:rPr>
      </w:pPr>
      <w:r>
        <w:rPr>
          <w:rFonts w:ascii="Arial" w:cs="Arial" w:eastAsia="Arial" w:hAnsi="Arial"/>
          <w:sz w:val="17"/>
          <w:szCs w:val="17"/>
          <w:color w:val="auto"/>
        </w:rPr>
        <w:t>an individual who is not classified by a participating company as an employee of the participating company, even if such individual is retroactively recharacterized as an employee by a third party or a participating company;</w:t>
      </w:r>
    </w:p>
    <w:p>
      <w:pPr>
        <w:spacing w:after="0" w:line="10" w:lineRule="exact"/>
        <w:rPr>
          <w:rFonts w:ascii="Arial" w:cs="Arial" w:eastAsia="Arial" w:hAnsi="Arial"/>
          <w:sz w:val="17"/>
          <w:szCs w:val="17"/>
          <w:color w:val="00A0E0"/>
        </w:rPr>
      </w:pPr>
    </w:p>
    <w:p>
      <w:pPr>
        <w:ind w:left="260" w:hanging="252"/>
        <w:spacing w:after="0"/>
        <w:tabs>
          <w:tab w:leader="none" w:pos="260" w:val="left"/>
        </w:tabs>
        <w:numPr>
          <w:ilvl w:val="0"/>
          <w:numId w:val="55"/>
        </w:numPr>
        <w:rPr>
          <w:rFonts w:ascii="Arial" w:cs="Arial" w:eastAsia="Arial" w:hAnsi="Arial"/>
          <w:sz w:val="17"/>
          <w:szCs w:val="17"/>
          <w:color w:val="00A0E0"/>
        </w:rPr>
      </w:pPr>
      <w:r>
        <w:rPr>
          <w:rFonts w:ascii="Arial" w:cs="Arial" w:eastAsia="Arial" w:hAnsi="Arial"/>
          <w:sz w:val="17"/>
          <w:szCs w:val="17"/>
          <w:color w:val="auto"/>
        </w:rPr>
        <w:t>except as otherwise provided by the Compensation Committee, an individual whose principal work location is outside of the United States; and</w:t>
      </w:r>
    </w:p>
    <w:p>
      <w:pPr>
        <w:spacing w:after="0" w:line="61" w:lineRule="exact"/>
        <w:rPr>
          <w:rFonts w:ascii="Arial" w:cs="Arial" w:eastAsia="Arial" w:hAnsi="Arial"/>
          <w:sz w:val="17"/>
          <w:szCs w:val="17"/>
          <w:color w:val="00A0E0"/>
        </w:rPr>
      </w:pPr>
    </w:p>
    <w:p>
      <w:pPr>
        <w:ind w:left="260" w:right="680" w:hanging="252"/>
        <w:spacing w:after="0" w:line="267" w:lineRule="auto"/>
        <w:tabs>
          <w:tab w:leader="none" w:pos="260" w:val="left"/>
        </w:tabs>
        <w:numPr>
          <w:ilvl w:val="0"/>
          <w:numId w:val="55"/>
        </w:numPr>
        <w:rPr>
          <w:rFonts w:ascii="Arial" w:cs="Arial" w:eastAsia="Arial" w:hAnsi="Arial"/>
          <w:sz w:val="17"/>
          <w:szCs w:val="17"/>
          <w:color w:val="00A0E0"/>
        </w:rPr>
      </w:pPr>
      <w:r>
        <w:rPr>
          <w:rFonts w:ascii="Arial" w:cs="Arial" w:eastAsia="Arial" w:hAnsi="Arial"/>
          <w:sz w:val="17"/>
          <w:szCs w:val="17"/>
          <w:color w:val="auto"/>
        </w:rPr>
        <w:t>an individual whose employment is classified by the participating company with which such individual is employed as an internship, or as “temporary” or “intermittent,” all in accordance with uniformly applied personnel policies.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subsidiaries of NBCUniversal are excluded from participating in the ESPP:</w:t>
      </w:r>
    </w:p>
    <w:p>
      <w:pPr>
        <w:spacing w:after="0" w:line="210" w:lineRule="exact"/>
        <w:rPr>
          <w:sz w:val="20"/>
          <w:szCs w:val="20"/>
          <w:color w:val="auto"/>
        </w:rPr>
      </w:pPr>
    </w:p>
    <w:p>
      <w:pPr>
        <w:ind w:left="260" w:right="40" w:hanging="252"/>
        <w:spacing w:after="0" w:line="267" w:lineRule="auto"/>
        <w:tabs>
          <w:tab w:leader="none" w:pos="260" w:val="left"/>
        </w:tabs>
        <w:numPr>
          <w:ilvl w:val="0"/>
          <w:numId w:val="56"/>
        </w:numPr>
        <w:rPr>
          <w:rFonts w:ascii="Arial" w:cs="Arial" w:eastAsia="Arial" w:hAnsi="Arial"/>
          <w:sz w:val="17"/>
          <w:szCs w:val="17"/>
          <w:color w:val="00A0E0"/>
        </w:rPr>
      </w:pPr>
      <w:r>
        <w:rPr>
          <w:rFonts w:ascii="Arial" w:cs="Arial" w:eastAsia="Arial" w:hAnsi="Arial"/>
          <w:sz w:val="17"/>
          <w:szCs w:val="17"/>
          <w:color w:val="auto"/>
        </w:rPr>
        <w:t>those subsidiaries of NBCUniversal that are specifically excluded as participating companies by the Board, the Compensation Committee or their delegate;</w:t>
      </w:r>
    </w:p>
    <w:p>
      <w:pPr>
        <w:spacing w:after="0" w:line="10" w:lineRule="exact"/>
        <w:rPr>
          <w:rFonts w:ascii="Arial" w:cs="Arial" w:eastAsia="Arial" w:hAnsi="Arial"/>
          <w:sz w:val="17"/>
          <w:szCs w:val="17"/>
          <w:color w:val="00A0E0"/>
        </w:rPr>
      </w:pPr>
    </w:p>
    <w:p>
      <w:pPr>
        <w:ind w:left="260" w:right="80" w:hanging="252"/>
        <w:spacing w:after="0" w:line="267" w:lineRule="auto"/>
        <w:tabs>
          <w:tab w:leader="none" w:pos="260" w:val="left"/>
        </w:tabs>
        <w:numPr>
          <w:ilvl w:val="0"/>
          <w:numId w:val="56"/>
        </w:numPr>
        <w:rPr>
          <w:rFonts w:ascii="Arial" w:cs="Arial" w:eastAsia="Arial" w:hAnsi="Arial"/>
          <w:sz w:val="17"/>
          <w:szCs w:val="17"/>
          <w:color w:val="00A0E0"/>
        </w:rPr>
      </w:pPr>
      <w:r>
        <w:rPr>
          <w:rFonts w:ascii="Arial" w:cs="Arial" w:eastAsia="Arial" w:hAnsi="Arial"/>
          <w:sz w:val="17"/>
          <w:szCs w:val="17"/>
          <w:color w:val="auto"/>
        </w:rPr>
        <w:t>those subsidiaries that are organized under the laws of a jurisdiction outside of the United States, except for those subsidiaries designated in the ESPP; and</w:t>
      </w:r>
    </w:p>
    <w:p>
      <w:pPr>
        <w:spacing w:after="0" w:line="10" w:lineRule="exact"/>
        <w:rPr>
          <w:rFonts w:ascii="Arial" w:cs="Arial" w:eastAsia="Arial" w:hAnsi="Arial"/>
          <w:sz w:val="17"/>
          <w:szCs w:val="17"/>
          <w:color w:val="00A0E0"/>
        </w:rPr>
      </w:pPr>
    </w:p>
    <w:p>
      <w:pPr>
        <w:ind w:left="260" w:right="300" w:hanging="252"/>
        <w:spacing w:after="0" w:line="267" w:lineRule="auto"/>
        <w:tabs>
          <w:tab w:leader="none" w:pos="260" w:val="left"/>
        </w:tabs>
        <w:numPr>
          <w:ilvl w:val="0"/>
          <w:numId w:val="56"/>
        </w:numPr>
        <w:rPr>
          <w:rFonts w:ascii="Arial" w:cs="Arial" w:eastAsia="Arial" w:hAnsi="Arial"/>
          <w:sz w:val="17"/>
          <w:szCs w:val="17"/>
          <w:color w:val="00A0E0"/>
        </w:rPr>
      </w:pPr>
      <w:r>
        <w:rPr>
          <w:rFonts w:ascii="Arial" w:cs="Arial" w:eastAsia="Arial" w:hAnsi="Arial"/>
          <w:sz w:val="17"/>
          <w:szCs w:val="17"/>
          <w:color w:val="auto"/>
        </w:rPr>
        <w:t>those subsidiaries that are a “Participating Company” under the Comcast Corporation 2002 Employee Stock Purchase Plan, unless otherwise provided by the Compensation Committee.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Approximately 53,000 employees are currently eligible to participate in the ESPP. None of our executive officers is eligible to participate in the plan.</w:t>
      </w:r>
    </w:p>
    <w:p>
      <w:pPr>
        <w:spacing w:after="0" w:line="210"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i w:val="1"/>
          <w:iCs w:val="1"/>
          <w:color w:val="auto"/>
        </w:rPr>
        <w:t>Shares Subject to the Plan</w:t>
      </w:r>
      <w:r>
        <w:rPr>
          <w:rFonts w:ascii="Arial" w:cs="Arial" w:eastAsia="Arial" w:hAnsi="Arial"/>
          <w:sz w:val="17"/>
          <w:szCs w:val="17"/>
          <w:color w:val="auto"/>
        </w:rPr>
        <w:t>. In the aggregate, 24.2 million shares of Class A common stock are available for purchase under the ESPP,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 in the event of certain corporate events. As of the close of business on February 18, 2025, of this aggregate amount, 19,707,421 shares had been issued and 4,492,579 shares remained available for grant under the ESPP. Shares deliverable under the ESPP may consist of either treasury shares or originally issued shares. As of February 18, 2025, the fair market value of a share of Class A common stock was $36.35.</w:t>
      </w:r>
    </w:p>
    <w:p>
      <w:pPr>
        <w:spacing w:after="0" w:line="177" w:lineRule="exact"/>
        <w:rPr>
          <w:sz w:val="20"/>
          <w:szCs w:val="20"/>
          <w:color w:val="auto"/>
        </w:rPr>
      </w:pPr>
    </w:p>
    <w:p>
      <w:pPr>
        <w:spacing w:after="0" w:line="244"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ESPP is administered by the Compensation Committee. The Board and the Compensation Committee have authority to interpret</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prescribe, amend and rescind rules and regulations relating to it and make all other determinations deemed necessary or advisable in administering the plan. Pursuant to its delegation authority under the plan, the Compensation Committee has delegated certain of its administrative duties, subject to its review and supervision, to Michael J. Cavanagh, our President.</w:t>
      </w:r>
    </w:p>
    <w:p>
      <w:pPr>
        <w:spacing w:after="0" w:line="177" w:lineRule="exact"/>
        <w:rPr>
          <w:sz w:val="20"/>
          <w:szCs w:val="20"/>
          <w:color w:val="auto"/>
        </w:rPr>
      </w:pPr>
    </w:p>
    <w:p>
      <w:pPr>
        <w:ind w:right="540"/>
        <w:spacing w:after="0" w:line="249" w:lineRule="auto"/>
        <w:rPr>
          <w:sz w:val="20"/>
          <w:szCs w:val="20"/>
          <w:color w:val="auto"/>
        </w:rPr>
      </w:pPr>
      <w:r>
        <w:rPr>
          <w:rFonts w:ascii="Arial" w:cs="Arial" w:eastAsia="Arial" w:hAnsi="Arial"/>
          <w:sz w:val="17"/>
          <w:szCs w:val="17"/>
          <w:i w:val="1"/>
          <w:iCs w:val="1"/>
          <w:color w:val="auto"/>
        </w:rPr>
        <w:t>Adjustments</w:t>
      </w:r>
      <w:r>
        <w:rPr>
          <w:rFonts w:ascii="Arial" w:cs="Arial" w:eastAsia="Arial" w:hAnsi="Arial"/>
          <w:sz w:val="17"/>
          <w:szCs w:val="17"/>
          <w:color w:val="auto"/>
        </w:rPr>
        <w:t>. If shares of Class A common stock are exchanged for a different number or kind of shares of our company through merger,</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stock dividend, stock split or other similar capital adjustments, the Board or the Compensation Committee will make such adjustments as it deems appropriate. The Board or the Compensation Committee’s determination will be binding for all purposes of the ESPP.</w:t>
      </w:r>
    </w:p>
    <w:p>
      <w:pPr>
        <w:spacing w:after="0" w:line="175" w:lineRule="exact"/>
        <w:rPr>
          <w:sz w:val="20"/>
          <w:szCs w:val="20"/>
          <w:color w:val="auto"/>
        </w:rPr>
      </w:pPr>
    </w:p>
    <w:p>
      <w:pPr>
        <w:spacing w:after="0" w:line="236" w:lineRule="auto"/>
        <w:rPr>
          <w:sz w:val="20"/>
          <w:szCs w:val="20"/>
          <w:color w:val="auto"/>
        </w:rPr>
      </w:pPr>
      <w:r>
        <w:rPr>
          <w:rFonts w:ascii="Arial" w:cs="Arial" w:eastAsia="Arial" w:hAnsi="Arial"/>
          <w:sz w:val="17"/>
          <w:szCs w:val="17"/>
          <w:i w:val="1"/>
          <w:iCs w:val="1"/>
          <w:color w:val="auto"/>
        </w:rPr>
        <w:t>Participation in the Plan</w:t>
      </w:r>
      <w:r>
        <w:rPr>
          <w:rFonts w:ascii="Arial" w:cs="Arial" w:eastAsia="Arial" w:hAnsi="Arial"/>
          <w:sz w:val="17"/>
          <w:szCs w:val="17"/>
          <w:color w:val="auto"/>
        </w:rPr>
        <w:t>. The ESPP enables participants to purchase shares of Class A common stock during certain offering periods, which</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encompass a calendar quarter. To become a participant in the plan, an eligible employee must file an election form in accordance with the terms and conditions set forth in the plan. On his or her election form, the participant will designate the percentage of eligible compensation (which can be no more than 10% with respect to each payroll period during the offering period) he or she would like to have credited to his or her account under the plan. No participant can purchase shares having more than $25,000 in fair market value (as determined on the same basis as if the plan were subject to Section 423(b)(8) of the Internal Revenue Code) each calendar year under this ESPP (and the Comcast Corporation 2002 Employee Stock Purchase Plan). At the end of each offering period, amounts credited to this account will be used to purchase shares. Shares so purchased will be credited to a brokerage account established by us. The purchase price per share of Class A common stock will be 85% of the lesser of the fair market value per share on the first day of the offering period or the last day of the offering period.</w:t>
      </w:r>
    </w:p>
    <w:p>
      <w:pPr>
        <w:spacing w:after="0" w:line="187"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If the total number of shares of Class A common stock which participants have elected to purchase on the last day of the offering period exceeds the maximum number of shares of Class A common stock available under the ESPP, the Board or the Compensation Committee will make a pro rata allocation of shares available for delivery and distribution in as uniform a manner as practicable, and the unapplied account balances will be returned to participants as soon as practicable following the last day of the offering period.</w:t>
      </w:r>
    </w:p>
    <w:p>
      <w:pPr>
        <w:spacing w:after="0" w:line="177"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During an offering period, the amount of payroll deductions may not be changed, but may be discontinued. A participant may change the amount of payroll deductions for subsequent offerings by giving notice of such change on or before the 15th day of the month immediately preceding the first day of the offering period for the offering for which</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25</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such change is effective. A participant may discontinue his or her participation in the ESPP by providing notice at any time before the end of an offering period. In addition, a participant’s payroll deductions will be discontinued to the extent required in connection with the participant’s hardship withdrawal under the rules of any plan, program or arrangement pursuant to which discontinuance of contributions to the plan may be required in connection with a participant’s hardship withdrawal. All amounts credited to the account of a participant who discontinues payroll deductions will be applied to the purchase of shares of Class A common stock in accordance with the regular terms of the plan, and no further payroll deductions will be made with respect to the participant. A participant who is required to discontinue payroll deductions resulting from a hardship withdrawal will not be eligible to participate for the offering periods for which they are suspended from the Comcast Corporation Retirement-Investment Plan.</w:t>
      </w:r>
    </w:p>
    <w:p>
      <w:pPr>
        <w:spacing w:after="0" w:line="18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Upon termination of employment, all amounts credited to a participant’s account will be delivered to the participant or his or her successor in interest (in the case of death). No interest will be paid with respect to payroll deductions made or amounts credited to any account under the plan.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A participant’s rights under the ESPP may not be transferred or assigned to any other person during the participant’s lifetime. After</w:t>
      </w:r>
      <w:r>
        <w:rPr>
          <w:rFonts w:ascii="Arial" w:cs="Arial" w:eastAsia="Arial" w:hAnsi="Arial"/>
          <w:sz w:val="17"/>
          <w:szCs w:val="17"/>
          <w:i w:val="1"/>
          <w:iCs w:val="1"/>
          <w:color w:val="auto"/>
        </w:rPr>
        <w:t xml:space="preserve"> </w:t>
      </w:r>
      <w:r>
        <w:rPr>
          <w:rFonts w:ascii="Arial" w:cs="Arial" w:eastAsia="Arial" w:hAnsi="Arial"/>
          <w:sz w:val="17"/>
          <w:szCs w:val="17"/>
          <w:color w:val="auto"/>
        </w:rPr>
        <w:t>shares have been issued and credited to a participant’s brokerage account under the ESPP, such shares may be assigned or transferred in the same manner as any other shares. However, the Board or the Compensation Committee may, in its discretion, require that participants satisfy a minimum holding period following the purchase of shares before those shares may be sold or transferred, and the Compensation Committee has established a mandatory one-year holding period with respect to shares purchased pursuant to the ESPP. The holding period will not apply to shares used to pay withholding taxes pursuant to the plan or to shares credited to the account of a participant who has terminated employment due to death or disability.</w:t>
      </w:r>
    </w:p>
    <w:p>
      <w:pPr>
        <w:spacing w:after="0" w:line="366"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i w:val="1"/>
          <w:iCs w:val="1"/>
          <w:color w:val="auto"/>
        </w:rPr>
        <w:t>Amendment or Termination</w:t>
      </w:r>
      <w:r>
        <w:rPr>
          <w:rFonts w:ascii="Arial" w:cs="Arial" w:eastAsia="Arial" w:hAnsi="Arial"/>
          <w:sz w:val="17"/>
          <w:szCs w:val="17"/>
          <w:color w:val="auto"/>
        </w:rPr>
        <w:t>. The ESPP does not automatically terminate on any particular date. However, the Board or the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has the right to amend or terminate the ESPP at any time without notice. Upon any termination, all unapplied payroll deductions will be distributed to participants, and no amendment will affect the right of a participant to receive his or her proportionate interest in the shares of Class A common stock or unapplied payroll deductions. We may seek shareholder approval for a plan amendment if required by applicable law.</w:t>
      </w:r>
    </w:p>
    <w:p>
      <w:pPr>
        <w:spacing w:after="0" w:line="177"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i w:val="1"/>
          <w:iCs w:val="1"/>
          <w:color w:val="auto"/>
        </w:rPr>
        <w:t>New Plan Benefits</w:t>
      </w:r>
      <w:r>
        <w:rPr>
          <w:rFonts w:ascii="Arial" w:cs="Arial" w:eastAsia="Arial" w:hAnsi="Arial"/>
          <w:sz w:val="17"/>
          <w:szCs w:val="17"/>
          <w:color w:val="auto"/>
        </w:rPr>
        <w:t>. Because benefits under the ESPP depend on participants’ elections to participate in the plan and the fair market value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Class A common stock at various future dates, it is not possible to determine future benefits that will be received by employees under the plan, and none of our executive officers or directors are eligible to participate in the plan.</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auto"/>
        </w:rPr>
        <w:t>Federal Income Taxation</w:t>
      </w:r>
    </w:p>
    <w:p>
      <w:pPr>
        <w:spacing w:after="0" w:line="226"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following is a general summary under current law of certain U.S. federal income tax consequences to participants who are citizens or individual residents of the United States relating to participation in the ESPP. This summary deals with the general tax principles that apply to participation in the ESPP and is provided only for general information. Certain kinds of taxes, such as foreign taxes, state and local income taxes, payroll taxes and the alternative minimum tax, are not discussed.</w:t>
      </w:r>
    </w:p>
    <w:p>
      <w:pPr>
        <w:spacing w:after="0" w:line="177"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Under the Internal Revenue Code, a participant will not have taxable income upon the grant of a right to purchase shares under the ESPP. Upon purchase of shares, the participant will be required to include in income an amount equal to the excess of the fair market value of such shares on the date of purchase over the purchase price, and NBCUniversal or the participant’s participating employer will be entitled to a corresponding tax deduction. If the shares are sold or exchanged, the participant’s basis in such shares will be increased by an amount equal to the amount includable in his or her income as compensation, and any gain or loss computed with reference to such adjusted basis which is recognized at the time of disposition will be a capital gain or loss, either short-term or long-term, depending on the holding period for such shares.</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color w:val="auto"/>
        </w:rPr>
        <w:t>Registration with the SEC</w:t>
      </w:r>
    </w:p>
    <w:p>
      <w:pPr>
        <w:spacing w:after="0" w:line="226"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If our shareholders approve the ESPP, we will file a Registration Statement on Form S-8 with the SEC to register the shares available for issuance under the ESPP.</w:t>
      </w:r>
    </w:p>
    <w:p>
      <w:pPr>
        <w:spacing w:after="0" w:line="163" w:lineRule="exact"/>
        <w:rPr>
          <w:sz w:val="20"/>
          <w:szCs w:val="20"/>
          <w:color w:val="auto"/>
        </w:rPr>
      </w:pPr>
    </w:p>
    <w:p>
      <w:pPr>
        <w:ind w:left="400" w:hanging="392"/>
        <w:spacing w:after="0"/>
        <w:tabs>
          <w:tab w:leader="none" w:pos="40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891540" cy="291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91540" cy="291465"/>
                    </a:xfrm>
                    <a:prstGeom prst="rect">
                      <a:avLst/>
                    </a:prstGeom>
                    <a:noFill/>
                  </pic:spPr>
                </pic:pic>
              </a:graphicData>
            </a:graphic>
          </wp:anchor>
        </w:drawing>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FFFFFF"/>
        </w:rPr>
        <w:t>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677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677545"/>
                    </a:xfrm>
                    <a:prstGeom prst="rect">
                      <a:avLst/>
                    </a:prstGeom>
                    <a:noFill/>
                  </pic:spPr>
                </pic:pic>
              </a:graphicData>
            </a:graphic>
          </wp:anchor>
        </w:drawing>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00A0E0"/>
        </w:rPr>
        <w:t>Advisory Vote to Approve Executive Compensation</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 xml:space="preserve">Our Board unanimously recommends that shareholders vote </w:t>
      </w:r>
      <w:r>
        <w:rPr>
          <w:rFonts w:ascii="Arial" w:cs="Arial" w:eastAsia="Arial" w:hAnsi="Arial"/>
          <w:sz w:val="17"/>
          <w:szCs w:val="17"/>
          <w:b w:val="1"/>
          <w:bCs w:val="1"/>
          <w:color w:val="00A0E0"/>
        </w:rPr>
        <w:t>“FOR”</w:t>
      </w:r>
      <w:r>
        <w:rPr>
          <w:rFonts w:ascii="Arial" w:cs="Arial" w:eastAsia="Arial" w:hAnsi="Arial"/>
          <w:sz w:val="17"/>
          <w:szCs w:val="17"/>
          <w:color w:val="auto"/>
        </w:rPr>
        <w:t xml:space="preserve"> approval of the compensation of our NEOs.</w:t>
      </w:r>
    </w:p>
    <w:p>
      <w:pPr>
        <w:spacing w:after="0" w:line="200" w:lineRule="exact"/>
        <w:rPr>
          <w:sz w:val="20"/>
          <w:szCs w:val="20"/>
          <w:color w:val="auto"/>
        </w:rPr>
      </w:pPr>
    </w:p>
    <w:p>
      <w:pPr>
        <w:spacing w:after="0" w:line="334"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The following proposal gives our shareholders the opportunity to cast a non-binding, advisory vote to approve the compensation of our NEOs. This vote is not intended to address any specific item of compensation, but rather the overall compensation of our NEOs and our compensation philosophy, policies and practices, as disclosed below.</w:t>
      </w:r>
    </w:p>
    <w:p>
      <w:pPr>
        <w:spacing w:after="0" w:line="175"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We encourage shareholders to review detailed information on our executive compensation program and the 2024 compensation of our NEOs as set forth in “Executive Compensation – Compensation Discussion and Analysis,” starting below. Shareholders are being asked to vote “FOR” the adoption of the following resolution:</w:t>
      </w:r>
    </w:p>
    <w:p>
      <w:pPr>
        <w:spacing w:after="0" w:line="178" w:lineRule="exact"/>
        <w:rPr>
          <w:sz w:val="20"/>
          <w:szCs w:val="20"/>
          <w:color w:val="auto"/>
        </w:rPr>
      </w:pPr>
    </w:p>
    <w:p>
      <w:pPr>
        <w:ind w:right="340"/>
        <w:spacing w:after="0" w:line="311" w:lineRule="auto"/>
        <w:rPr>
          <w:sz w:val="20"/>
          <w:szCs w:val="20"/>
          <w:color w:val="auto"/>
        </w:rPr>
      </w:pPr>
      <w:r>
        <w:rPr>
          <w:rFonts w:ascii="Arial" w:cs="Arial" w:eastAsia="Arial" w:hAnsi="Arial"/>
          <w:sz w:val="17"/>
          <w:szCs w:val="17"/>
          <w:b w:val="1"/>
          <w:bCs w:val="1"/>
          <w:color w:val="auto"/>
        </w:rPr>
        <w:t>“RESOLVED, that the compensation paid to Comcast Corporation’s NEOs, as disclosed pursuant to Item 402 of Regulation S-K, including the Compensation Discussion and Analysis, compensation tables and narrative discussion, is hereby APPROVED.”</w:t>
      </w:r>
    </w:p>
    <w:p>
      <w:pPr>
        <w:spacing w:after="0" w:line="111" w:lineRule="exact"/>
        <w:rPr>
          <w:sz w:val="20"/>
          <w:szCs w:val="20"/>
          <w:color w:val="auto"/>
        </w:rPr>
      </w:pPr>
    </w:p>
    <w:p>
      <w:pPr>
        <w:ind w:right="400"/>
        <w:spacing w:after="0" w:line="249" w:lineRule="auto"/>
        <w:rPr>
          <w:sz w:val="20"/>
          <w:szCs w:val="20"/>
          <w:color w:val="auto"/>
        </w:rPr>
      </w:pPr>
      <w:r>
        <w:rPr>
          <w:rFonts w:ascii="Arial" w:cs="Arial" w:eastAsia="Arial" w:hAnsi="Arial"/>
          <w:sz w:val="17"/>
          <w:szCs w:val="17"/>
          <w:color w:val="auto"/>
        </w:rPr>
        <w:t>While we intend to carefully consider the voting results of this proposal, this vote is advisory in nature, and, therefore, is not binding on us or our Board. Our Board and Compensation Committee value the opinions of all of our shareholders and will consider the outcome of this vote when making future compensation decisions for our NEOs.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currently conduct advisory votes to approve the compensation paid to our NEOs on an annual basis.</w:t>
      </w:r>
    </w:p>
    <w:p>
      <w:pPr>
        <w:spacing w:after="0" w:line="198" w:lineRule="exact"/>
        <w:rPr>
          <w:sz w:val="20"/>
          <w:szCs w:val="20"/>
          <w:color w:val="auto"/>
        </w:rPr>
      </w:pPr>
    </w:p>
    <w:p>
      <w:pPr>
        <w:spacing w:after="0"/>
        <w:rPr>
          <w:sz w:val="20"/>
          <w:szCs w:val="20"/>
          <w:color w:val="auto"/>
        </w:rPr>
      </w:pPr>
      <w:r>
        <w:rPr>
          <w:rFonts w:ascii="Arial" w:cs="Arial" w:eastAsia="Arial" w:hAnsi="Arial"/>
          <w:sz w:val="29"/>
          <w:szCs w:val="29"/>
          <w:b w:val="1"/>
          <w:bCs w:val="1"/>
          <w:color w:val="00A0DD"/>
        </w:rPr>
        <w:t>Compensation Discussion and Analysis</w:t>
      </w:r>
    </w:p>
    <w:p>
      <w:pPr>
        <w:spacing w:after="0" w:line="232" w:lineRule="exact"/>
        <w:rPr>
          <w:sz w:val="20"/>
          <w:szCs w:val="20"/>
          <w:color w:val="auto"/>
        </w:rPr>
      </w:pPr>
    </w:p>
    <w:p>
      <w:pPr>
        <w:ind w:right="740"/>
        <w:spacing w:after="0" w:line="267" w:lineRule="auto"/>
        <w:rPr>
          <w:sz w:val="20"/>
          <w:szCs w:val="20"/>
          <w:color w:val="auto"/>
        </w:rPr>
      </w:pPr>
      <w:r>
        <w:rPr>
          <w:rFonts w:ascii="Arial" w:cs="Arial" w:eastAsia="Arial" w:hAnsi="Arial"/>
          <w:sz w:val="17"/>
          <w:szCs w:val="17"/>
          <w:color w:val="auto"/>
        </w:rPr>
        <w:t>This discussion and analysis describes our executive compensation philosophy, process, plans and practices, our compensation program’s alignment with our performance and the 2024 compensation decisions for our NEOs set forth in the Summary Compensation Table.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Executive Overview</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00A0DD"/>
        </w:rPr>
        <w:t>Overall Performance</w:t>
      </w:r>
    </w:p>
    <w:p>
      <w:pPr>
        <w:spacing w:after="0" w:line="210"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Our Board credits our senior leadership team for their successful leadership over the past year, despite intense competitive challenges across our businesses and headwinds from ending the federal government’s Affordable Connectivity Program in 2024, which had enabled qualifying lower-income customers to apply a financial subsidy to broadband services. As described above in “About Comcast – 2024 Performance Overview,” our 2024 consolidated financial results were solid, with contributions from across our company and with continued investment in our key areas of growth for the future – residential broadband, wireless, business services connectivity, theme parks, streaming and premium content in our studios. At the same time, we maintained a healthy balance sheet and returned significant capital to shareholders.</w:t>
      </w:r>
    </w:p>
    <w:p>
      <w:pPr>
        <w:spacing w:after="0" w:line="182"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Our NEOs worked collaboratively with our businesses on key strategic initiatives such as driving our broadband network upgrade that will ultimately deliver multi-gigabit symmetrical speeds across our footprint, increasing wireless lines, further growing our business services businesses, growing our Peacock revenue and lowering its operating losses, creating leading box office films and preparing for the May 2025 opening of Epic Universe, our new theme park in Orlando, Florida. We also announced our intention to spin off a strong portfolio of cable television networks and complementary digital assets to our shareholders in a tax-free transaction, subject to customary conditions, seeking to position both the new company and our remaining NBCUniversal media businesses to better compete in the evolving media industry landscape. Our leadership team also supported our stakeholders, including our employees, customers and the communities where we operate. From our dedication to advancing digital opportunity by providing more people with the tools and resources they need to succeed in a digital society, to our ongoing efforts in community impact, environmental sustainability and strengthening our workplace culture of respect for others, our senior leadership team reinforced our company’s commitment to doing what’s right while emphasizing our commitment to act with integrity.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27</w:t>
            </w:r>
          </w:p>
        </w:tc>
      </w:tr>
      <w:tr>
        <w:trPr>
          <w:trHeight w:val="204"/>
        </w:trPr>
        <w:tc>
          <w:tcPr>
            <w:tcW w:w="109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color w:val="auto"/>
        </w:rPr>
        <w:t>2024 Compensation Overview</w:t>
      </w:r>
    </w:p>
    <w:p>
      <w:pPr>
        <w:spacing w:after="0" w:line="22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Our executive compensation program is designed to align our NEOs’ compensation with our shareholders’ interests and our long-term strategic goals and to ensure that we pay for performance. In making compensation decisions for 2024, the Compensation Committee considered, among other things, the strong performance of our NEOs in successfully managing our company for the long term and market compensation paid by other similarly situated companies.</w:t>
      </w:r>
    </w:p>
    <w:p>
      <w:pPr>
        <w:spacing w:after="0" w:line="177"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As a result of our compensation design, the vast majority of our NEOs’ compensation is performance-based, strongly aligning NEO compensation with shareholder interests.</w:t>
      </w:r>
    </w:p>
    <w:p>
      <w:pPr>
        <w:sectPr>
          <w:pgSz w:w="11900" w:h="16838" w:orient="portrait"/>
          <w:cols w:equalWidth="0" w:num="1">
            <w:col w:w="11080"/>
          </w:cols>
          <w:pgMar w:left="320" w:top="121" w:right="499" w:bottom="1440" w:gutter="0" w:footer="0" w:header="0"/>
        </w:sect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A0DD"/>
        </w:rPr>
        <w:t>2024 CEO COMPENSATION MIX</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00A0DD"/>
        </w:rPr>
        <w:t>2024 AVERAGE NEO COMPENSATION MIX</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(EXCLUDING CEO)</w:t>
      </w:r>
    </w:p>
    <w:p>
      <w:pPr>
        <w:spacing w:after="0" w:line="140" w:lineRule="exact"/>
        <w:rPr>
          <w:sz w:val="20"/>
          <w:szCs w:val="20"/>
          <w:color w:val="auto"/>
        </w:rPr>
      </w:pPr>
    </w:p>
    <w:p>
      <w:pPr>
        <w:sectPr>
          <w:pgSz w:w="11900" w:h="16838" w:orient="portrait"/>
          <w:cols w:equalWidth="0" w:num="2">
            <w:col w:w="4920" w:space="720"/>
            <w:col w:w="5440"/>
          </w:cols>
          <w:pgMar w:left="320" w:top="121" w:right="49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 xml:space="preserve">93% </w:t>
      </w:r>
      <w:r>
        <w:rPr>
          <w:rFonts w:ascii="Arial" w:cs="Arial" w:eastAsia="Arial" w:hAnsi="Arial"/>
          <w:sz w:val="17"/>
          <w:szCs w:val="17"/>
          <w:color w:val="auto"/>
        </w:rPr>
        <w:t>Total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205105</wp:posOffset>
            </wp:positionV>
            <wp:extent cx="1285875" cy="13887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5875" cy="13887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000"/>
        <w:spacing w:after="0"/>
        <w:rPr>
          <w:sz w:val="20"/>
          <w:szCs w:val="20"/>
          <w:color w:val="auto"/>
        </w:rPr>
      </w:pPr>
      <w:r>
        <w:rPr>
          <w:rFonts w:ascii="Arial" w:cs="Arial" w:eastAsia="Arial" w:hAnsi="Arial"/>
          <w:sz w:val="17"/>
          <w:szCs w:val="17"/>
          <w:b w:val="1"/>
          <w:bCs w:val="1"/>
          <w:color w:val="auto"/>
        </w:rPr>
        <w:t xml:space="preserve">87% </w:t>
      </w:r>
      <w:r>
        <w:rPr>
          <w:rFonts w:ascii="Arial" w:cs="Arial" w:eastAsia="Arial" w:hAnsi="Arial"/>
          <w:sz w:val="17"/>
          <w:szCs w:val="17"/>
          <w:color w:val="auto"/>
        </w:rPr>
        <w:t>Total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1285875" cy="1371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5875" cy="1371600"/>
                    </a:xfrm>
                    <a:prstGeom prst="rect">
                      <a:avLst/>
                    </a:prstGeom>
                    <a:noFill/>
                  </pic:spPr>
                </pic:pic>
              </a:graphicData>
            </a:graphic>
          </wp:anchor>
        </w:drawing>
        <w:drawing>
          <wp:anchor simplePos="0" relativeHeight="251657728" behindDoc="1" locked="0" layoutInCell="0" allowOverlap="1">
            <wp:simplePos x="0" y="0"/>
            <wp:positionH relativeFrom="column">
              <wp:posOffset>-2315845</wp:posOffset>
            </wp:positionH>
            <wp:positionV relativeFrom="paragraph">
              <wp:posOffset>1782445</wp:posOffset>
            </wp:positionV>
            <wp:extent cx="3857625" cy="1111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57625" cy="111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720"/>
            <w:col w:w="5440"/>
          </w:cols>
          <w:pgMar w:left="320" w:top="121"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Key executive compensation decisions in respect of 2024 compensation are discussed in detail below under “Our Approach to Compensation” and “Compensation Decisions.”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Shareholder Feedback on Executive Compensation</w:t>
      </w:r>
    </w:p>
    <w:p>
      <w:pPr>
        <w:spacing w:after="0" w:line="21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Compensation Committee and our management team are committed to continued engagement with shareholders, including through our shareholder engagement described on page 21, to understand their viewpoints and to discuss and demonstrate the important connection between our compensation program, on the one hand, and our business strategy, goals and financial and operating performance, on the other hand. Our executive compensation program design reflects meaningful changes made in 2021 in response to shareholder feedback, which we believe shareholders continue to view favorably, as reflected by shareholders approving on an advisory basis the 2023 compensation of our NEOs by 89% of the votes cast at our 2024 annual meeting.</w:t>
      </w:r>
    </w:p>
    <w:p>
      <w:pPr>
        <w:spacing w:after="0" w:line="182"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The Compensation Committee discussed and evaluated our executive compensation program and considered our annual say-on-pay advisory voting results with Korn Ferry, its independent compensation consultant. The Compensation Committee believes that its decisions are consistent with our compensation philosophy and objectives and that those compensation decisions align the interests of our NEOs with our long-term goals and the interests of our shareholders without incenting inappropriate risk taking.</w:t>
      </w:r>
    </w:p>
    <w:p>
      <w:pPr>
        <w:spacing w:after="0" w:line="181" w:lineRule="exact"/>
        <w:rPr>
          <w:sz w:val="20"/>
          <w:szCs w:val="20"/>
          <w:color w:val="auto"/>
        </w:rPr>
      </w:pPr>
    </w:p>
    <w:p>
      <w:pPr>
        <w:ind w:left="400" w:hanging="392"/>
        <w:spacing w:after="0"/>
        <w:tabs>
          <w:tab w:leader="none" w:pos="400"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color w:val="auto"/>
        </w:rPr>
        <w:t>Executive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4286250" cy="3600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286250" cy="360045"/>
                    </a:xfrm>
                    <a:prstGeom prst="rect">
                      <a:avLst/>
                    </a:prstGeom>
                    <a:noFill/>
                  </pic:spPr>
                </pic:pic>
              </a:graphicData>
            </a:graphic>
          </wp:anchor>
        </w:drawing>
      </w:r>
    </w:p>
    <w:p>
      <w:pPr>
        <w:spacing w:after="0" w:line="362" w:lineRule="exact"/>
        <w:rPr>
          <w:sz w:val="20"/>
          <w:szCs w:val="20"/>
          <w:color w:val="auto"/>
        </w:rPr>
      </w:pPr>
    </w:p>
    <w:p>
      <w:pPr>
        <w:jc w:val="center"/>
        <w:ind w:left="100"/>
        <w:spacing w:after="0"/>
        <w:rPr>
          <w:sz w:val="20"/>
          <w:szCs w:val="20"/>
          <w:color w:val="auto"/>
        </w:rPr>
      </w:pPr>
      <w:r>
        <w:rPr>
          <w:rFonts w:ascii="Arial" w:cs="Arial" w:eastAsia="Arial" w:hAnsi="Arial"/>
          <w:sz w:val="22"/>
          <w:szCs w:val="22"/>
          <w:b w:val="1"/>
          <w:bCs w:val="1"/>
          <w:color w:val="FFFFFF"/>
        </w:rPr>
        <w:t>What We Do</w:t>
      </w:r>
    </w:p>
    <w:p>
      <w:pPr>
        <w:spacing w:after="0" w:line="239" w:lineRule="exact"/>
        <w:rPr>
          <w:sz w:val="20"/>
          <w:szCs w:val="20"/>
          <w:color w:val="auto"/>
        </w:rPr>
      </w:pPr>
    </w:p>
    <w:p>
      <w:pPr>
        <w:ind w:left="380" w:hanging="291"/>
        <w:spacing w:after="0"/>
        <w:tabs>
          <w:tab w:leader="none" w:pos="380" w:val="left"/>
        </w:tabs>
        <w:numPr>
          <w:ilvl w:val="0"/>
          <w:numId w:val="59"/>
        </w:numPr>
        <w:rPr>
          <w:rFonts w:ascii="MS PGothic" w:cs="MS PGothic" w:eastAsia="MS PGothic" w:hAnsi="MS PGothic"/>
          <w:sz w:val="17"/>
          <w:szCs w:val="17"/>
          <w:color w:val="00A0DD"/>
        </w:rPr>
      </w:pPr>
      <w:r>
        <w:rPr>
          <w:rFonts w:ascii="Arial" w:cs="Arial" w:eastAsia="Arial" w:hAnsi="Arial"/>
          <w:sz w:val="17"/>
          <w:szCs w:val="17"/>
          <w:color w:val="auto"/>
        </w:rPr>
        <w:t>Employ rigorous PSU and annual cash bonus performance conditions.</w:t>
      </w:r>
    </w:p>
    <w:p>
      <w:pPr>
        <w:spacing w:after="0" w:line="88" w:lineRule="exact"/>
        <w:rPr>
          <w:rFonts w:ascii="MS PGothic" w:cs="MS PGothic" w:eastAsia="MS PGothic" w:hAnsi="MS PGothic"/>
          <w:sz w:val="17"/>
          <w:szCs w:val="17"/>
          <w:color w:val="00A0DD"/>
        </w:rPr>
      </w:pPr>
    </w:p>
    <w:p>
      <w:pPr>
        <w:ind w:left="360" w:right="20" w:hanging="271"/>
        <w:spacing w:after="0" w:line="267" w:lineRule="auto"/>
        <w:tabs>
          <w:tab w:leader="none" w:pos="382" w:val="left"/>
        </w:tabs>
        <w:numPr>
          <w:ilvl w:val="0"/>
          <w:numId w:val="59"/>
        </w:numPr>
        <w:rPr>
          <w:rFonts w:ascii="MS PGothic" w:cs="MS PGothic" w:eastAsia="MS PGothic" w:hAnsi="MS PGothic"/>
          <w:sz w:val="17"/>
          <w:szCs w:val="17"/>
          <w:color w:val="00A0DD"/>
        </w:rPr>
      </w:pPr>
      <w:r>
        <w:rPr>
          <w:rFonts w:ascii="Arial" w:cs="Arial" w:eastAsia="Arial" w:hAnsi="Arial"/>
          <w:sz w:val="17"/>
          <w:szCs w:val="17"/>
          <w:color w:val="auto"/>
        </w:rPr>
        <w:t>Maintain robust stock ownership guidelines. A person not in compliance cannot sell or otherwise dispose of stock until the ownership requirement is met.</w:t>
      </w:r>
    </w:p>
    <w:p>
      <w:pPr>
        <w:spacing w:after="0" w:line="10" w:lineRule="exact"/>
        <w:rPr>
          <w:rFonts w:ascii="MS PGothic" w:cs="MS PGothic" w:eastAsia="MS PGothic" w:hAnsi="MS PGothic"/>
          <w:sz w:val="17"/>
          <w:szCs w:val="17"/>
          <w:color w:val="00A0DD"/>
        </w:rPr>
      </w:pPr>
    </w:p>
    <w:p>
      <w:pPr>
        <w:ind w:left="600" w:hanging="241"/>
        <w:spacing w:after="0"/>
        <w:tabs>
          <w:tab w:leader="none" w:pos="600" w:val="left"/>
        </w:tabs>
        <w:numPr>
          <w:ilvl w:val="1"/>
          <w:numId w:val="59"/>
        </w:numPr>
        <w:rPr>
          <w:rFonts w:ascii="Arial" w:cs="Arial" w:eastAsia="Arial" w:hAnsi="Arial"/>
          <w:sz w:val="17"/>
          <w:szCs w:val="17"/>
          <w:color w:val="00A0DD"/>
        </w:rPr>
      </w:pPr>
      <w:r>
        <w:rPr>
          <w:rFonts w:ascii="Arial" w:cs="Arial" w:eastAsia="Arial" w:hAnsi="Arial"/>
          <w:sz w:val="17"/>
          <w:szCs w:val="17"/>
          <w:color w:val="auto"/>
        </w:rPr>
        <w:t>CEO = 10x base salary</w:t>
      </w:r>
    </w:p>
    <w:p>
      <w:pPr>
        <w:spacing w:after="0" w:line="61" w:lineRule="exact"/>
        <w:rPr>
          <w:rFonts w:ascii="Arial" w:cs="Arial" w:eastAsia="Arial" w:hAnsi="Arial"/>
          <w:sz w:val="17"/>
          <w:szCs w:val="17"/>
          <w:color w:val="00A0DD"/>
        </w:rPr>
      </w:pPr>
    </w:p>
    <w:p>
      <w:pPr>
        <w:ind w:left="600" w:hanging="241"/>
        <w:spacing w:after="0"/>
        <w:tabs>
          <w:tab w:leader="none" w:pos="600" w:val="left"/>
        </w:tabs>
        <w:numPr>
          <w:ilvl w:val="1"/>
          <w:numId w:val="59"/>
        </w:numPr>
        <w:rPr>
          <w:rFonts w:ascii="Arial" w:cs="Arial" w:eastAsia="Arial" w:hAnsi="Arial"/>
          <w:sz w:val="17"/>
          <w:szCs w:val="17"/>
          <w:color w:val="00A0DD"/>
        </w:rPr>
      </w:pPr>
      <w:r>
        <w:rPr>
          <w:rFonts w:ascii="Arial" w:cs="Arial" w:eastAsia="Arial" w:hAnsi="Arial"/>
          <w:sz w:val="17"/>
          <w:szCs w:val="17"/>
          <w:color w:val="auto"/>
        </w:rPr>
        <w:t>President = 5x base salary</w:t>
      </w:r>
    </w:p>
    <w:p>
      <w:pPr>
        <w:spacing w:after="0" w:line="74" w:lineRule="exact"/>
        <w:rPr>
          <w:rFonts w:ascii="Arial" w:cs="Arial" w:eastAsia="Arial" w:hAnsi="Arial"/>
          <w:sz w:val="17"/>
          <w:szCs w:val="17"/>
          <w:color w:val="00A0DD"/>
        </w:rPr>
      </w:pPr>
    </w:p>
    <w:p>
      <w:pPr>
        <w:ind w:left="600" w:hanging="241"/>
        <w:spacing w:after="0"/>
        <w:tabs>
          <w:tab w:leader="none" w:pos="600" w:val="left"/>
        </w:tabs>
        <w:numPr>
          <w:ilvl w:val="1"/>
          <w:numId w:val="59"/>
        </w:numPr>
        <w:rPr>
          <w:rFonts w:ascii="Arial" w:cs="Arial" w:eastAsia="Arial" w:hAnsi="Arial"/>
          <w:sz w:val="17"/>
          <w:szCs w:val="17"/>
          <w:color w:val="00A0DD"/>
        </w:rPr>
      </w:pPr>
      <w:r>
        <w:rPr>
          <w:rFonts w:ascii="Arial" w:cs="Arial" w:eastAsia="Arial" w:hAnsi="Arial"/>
          <w:sz w:val="17"/>
          <w:szCs w:val="17"/>
          <w:color w:val="auto"/>
        </w:rPr>
        <w:t>Other executive officers = 3x base salary</w:t>
      </w:r>
    </w:p>
    <w:p>
      <w:pPr>
        <w:spacing w:after="0" w:line="61" w:lineRule="exact"/>
        <w:rPr>
          <w:rFonts w:ascii="Arial" w:cs="Arial" w:eastAsia="Arial" w:hAnsi="Arial"/>
          <w:sz w:val="17"/>
          <w:szCs w:val="17"/>
          <w:color w:val="00A0DD"/>
        </w:rPr>
      </w:pPr>
    </w:p>
    <w:p>
      <w:pPr>
        <w:ind w:left="600" w:hanging="241"/>
        <w:spacing w:after="0"/>
        <w:tabs>
          <w:tab w:leader="none" w:pos="600" w:val="left"/>
        </w:tabs>
        <w:numPr>
          <w:ilvl w:val="1"/>
          <w:numId w:val="59"/>
        </w:numPr>
        <w:rPr>
          <w:rFonts w:ascii="Arial" w:cs="Arial" w:eastAsia="Arial" w:hAnsi="Arial"/>
          <w:sz w:val="17"/>
          <w:szCs w:val="17"/>
          <w:color w:val="00A0DD"/>
        </w:rPr>
      </w:pPr>
      <w:r>
        <w:rPr>
          <w:rFonts w:ascii="Arial" w:cs="Arial" w:eastAsia="Arial" w:hAnsi="Arial"/>
          <w:sz w:val="17"/>
          <w:szCs w:val="17"/>
          <w:color w:val="auto"/>
        </w:rPr>
        <w:t>Nonemployee directors = 5x annual cash retainer</w:t>
      </w:r>
    </w:p>
    <w:p>
      <w:pPr>
        <w:spacing w:after="0" w:line="74" w:lineRule="exact"/>
        <w:rPr>
          <w:rFonts w:ascii="Arial" w:cs="Arial" w:eastAsia="Arial" w:hAnsi="Arial"/>
          <w:sz w:val="17"/>
          <w:szCs w:val="17"/>
          <w:color w:val="00A0DD"/>
        </w:rPr>
      </w:pPr>
    </w:p>
    <w:p>
      <w:pPr>
        <w:ind w:left="360" w:hanging="271"/>
        <w:spacing w:after="0" w:line="249" w:lineRule="auto"/>
        <w:tabs>
          <w:tab w:leader="none" w:pos="382" w:val="left"/>
        </w:tabs>
        <w:numPr>
          <w:ilvl w:val="0"/>
          <w:numId w:val="59"/>
        </w:numPr>
        <w:rPr>
          <w:rFonts w:ascii="MS PGothic" w:cs="MS PGothic" w:eastAsia="MS PGothic" w:hAnsi="MS PGothic"/>
          <w:sz w:val="17"/>
          <w:szCs w:val="17"/>
          <w:color w:val="00A0DD"/>
        </w:rPr>
      </w:pPr>
      <w:r>
        <w:rPr>
          <w:rFonts w:ascii="Arial" w:cs="Arial" w:eastAsia="Arial" w:hAnsi="Arial"/>
          <w:sz w:val="17"/>
          <w:szCs w:val="17"/>
          <w:color w:val="auto"/>
        </w:rPr>
        <w:t>Prohibit executive officers and directors from (i) pledging Comcast stock as collateral or holding it in margin accounts and (ii) using any strategies or products to hedge against potential changes in the value of our stock.</w:t>
      </w:r>
    </w:p>
    <w:p>
      <w:pPr>
        <w:spacing w:after="0" w:line="53" w:lineRule="exact"/>
        <w:rPr>
          <w:rFonts w:ascii="MS PGothic" w:cs="MS PGothic" w:eastAsia="MS PGothic" w:hAnsi="MS PGothic"/>
          <w:sz w:val="17"/>
          <w:szCs w:val="17"/>
          <w:color w:val="00A0DD"/>
        </w:rPr>
      </w:pPr>
    </w:p>
    <w:p>
      <w:pPr>
        <w:ind w:left="360" w:right="220" w:hanging="271"/>
        <w:spacing w:after="0" w:line="258" w:lineRule="auto"/>
        <w:tabs>
          <w:tab w:leader="none" w:pos="382" w:val="left"/>
        </w:tabs>
        <w:numPr>
          <w:ilvl w:val="0"/>
          <w:numId w:val="59"/>
        </w:numPr>
        <w:rPr>
          <w:rFonts w:ascii="MS PGothic" w:cs="MS PGothic" w:eastAsia="MS PGothic" w:hAnsi="MS PGothic"/>
          <w:sz w:val="17"/>
          <w:szCs w:val="17"/>
          <w:color w:val="00A0DD"/>
        </w:rPr>
      </w:pPr>
      <w:r>
        <w:rPr>
          <w:rFonts w:ascii="Arial" w:cs="Arial" w:eastAsia="Arial" w:hAnsi="Arial"/>
          <w:sz w:val="17"/>
          <w:szCs w:val="17"/>
          <w:color w:val="auto"/>
        </w:rPr>
        <w:t>Have an incentive compensation recoupment (or “clawback”) policy applicable to our executive officers.</w:t>
      </w:r>
    </w:p>
    <w:p>
      <w:pPr>
        <w:spacing w:after="0" w:line="38" w:lineRule="exact"/>
        <w:rPr>
          <w:rFonts w:ascii="MS PGothic" w:cs="MS PGothic" w:eastAsia="MS PGothic" w:hAnsi="MS PGothic"/>
          <w:sz w:val="17"/>
          <w:szCs w:val="17"/>
          <w:color w:val="00A0DD"/>
        </w:rPr>
      </w:pPr>
    </w:p>
    <w:p>
      <w:pPr>
        <w:ind w:left="360" w:right="400" w:hanging="271"/>
        <w:spacing w:after="0" w:line="258" w:lineRule="auto"/>
        <w:tabs>
          <w:tab w:leader="none" w:pos="382" w:val="left"/>
        </w:tabs>
        <w:numPr>
          <w:ilvl w:val="0"/>
          <w:numId w:val="59"/>
        </w:numPr>
        <w:rPr>
          <w:rFonts w:ascii="MS PGothic" w:cs="MS PGothic" w:eastAsia="MS PGothic" w:hAnsi="MS PGothic"/>
          <w:sz w:val="17"/>
          <w:szCs w:val="17"/>
          <w:color w:val="00A0DD"/>
        </w:rPr>
      </w:pPr>
      <w:r>
        <w:rPr>
          <w:rFonts w:ascii="Arial" w:cs="Arial" w:eastAsia="Arial" w:hAnsi="Arial"/>
          <w:sz w:val="17"/>
          <w:szCs w:val="17"/>
          <w:color w:val="auto"/>
        </w:rPr>
        <w:t>Compensation Committee directly engages Korn Ferry as its own independent compensation consultant.</w:t>
      </w:r>
    </w:p>
    <w:p>
      <w:pPr>
        <w:spacing w:after="0" w:line="38" w:lineRule="exact"/>
        <w:rPr>
          <w:rFonts w:ascii="MS PGothic" w:cs="MS PGothic" w:eastAsia="MS PGothic" w:hAnsi="MS PGothic"/>
          <w:sz w:val="17"/>
          <w:szCs w:val="17"/>
          <w:color w:val="00A0DD"/>
        </w:rPr>
      </w:pPr>
    </w:p>
    <w:p>
      <w:pPr>
        <w:ind w:left="360" w:right="260" w:hanging="271"/>
        <w:spacing w:after="0" w:line="266" w:lineRule="auto"/>
        <w:tabs>
          <w:tab w:leader="none" w:pos="382" w:val="left"/>
        </w:tabs>
        <w:numPr>
          <w:ilvl w:val="0"/>
          <w:numId w:val="59"/>
        </w:numPr>
        <w:rPr>
          <w:rFonts w:ascii="MS PGothic" w:cs="MS PGothic" w:eastAsia="MS PGothic" w:hAnsi="MS PGothic"/>
          <w:sz w:val="17"/>
          <w:szCs w:val="17"/>
          <w:color w:val="00A0DD"/>
        </w:rPr>
      </w:pPr>
      <w:r>
        <w:rPr>
          <w:rFonts w:ascii="Arial" w:cs="Arial" w:eastAsia="Arial" w:hAnsi="Arial"/>
          <w:sz w:val="17"/>
          <w:szCs w:val="17"/>
          <w:color w:val="auto"/>
        </w:rPr>
        <w:t>Use net-settled options, which results in fewer shares issued and less dilution to our shareholders than stock options exercised with a cash payment.</w:t>
      </w:r>
    </w:p>
    <w:p>
      <w:pPr>
        <w:spacing w:after="0" w:line="39" w:lineRule="exact"/>
        <w:rPr>
          <w:rFonts w:ascii="MS PGothic" w:cs="MS PGothic" w:eastAsia="MS PGothic" w:hAnsi="MS PGothic"/>
          <w:sz w:val="17"/>
          <w:szCs w:val="17"/>
          <w:color w:val="00A0DD"/>
        </w:rPr>
      </w:pPr>
    </w:p>
    <w:p>
      <w:pPr>
        <w:ind w:left="360" w:right="240" w:hanging="271"/>
        <w:spacing w:after="0" w:line="267" w:lineRule="auto"/>
        <w:tabs>
          <w:tab w:leader="none" w:pos="382" w:val="left"/>
        </w:tabs>
        <w:numPr>
          <w:ilvl w:val="0"/>
          <w:numId w:val="59"/>
        </w:numPr>
        <w:rPr>
          <w:rFonts w:ascii="MS PGothic" w:cs="MS PGothic" w:eastAsia="MS PGothic" w:hAnsi="MS PGothic"/>
          <w:sz w:val="17"/>
          <w:szCs w:val="17"/>
          <w:color w:val="00A0DD"/>
        </w:rPr>
      </w:pPr>
      <w:r>
        <w:rPr>
          <w:rFonts w:ascii="Arial" w:cs="Arial" w:eastAsia="Arial" w:hAnsi="Arial"/>
          <w:sz w:val="17"/>
          <w:szCs w:val="17"/>
          <w:color w:val="auto"/>
        </w:rPr>
        <w:t>Use relatively long vesting periods for our time-vesting equity awards to promote retention and emphasize longer term shareholder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42862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86250" cy="1714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25"/>
          <w:szCs w:val="25"/>
          <w:color w:val="auto"/>
        </w:rPr>
        <w:t>Our Approach to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125"/>
        <w:spacing w:after="0"/>
        <w:rPr>
          <w:sz w:val="20"/>
          <w:szCs w:val="20"/>
          <w:color w:val="auto"/>
        </w:rPr>
      </w:pPr>
      <w:r>
        <w:rPr>
          <w:rFonts w:ascii="Arial" w:cs="Arial" w:eastAsia="Arial" w:hAnsi="Arial"/>
          <w:sz w:val="22"/>
          <w:szCs w:val="22"/>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-244475</wp:posOffset>
            </wp:positionV>
            <wp:extent cx="2708910" cy="3600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708910" cy="360045"/>
                    </a:xfrm>
                    <a:prstGeom prst="rect">
                      <a:avLst/>
                    </a:prstGeom>
                    <a:noFill/>
                  </pic:spPr>
                </pic:pic>
              </a:graphicData>
            </a:graphic>
          </wp:anchor>
        </w:drawing>
      </w:r>
    </w:p>
    <w:p>
      <w:pPr>
        <w:spacing w:after="0" w:line="219" w:lineRule="exact"/>
        <w:rPr>
          <w:sz w:val="20"/>
          <w:szCs w:val="20"/>
          <w:color w:val="auto"/>
        </w:rPr>
      </w:pPr>
    </w:p>
    <w:p>
      <w:pPr>
        <w:ind w:left="285" w:hanging="285"/>
        <w:spacing w:after="0"/>
        <w:tabs>
          <w:tab w:leader="none" w:pos="285" w:val="left"/>
        </w:tabs>
        <w:numPr>
          <w:ilvl w:val="0"/>
          <w:numId w:val="60"/>
        </w:numPr>
        <w:rPr>
          <w:rFonts w:ascii="MS PGothic" w:cs="MS PGothic" w:eastAsia="MS PGothic" w:hAnsi="MS PGothic"/>
          <w:sz w:val="17"/>
          <w:szCs w:val="17"/>
          <w:color w:val="auto"/>
        </w:rPr>
      </w:pPr>
      <w:r>
        <w:rPr>
          <w:rFonts w:ascii="Arial" w:cs="Arial" w:eastAsia="Arial" w:hAnsi="Arial"/>
          <w:sz w:val="17"/>
          <w:szCs w:val="17"/>
          <w:color w:val="auto"/>
        </w:rPr>
        <w:t>Do not permit the repricing of options of any kind.</w:t>
      </w:r>
    </w:p>
    <w:p>
      <w:pPr>
        <w:spacing w:after="0" w:line="88" w:lineRule="exact"/>
        <w:rPr>
          <w:rFonts w:ascii="MS PGothic" w:cs="MS PGothic" w:eastAsia="MS PGothic" w:hAnsi="MS PGothic"/>
          <w:sz w:val="17"/>
          <w:szCs w:val="17"/>
          <w:color w:val="auto"/>
        </w:rPr>
      </w:pPr>
    </w:p>
    <w:p>
      <w:pPr>
        <w:jc w:val="both"/>
        <w:ind w:left="265" w:right="120" w:hanging="265"/>
        <w:spacing w:after="0" w:line="249" w:lineRule="auto"/>
        <w:tabs>
          <w:tab w:leader="none" w:pos="287" w:val="left"/>
        </w:tabs>
        <w:numPr>
          <w:ilvl w:val="0"/>
          <w:numId w:val="60"/>
        </w:numPr>
        <w:rPr>
          <w:rFonts w:ascii="MS PGothic" w:cs="MS PGothic" w:eastAsia="MS PGothic" w:hAnsi="MS PGothic"/>
          <w:sz w:val="17"/>
          <w:szCs w:val="17"/>
          <w:color w:val="auto"/>
        </w:rPr>
      </w:pPr>
      <w:r>
        <w:rPr>
          <w:rFonts w:ascii="Arial" w:cs="Arial" w:eastAsia="Arial" w:hAnsi="Arial"/>
          <w:sz w:val="17"/>
          <w:szCs w:val="17"/>
          <w:color w:val="auto"/>
        </w:rPr>
        <w:t>Do not maintain any defined benefit pension plans or supplemental executive retirement plans for our NEOs.</w:t>
      </w:r>
    </w:p>
    <w:p>
      <w:pPr>
        <w:spacing w:after="0" w:line="39" w:lineRule="exact"/>
        <w:rPr>
          <w:rFonts w:ascii="MS PGothic" w:cs="MS PGothic" w:eastAsia="MS PGothic" w:hAnsi="MS PGothic"/>
          <w:sz w:val="17"/>
          <w:szCs w:val="17"/>
          <w:color w:val="auto"/>
        </w:rPr>
      </w:pPr>
    </w:p>
    <w:p>
      <w:pPr>
        <w:ind w:left="265" w:right="240" w:hanging="265"/>
        <w:spacing w:after="0" w:line="238" w:lineRule="auto"/>
        <w:tabs>
          <w:tab w:leader="none" w:pos="287" w:val="left"/>
        </w:tabs>
        <w:numPr>
          <w:ilvl w:val="0"/>
          <w:numId w:val="60"/>
        </w:numPr>
        <w:rPr>
          <w:rFonts w:ascii="MS PGothic" w:cs="MS PGothic" w:eastAsia="MS PGothic" w:hAnsi="MS PGothic"/>
          <w:sz w:val="17"/>
          <w:szCs w:val="17"/>
          <w:color w:val="auto"/>
        </w:rPr>
      </w:pPr>
      <w:r>
        <w:rPr>
          <w:rFonts w:ascii="Arial" w:cs="Arial" w:eastAsia="Arial" w:hAnsi="Arial"/>
          <w:sz w:val="17"/>
          <w:szCs w:val="17"/>
          <w:color w:val="auto"/>
        </w:rPr>
        <w:t>None of our equity plans has automatic (“single-trigger”) accelerated vesting provisions in connection with a change in control. Mr. Roberts’ employment agreement has a “double-trigger” change in control provision. No other NEO has change in control provisions in their employment agreement.</w:t>
      </w:r>
    </w:p>
    <w:p>
      <w:pPr>
        <w:spacing w:after="0" w:line="47" w:lineRule="exact"/>
        <w:rPr>
          <w:rFonts w:ascii="MS PGothic" w:cs="MS PGothic" w:eastAsia="MS PGothic" w:hAnsi="MS PGothic"/>
          <w:sz w:val="17"/>
          <w:szCs w:val="17"/>
          <w:color w:val="auto"/>
        </w:rPr>
      </w:pPr>
    </w:p>
    <w:p>
      <w:pPr>
        <w:ind w:left="265" w:right="140" w:hanging="265"/>
        <w:spacing w:after="0" w:line="249" w:lineRule="auto"/>
        <w:tabs>
          <w:tab w:leader="none" w:pos="287" w:val="left"/>
        </w:tabs>
        <w:numPr>
          <w:ilvl w:val="0"/>
          <w:numId w:val="60"/>
        </w:numPr>
        <w:rPr>
          <w:rFonts w:ascii="MS PGothic" w:cs="MS PGothic" w:eastAsia="MS PGothic" w:hAnsi="MS PGothic"/>
          <w:sz w:val="17"/>
          <w:szCs w:val="17"/>
          <w:color w:val="auto"/>
        </w:rPr>
      </w:pPr>
      <w:r>
        <w:rPr>
          <w:rFonts w:ascii="Arial" w:cs="Arial" w:eastAsia="Arial" w:hAnsi="Arial"/>
          <w:sz w:val="17"/>
          <w:szCs w:val="17"/>
          <w:color w:val="auto"/>
        </w:rPr>
        <w:t>Do not pay dividends or dividend equivalents in respect of any unearned PSUs or RSUs or on any stock options.</w:t>
      </w:r>
    </w:p>
    <w:p>
      <w:pPr>
        <w:spacing w:after="0" w:line="53" w:lineRule="exact"/>
        <w:rPr>
          <w:rFonts w:ascii="MS PGothic" w:cs="MS PGothic" w:eastAsia="MS PGothic" w:hAnsi="MS PGothic"/>
          <w:sz w:val="17"/>
          <w:szCs w:val="17"/>
          <w:color w:val="auto"/>
        </w:rPr>
      </w:pPr>
    </w:p>
    <w:p>
      <w:pPr>
        <w:ind w:left="265" w:right="260" w:hanging="265"/>
        <w:spacing w:after="0" w:line="267" w:lineRule="auto"/>
        <w:tabs>
          <w:tab w:leader="none" w:pos="287" w:val="left"/>
        </w:tabs>
        <w:numPr>
          <w:ilvl w:val="0"/>
          <w:numId w:val="60"/>
        </w:numPr>
        <w:rPr>
          <w:rFonts w:ascii="MS PGothic" w:cs="MS PGothic" w:eastAsia="MS PGothic" w:hAnsi="MS PGothic"/>
          <w:sz w:val="17"/>
          <w:szCs w:val="17"/>
          <w:color w:val="auto"/>
        </w:rPr>
      </w:pPr>
      <w:r>
        <w:rPr>
          <w:rFonts w:ascii="Arial" w:cs="Arial" w:eastAsia="Arial" w:hAnsi="Arial"/>
          <w:sz w:val="17"/>
          <w:szCs w:val="17"/>
          <w:color w:val="auto"/>
        </w:rPr>
        <w:t>Do not provide for any excise or other tax gross-ups for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594995</wp:posOffset>
            </wp:positionV>
            <wp:extent cx="270891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45" w:lineRule="exact"/>
        <w:rPr>
          <w:sz w:val="20"/>
          <w:szCs w:val="20"/>
          <w:color w:val="auto"/>
        </w:rPr>
      </w:pPr>
    </w:p>
    <w:p>
      <w:pPr>
        <w:sectPr>
          <w:pgSz w:w="11900" w:h="16838" w:orient="portrait"/>
          <w:cols w:equalWidth="0" w:num="2">
            <w:col w:w="6680" w:space="375"/>
            <w:col w:w="4185"/>
          </w:cols>
          <w:pgMar w:left="320" w:top="121" w:right="339" w:bottom="1440" w:gutter="0" w:footer="0" w:header="0"/>
        </w:sectPr>
      </w:pPr>
    </w:p>
    <w:p>
      <w:pPr>
        <w:spacing w:after="0" w:line="26"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In designing our compensation program, we evaluate both our business objectives and the need to attract and retain uniquely talented and experienced individuals who think strategically for the long term, particularly in light of the challenging and evolving competitive, technological and regulatory environments in which we operate. We employ a variety of elements that further our shareholders’ interests by securing our executives’ services in an exceedingly competitive talent market and aligning the long-term interests of our executives with the creation of shareholder value.</w:t>
      </w:r>
    </w:p>
    <w:p>
      <w:pPr>
        <w:spacing w:after="0" w:line="177" w:lineRule="exact"/>
        <w:rPr>
          <w:sz w:val="20"/>
          <w:szCs w:val="20"/>
          <w:color w:val="auto"/>
        </w:rPr>
      </w:pPr>
    </w:p>
    <w:p>
      <w:pPr>
        <w:ind w:left="260" w:right="580" w:hanging="252"/>
        <w:spacing w:after="0" w:line="267" w:lineRule="auto"/>
        <w:tabs>
          <w:tab w:leader="none" w:pos="260" w:val="left"/>
        </w:tabs>
        <w:numPr>
          <w:ilvl w:val="0"/>
          <w:numId w:val="61"/>
        </w:numPr>
        <w:rPr>
          <w:rFonts w:ascii="Arial" w:cs="Arial" w:eastAsia="Arial" w:hAnsi="Arial"/>
          <w:sz w:val="17"/>
          <w:szCs w:val="17"/>
          <w:color w:val="00A0DE"/>
        </w:rPr>
      </w:pPr>
      <w:r>
        <w:rPr>
          <w:rFonts w:ascii="Arial" w:cs="Arial" w:eastAsia="Arial" w:hAnsi="Arial"/>
          <w:sz w:val="17"/>
          <w:szCs w:val="17"/>
          <w:color w:val="auto"/>
        </w:rPr>
        <w:t>In addition to fixed compensation, we provide short-term and long-term performance-based compensation that includes Company-specific performance goals, as well as relative performance goals that measure our shareholder value creation relative to market performance.</w:t>
      </w:r>
    </w:p>
    <w:p>
      <w:pPr>
        <w:spacing w:after="0" w:line="10" w:lineRule="exact"/>
        <w:rPr>
          <w:rFonts w:ascii="Arial" w:cs="Arial" w:eastAsia="Arial" w:hAnsi="Arial"/>
          <w:sz w:val="17"/>
          <w:szCs w:val="17"/>
          <w:color w:val="00A0DE"/>
        </w:rPr>
      </w:pPr>
    </w:p>
    <w:p>
      <w:pPr>
        <w:ind w:left="260" w:hanging="252"/>
        <w:spacing w:after="0"/>
        <w:tabs>
          <w:tab w:leader="none" w:pos="260" w:val="left"/>
        </w:tabs>
        <w:numPr>
          <w:ilvl w:val="0"/>
          <w:numId w:val="61"/>
        </w:numPr>
        <w:rPr>
          <w:rFonts w:ascii="Arial" w:cs="Arial" w:eastAsia="Arial" w:hAnsi="Arial"/>
          <w:sz w:val="17"/>
          <w:szCs w:val="17"/>
          <w:color w:val="00A0DE"/>
        </w:rPr>
      </w:pPr>
      <w:r>
        <w:rPr>
          <w:rFonts w:ascii="Arial" w:cs="Arial" w:eastAsia="Arial" w:hAnsi="Arial"/>
          <w:sz w:val="17"/>
          <w:szCs w:val="17"/>
          <w:color w:val="auto"/>
        </w:rPr>
        <w:t>To motivate and retain our executives, we provide pay opportunity levels that are highly competitive.</w:t>
      </w:r>
    </w:p>
    <w:p>
      <w:pPr>
        <w:spacing w:after="0" w:line="61" w:lineRule="exact"/>
        <w:rPr>
          <w:rFonts w:ascii="Arial" w:cs="Arial" w:eastAsia="Arial" w:hAnsi="Arial"/>
          <w:sz w:val="17"/>
          <w:szCs w:val="17"/>
          <w:color w:val="00A0DE"/>
        </w:rPr>
      </w:pPr>
    </w:p>
    <w:p>
      <w:pPr>
        <w:ind w:left="260" w:right="80" w:hanging="252"/>
        <w:spacing w:after="0" w:line="244" w:lineRule="auto"/>
        <w:tabs>
          <w:tab w:leader="none" w:pos="260" w:val="left"/>
        </w:tabs>
        <w:numPr>
          <w:ilvl w:val="0"/>
          <w:numId w:val="61"/>
        </w:numPr>
        <w:rPr>
          <w:rFonts w:ascii="Arial" w:cs="Arial" w:eastAsia="Arial" w:hAnsi="Arial"/>
          <w:sz w:val="17"/>
          <w:szCs w:val="17"/>
          <w:color w:val="00A0DE"/>
        </w:rPr>
      </w:pPr>
      <w:r>
        <w:rPr>
          <w:rFonts w:ascii="Arial" w:cs="Arial" w:eastAsia="Arial" w:hAnsi="Arial"/>
          <w:sz w:val="17"/>
          <w:szCs w:val="17"/>
          <w:color w:val="auto"/>
        </w:rPr>
        <w:t>Our short-term annual bonus program includes quantitative financial performance goals that are based, in part, on consolidated budgets that are prepared annually and take into consideration the cyclicality of working capital in our business, capital spending plans for the upcoming year and other relevant factors. We balance out our annual bonus program by also incenting attainment of operating performance goals and key stakeholder and sustainability initiatives.</w:t>
      </w:r>
    </w:p>
    <w:p>
      <w:pPr>
        <w:spacing w:after="0" w:line="28" w:lineRule="exact"/>
        <w:rPr>
          <w:rFonts w:ascii="Arial" w:cs="Arial" w:eastAsia="Arial" w:hAnsi="Arial"/>
          <w:sz w:val="17"/>
          <w:szCs w:val="17"/>
          <w:color w:val="00A0DE"/>
        </w:rPr>
      </w:pPr>
    </w:p>
    <w:p>
      <w:pPr>
        <w:ind w:left="260" w:right="40" w:hanging="252"/>
        <w:spacing w:after="0" w:line="241" w:lineRule="auto"/>
        <w:tabs>
          <w:tab w:leader="none" w:pos="260" w:val="left"/>
        </w:tabs>
        <w:numPr>
          <w:ilvl w:val="0"/>
          <w:numId w:val="61"/>
        </w:numPr>
        <w:rPr>
          <w:rFonts w:ascii="Arial" w:cs="Arial" w:eastAsia="Arial" w:hAnsi="Arial"/>
          <w:sz w:val="17"/>
          <w:szCs w:val="17"/>
          <w:color w:val="00A0DE"/>
        </w:rPr>
      </w:pPr>
      <w:r>
        <w:rPr>
          <w:rFonts w:ascii="Arial" w:cs="Arial" w:eastAsia="Arial" w:hAnsi="Arial"/>
          <w:sz w:val="17"/>
          <w:szCs w:val="17"/>
          <w:color w:val="auto"/>
        </w:rPr>
        <w:t>Our 2024 annual long-term incentive program is composed of grants of PSUs and stock options. PSUs awarded in 2024 have meaningful performance conditions for vesting measured over a cumulative three-year period based on two relative performance metrics relating to Adjusted Earnings Per Share (“EPS”) growth and Total Shareholder Return (“TSR”) as well as an absolute Return on Invested Capital (“ROIC”) performance metric. Stock options are inherently aligned with shareholders and are performance-based in that our stock price must appreciate for the options to deliver any value.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29</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ind w:left="260" w:right="280" w:hanging="252"/>
        <w:spacing w:after="0" w:line="244" w:lineRule="auto"/>
        <w:tabs>
          <w:tab w:leader="none" w:pos="260" w:val="left"/>
        </w:tabs>
        <w:numPr>
          <w:ilvl w:val="0"/>
          <w:numId w:val="62"/>
        </w:numPr>
        <w:rPr>
          <w:rFonts w:ascii="Arial" w:cs="Arial" w:eastAsia="Arial" w:hAnsi="Arial"/>
          <w:sz w:val="17"/>
          <w:szCs w:val="17"/>
          <w:color w:val="00A0DE"/>
        </w:rPr>
      </w:pPr>
      <w:r>
        <w:rPr>
          <w:rFonts w:ascii="Arial" w:cs="Arial" w:eastAsia="Arial" w:hAnsi="Arial"/>
          <w:sz w:val="17"/>
          <w:szCs w:val="17"/>
          <w:color w:val="auto"/>
        </w:rPr>
        <w:t>The financial quantitative metrics used in our 2024 incentive compensation programs generally reflect those used internally to measure our performance and externally to report to investors. Many of these measures are tied to cash generation and capital efficiency and balance over both the short-term and the longer-term profitable growth and shareholder value creation. The financial metrics used in our 2024 executive compensation program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920" w:type="dxa"/>
            <w:vAlign w:val="bottom"/>
          </w:tcPr>
          <w:p>
            <w:pPr>
              <w:ind w:left="80"/>
              <w:spacing w:after="0"/>
              <w:rPr>
                <w:sz w:val="20"/>
                <w:szCs w:val="20"/>
                <w:color w:val="auto"/>
              </w:rPr>
            </w:pPr>
            <w:r>
              <w:rPr>
                <w:rFonts w:ascii="Arial" w:cs="Arial" w:eastAsia="Arial" w:hAnsi="Arial"/>
                <w:sz w:val="16"/>
                <w:szCs w:val="16"/>
                <w:b w:val="1"/>
                <w:bCs w:val="1"/>
                <w:color w:val="00A0E0"/>
              </w:rPr>
              <w:t>Annual Cash Bonus</w:t>
            </w:r>
          </w:p>
        </w:tc>
        <w:tc>
          <w:tcPr>
            <w:tcW w:w="2400" w:type="dxa"/>
            <w:vAlign w:val="bottom"/>
            <w:tcBorders>
              <w:bottom w:val="single" w:sz="8" w:color="DCDDDE"/>
            </w:tcBorders>
          </w:tcPr>
          <w:p>
            <w:pPr>
              <w:spacing w:after="0"/>
              <w:rPr>
                <w:sz w:val="20"/>
                <w:szCs w:val="20"/>
                <w:color w:val="auto"/>
              </w:rPr>
            </w:pPr>
            <w:r>
              <w:rPr>
                <w:rFonts w:ascii="Arial" w:cs="Arial" w:eastAsia="Arial" w:hAnsi="Arial"/>
                <w:sz w:val="16"/>
                <w:szCs w:val="16"/>
                <w:color w:val="auto"/>
              </w:rPr>
              <w:t>Revenue</w:t>
            </w:r>
          </w:p>
        </w:tc>
        <w:tc>
          <w:tcPr>
            <w:tcW w:w="6920" w:type="dxa"/>
            <w:vAlign w:val="bottom"/>
            <w:tcBorders>
              <w:bottom w:val="single" w:sz="8" w:color="DCDDDE"/>
            </w:tcBorders>
          </w:tcPr>
          <w:p>
            <w:pPr>
              <w:ind w:left="220"/>
              <w:spacing w:after="0"/>
              <w:rPr>
                <w:sz w:val="20"/>
                <w:szCs w:val="20"/>
                <w:color w:val="auto"/>
              </w:rPr>
            </w:pPr>
            <w:r>
              <w:rPr>
                <w:rFonts w:ascii="Arial" w:cs="Arial" w:eastAsia="Arial" w:hAnsi="Arial"/>
                <w:sz w:val="16"/>
                <w:szCs w:val="16"/>
                <w:color w:val="auto"/>
              </w:rPr>
              <w:t>Serves as the top line component to cash generation</w:t>
            </w:r>
          </w:p>
        </w:tc>
      </w:tr>
      <w:tr>
        <w:trPr>
          <w:trHeight w:val="199"/>
        </w:trPr>
        <w:tc>
          <w:tcPr>
            <w:tcW w:w="192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Adjusted EBITDA</w:t>
            </w:r>
          </w:p>
        </w:tc>
        <w:tc>
          <w:tcPr>
            <w:tcW w:w="6920" w:type="dxa"/>
            <w:vAlign w:val="bottom"/>
          </w:tcPr>
          <w:p>
            <w:pPr>
              <w:ind w:left="220"/>
              <w:spacing w:after="0"/>
              <w:rPr>
                <w:sz w:val="20"/>
                <w:szCs w:val="20"/>
                <w:color w:val="auto"/>
              </w:rPr>
            </w:pPr>
            <w:r>
              <w:rPr>
                <w:rFonts w:ascii="Arial" w:cs="Arial" w:eastAsia="Arial" w:hAnsi="Arial"/>
                <w:sz w:val="16"/>
                <w:szCs w:val="16"/>
                <w:color w:val="auto"/>
              </w:rPr>
              <w:t>Reflects the operational performance of our businesses, taking into account the costs of</w:t>
            </w:r>
          </w:p>
        </w:tc>
      </w:tr>
      <w:tr>
        <w:trPr>
          <w:trHeight w:val="224"/>
        </w:trPr>
        <w:tc>
          <w:tcPr>
            <w:tcW w:w="1920" w:type="dxa"/>
            <w:vAlign w:val="bottom"/>
          </w:tcPr>
          <w:p>
            <w:pPr>
              <w:spacing w:after="0"/>
              <w:rPr>
                <w:sz w:val="19"/>
                <w:szCs w:val="19"/>
                <w:color w:val="auto"/>
              </w:rPr>
            </w:pPr>
          </w:p>
        </w:tc>
        <w:tc>
          <w:tcPr>
            <w:tcW w:w="2400" w:type="dxa"/>
            <w:vAlign w:val="bottom"/>
            <w:tcBorders>
              <w:bottom w:val="single" w:sz="8" w:color="DCDDDE"/>
            </w:tcBorders>
          </w:tcPr>
          <w:p>
            <w:pPr>
              <w:spacing w:after="0"/>
              <w:rPr>
                <w:sz w:val="19"/>
                <w:szCs w:val="19"/>
                <w:color w:val="auto"/>
              </w:rPr>
            </w:pPr>
          </w:p>
        </w:tc>
        <w:tc>
          <w:tcPr>
            <w:tcW w:w="6920" w:type="dxa"/>
            <w:vAlign w:val="bottom"/>
            <w:tcBorders>
              <w:bottom w:val="single" w:sz="8" w:color="DCDDDE"/>
            </w:tcBorders>
          </w:tcPr>
          <w:p>
            <w:pPr>
              <w:ind w:left="220"/>
              <w:spacing w:after="0"/>
              <w:rPr>
                <w:sz w:val="20"/>
                <w:szCs w:val="20"/>
                <w:color w:val="auto"/>
              </w:rPr>
            </w:pPr>
            <w:r>
              <w:rPr>
                <w:rFonts w:ascii="Arial" w:cs="Arial" w:eastAsia="Arial" w:hAnsi="Arial"/>
                <w:sz w:val="16"/>
                <w:szCs w:val="16"/>
                <w:color w:val="auto"/>
              </w:rPr>
              <w:t>operating these businesses</w:t>
            </w:r>
          </w:p>
        </w:tc>
      </w:tr>
      <w:tr>
        <w:trPr>
          <w:trHeight w:val="202"/>
        </w:trPr>
        <w:tc>
          <w:tcPr>
            <w:tcW w:w="192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Free Cash Flow</w:t>
            </w:r>
          </w:p>
        </w:tc>
        <w:tc>
          <w:tcPr>
            <w:tcW w:w="6920" w:type="dxa"/>
            <w:vAlign w:val="bottom"/>
          </w:tcPr>
          <w:p>
            <w:pPr>
              <w:ind w:left="220"/>
              <w:spacing w:after="0"/>
              <w:rPr>
                <w:sz w:val="20"/>
                <w:szCs w:val="20"/>
                <w:color w:val="auto"/>
              </w:rPr>
            </w:pPr>
            <w:r>
              <w:rPr>
                <w:rFonts w:ascii="Arial" w:cs="Arial" w:eastAsia="Arial" w:hAnsi="Arial"/>
                <w:sz w:val="16"/>
                <w:szCs w:val="16"/>
                <w:color w:val="auto"/>
              </w:rPr>
              <w:t>Measures, among other things, cash remaining after capital investments that allows us to</w:t>
            </w:r>
          </w:p>
        </w:tc>
      </w:tr>
      <w:tr>
        <w:trPr>
          <w:trHeight w:val="224"/>
        </w:trPr>
        <w:tc>
          <w:tcPr>
            <w:tcW w:w="19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69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repay indebtedness, make strategic investments and return capital to shareholders</w:t>
            </w:r>
          </w:p>
        </w:tc>
      </w:tr>
      <w:tr>
        <w:trPr>
          <w:trHeight w:val="202"/>
        </w:trPr>
        <w:tc>
          <w:tcPr>
            <w:tcW w:w="1920" w:type="dxa"/>
            <w:vAlign w:val="bottom"/>
          </w:tcPr>
          <w:p>
            <w:pPr>
              <w:ind w:left="80"/>
              <w:spacing w:after="0"/>
              <w:rPr>
                <w:sz w:val="20"/>
                <w:szCs w:val="20"/>
                <w:color w:val="auto"/>
              </w:rPr>
            </w:pPr>
            <w:r>
              <w:rPr>
                <w:rFonts w:ascii="Arial" w:cs="Arial" w:eastAsia="Arial" w:hAnsi="Arial"/>
                <w:sz w:val="16"/>
                <w:szCs w:val="16"/>
                <w:b w:val="1"/>
                <w:bCs w:val="1"/>
                <w:color w:val="00A0E0"/>
              </w:rPr>
              <w:t>Long-Term</w:t>
            </w:r>
          </w:p>
        </w:tc>
        <w:tc>
          <w:tcPr>
            <w:tcW w:w="2400" w:type="dxa"/>
            <w:vAlign w:val="bottom"/>
          </w:tcPr>
          <w:p>
            <w:pPr>
              <w:spacing w:after="0"/>
              <w:rPr>
                <w:sz w:val="20"/>
                <w:szCs w:val="20"/>
                <w:color w:val="auto"/>
              </w:rPr>
            </w:pPr>
            <w:r>
              <w:rPr>
                <w:rFonts w:ascii="Arial" w:cs="Arial" w:eastAsia="Arial" w:hAnsi="Arial"/>
                <w:sz w:val="16"/>
                <w:szCs w:val="16"/>
                <w:color w:val="auto"/>
              </w:rPr>
              <w:t>Average ROIC</w:t>
            </w:r>
          </w:p>
        </w:tc>
        <w:tc>
          <w:tcPr>
            <w:tcW w:w="6920" w:type="dxa"/>
            <w:vAlign w:val="bottom"/>
          </w:tcPr>
          <w:p>
            <w:pPr>
              <w:ind w:left="220"/>
              <w:spacing w:after="0"/>
              <w:rPr>
                <w:sz w:val="20"/>
                <w:szCs w:val="20"/>
                <w:color w:val="auto"/>
              </w:rPr>
            </w:pPr>
            <w:r>
              <w:rPr>
                <w:rFonts w:ascii="Arial" w:cs="Arial" w:eastAsia="Arial" w:hAnsi="Arial"/>
                <w:sz w:val="16"/>
                <w:szCs w:val="16"/>
                <w:color w:val="auto"/>
              </w:rPr>
              <w:t>Measures how well capital (equity and debt) is used to generate earnings over a three-year</w:t>
            </w:r>
          </w:p>
        </w:tc>
      </w:tr>
      <w:tr>
        <w:trPr>
          <w:trHeight w:val="226"/>
        </w:trPr>
        <w:tc>
          <w:tcPr>
            <w:tcW w:w="1920" w:type="dxa"/>
            <w:vAlign w:val="bottom"/>
          </w:tcPr>
          <w:p>
            <w:pPr>
              <w:ind w:left="80"/>
              <w:spacing w:after="0"/>
              <w:rPr>
                <w:sz w:val="20"/>
                <w:szCs w:val="20"/>
                <w:color w:val="auto"/>
              </w:rPr>
            </w:pPr>
            <w:r>
              <w:rPr>
                <w:rFonts w:ascii="Arial" w:cs="Arial" w:eastAsia="Arial" w:hAnsi="Arial"/>
                <w:sz w:val="16"/>
                <w:szCs w:val="16"/>
                <w:b w:val="1"/>
                <w:bCs w:val="1"/>
                <w:color w:val="00A0E0"/>
              </w:rPr>
              <w:t>Incentive Program</w:t>
            </w:r>
          </w:p>
        </w:tc>
        <w:tc>
          <w:tcPr>
            <w:tcW w:w="2400" w:type="dxa"/>
            <w:vAlign w:val="bottom"/>
            <w:tcBorders>
              <w:bottom w:val="single" w:sz="8" w:color="DCDDDE"/>
            </w:tcBorders>
          </w:tcPr>
          <w:p>
            <w:pPr>
              <w:spacing w:after="0"/>
              <w:rPr>
                <w:sz w:val="19"/>
                <w:szCs w:val="19"/>
                <w:color w:val="auto"/>
              </w:rPr>
            </w:pPr>
          </w:p>
        </w:tc>
        <w:tc>
          <w:tcPr>
            <w:tcW w:w="6920" w:type="dxa"/>
            <w:vAlign w:val="bottom"/>
            <w:tcBorders>
              <w:bottom w:val="single" w:sz="8" w:color="DCDDDE"/>
            </w:tcBorders>
          </w:tcPr>
          <w:p>
            <w:pPr>
              <w:ind w:left="220"/>
              <w:spacing w:after="0"/>
              <w:rPr>
                <w:sz w:val="20"/>
                <w:szCs w:val="20"/>
                <w:color w:val="auto"/>
              </w:rPr>
            </w:pPr>
            <w:r>
              <w:rPr>
                <w:rFonts w:ascii="Arial" w:cs="Arial" w:eastAsia="Arial" w:hAnsi="Arial"/>
                <w:sz w:val="16"/>
                <w:szCs w:val="16"/>
                <w:color w:val="auto"/>
              </w:rPr>
              <w:t>period</w:t>
            </w:r>
          </w:p>
        </w:tc>
      </w:tr>
      <w:tr>
        <w:trPr>
          <w:trHeight w:val="199"/>
        </w:trPr>
        <w:tc>
          <w:tcPr>
            <w:tcW w:w="192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Relative Adjusted EPS Growth</w:t>
            </w:r>
          </w:p>
        </w:tc>
        <w:tc>
          <w:tcPr>
            <w:tcW w:w="6920" w:type="dxa"/>
            <w:vAlign w:val="bottom"/>
          </w:tcPr>
          <w:p>
            <w:pPr>
              <w:ind w:left="220"/>
              <w:spacing w:after="0"/>
              <w:rPr>
                <w:sz w:val="20"/>
                <w:szCs w:val="20"/>
                <w:color w:val="auto"/>
              </w:rPr>
            </w:pPr>
            <w:r>
              <w:rPr>
                <w:rFonts w:ascii="Arial" w:cs="Arial" w:eastAsia="Arial" w:hAnsi="Arial"/>
                <w:sz w:val="16"/>
                <w:szCs w:val="16"/>
                <w:color w:val="auto"/>
              </w:rPr>
              <w:t>Measures earnings performance compared to other S&amp;P 100 companies over a three-year</w:t>
            </w:r>
          </w:p>
        </w:tc>
      </w:tr>
      <w:tr>
        <w:trPr>
          <w:trHeight w:val="224"/>
        </w:trPr>
        <w:tc>
          <w:tcPr>
            <w:tcW w:w="1920" w:type="dxa"/>
            <w:vAlign w:val="bottom"/>
          </w:tcPr>
          <w:p>
            <w:pPr>
              <w:spacing w:after="0"/>
              <w:rPr>
                <w:sz w:val="19"/>
                <w:szCs w:val="19"/>
                <w:color w:val="auto"/>
              </w:rPr>
            </w:pPr>
          </w:p>
        </w:tc>
        <w:tc>
          <w:tcPr>
            <w:tcW w:w="2400" w:type="dxa"/>
            <w:vAlign w:val="bottom"/>
            <w:tcBorders>
              <w:bottom w:val="single" w:sz="8" w:color="DCDDDE"/>
            </w:tcBorders>
          </w:tcPr>
          <w:p>
            <w:pPr>
              <w:spacing w:after="0"/>
              <w:rPr>
                <w:sz w:val="19"/>
                <w:szCs w:val="19"/>
                <w:color w:val="auto"/>
              </w:rPr>
            </w:pPr>
          </w:p>
        </w:tc>
        <w:tc>
          <w:tcPr>
            <w:tcW w:w="6920" w:type="dxa"/>
            <w:vAlign w:val="bottom"/>
            <w:tcBorders>
              <w:bottom w:val="single" w:sz="8" w:color="DCDDDE"/>
            </w:tcBorders>
          </w:tcPr>
          <w:p>
            <w:pPr>
              <w:ind w:left="220"/>
              <w:spacing w:after="0"/>
              <w:rPr>
                <w:sz w:val="20"/>
                <w:szCs w:val="20"/>
                <w:color w:val="auto"/>
              </w:rPr>
            </w:pPr>
            <w:r>
              <w:rPr>
                <w:rFonts w:ascii="Arial" w:cs="Arial" w:eastAsia="Arial" w:hAnsi="Arial"/>
                <w:sz w:val="16"/>
                <w:szCs w:val="16"/>
                <w:color w:val="auto"/>
              </w:rPr>
              <w:t>period</w:t>
            </w:r>
          </w:p>
        </w:tc>
      </w:tr>
      <w:tr>
        <w:trPr>
          <w:trHeight w:val="202"/>
        </w:trPr>
        <w:tc>
          <w:tcPr>
            <w:tcW w:w="192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Relative TSR</w:t>
            </w:r>
          </w:p>
        </w:tc>
        <w:tc>
          <w:tcPr>
            <w:tcW w:w="6920" w:type="dxa"/>
            <w:vAlign w:val="bottom"/>
          </w:tcPr>
          <w:p>
            <w:pPr>
              <w:ind w:left="220"/>
              <w:spacing w:after="0"/>
              <w:rPr>
                <w:sz w:val="20"/>
                <w:szCs w:val="20"/>
                <w:color w:val="auto"/>
              </w:rPr>
            </w:pPr>
            <w:r>
              <w:rPr>
                <w:rFonts w:ascii="Arial" w:cs="Arial" w:eastAsia="Arial" w:hAnsi="Arial"/>
                <w:sz w:val="16"/>
                <w:szCs w:val="16"/>
                <w:color w:val="auto"/>
              </w:rPr>
              <w:t>Measures total company achievement of shareholder returns compared to other S&amp;P 100</w:t>
            </w:r>
          </w:p>
        </w:tc>
      </w:tr>
      <w:tr>
        <w:trPr>
          <w:trHeight w:val="224"/>
        </w:trPr>
        <w:tc>
          <w:tcPr>
            <w:tcW w:w="19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69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companies over a three-year period</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25"/>
          <w:szCs w:val="25"/>
          <w:color w:val="auto"/>
        </w:rPr>
        <w:t>Design and Structure of 2024 Executive Compensation Program</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A0DD"/>
        </w:rPr>
        <w:t>Elements of Compensation</w:t>
      </w:r>
    </w:p>
    <w:p>
      <w:pPr>
        <w:spacing w:after="0" w:line="210"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We view our executive compensation program for 2024 on a “portfolio” basis to appropriately balance various compensation elements that motivate and reward our NEOs for their performance and creation of long-term shareholder value.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TYPE</w:t>
            </w: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ELEMENT</w:t>
            </w:r>
          </w:p>
        </w:tc>
        <w:tc>
          <w:tcPr>
            <w:tcW w:w="45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WHY WE USED IT</w:t>
            </w:r>
          </w:p>
        </w:tc>
        <w:tc>
          <w:tcPr>
            <w:tcW w:w="4480" w:type="dxa"/>
            <w:vAlign w:val="bottom"/>
            <w:tcBorders>
              <w:bottom w:val="single" w:sz="8" w:color="auto"/>
            </w:tcBorders>
            <w:shd w:val="clear" w:color="auto" w:fill="E2F1FB"/>
          </w:tcPr>
          <w:p>
            <w:pPr>
              <w:ind w:left="80"/>
              <w:spacing w:after="0"/>
              <w:rPr>
                <w:sz w:val="20"/>
                <w:szCs w:val="20"/>
                <w:color w:val="auto"/>
              </w:rPr>
            </w:pPr>
            <w:r>
              <w:rPr>
                <w:rFonts w:ascii="Arial" w:cs="Arial" w:eastAsia="Arial" w:hAnsi="Arial"/>
                <w:sz w:val="15"/>
                <w:szCs w:val="15"/>
                <w:b w:val="1"/>
                <w:bCs w:val="1"/>
                <w:color w:val="auto"/>
              </w:rPr>
              <w:t>COMPENSATION HIGHLIGHTS</w:t>
            </w:r>
          </w:p>
        </w:tc>
        <w:tc>
          <w:tcPr>
            <w:tcW w:w="0" w:type="dxa"/>
            <w:vAlign w:val="bottom"/>
          </w:tcPr>
          <w:p>
            <w:pPr>
              <w:spacing w:after="0"/>
              <w:rPr>
                <w:sz w:val="1"/>
                <w:szCs w:val="1"/>
                <w:color w:val="auto"/>
              </w:rPr>
            </w:pPr>
          </w:p>
        </w:tc>
      </w:tr>
      <w:tr>
        <w:trPr>
          <w:trHeight w:val="165"/>
        </w:trPr>
        <w:tc>
          <w:tcPr>
            <w:tcW w:w="11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Fixed</w:t>
            </w:r>
          </w:p>
        </w:tc>
        <w:tc>
          <w:tcPr>
            <w:tcW w:w="11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Base Salary</w:t>
            </w:r>
          </w:p>
        </w:tc>
        <w:tc>
          <w:tcPr>
            <w:tcW w:w="4560" w:type="dxa"/>
            <w:vAlign w:val="bottom"/>
          </w:tcPr>
          <w:p>
            <w:pPr>
              <w:ind w:left="120"/>
              <w:spacing w:after="0" w:line="165" w:lineRule="exact"/>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Necessary to attract and retain our NEOs.</w:t>
            </w:r>
          </w:p>
        </w:tc>
        <w:tc>
          <w:tcPr>
            <w:tcW w:w="4480" w:type="dxa"/>
            <w:vAlign w:val="bottom"/>
            <w:shd w:val="clear" w:color="auto" w:fill="E2F1FB"/>
          </w:tcPr>
          <w:p>
            <w:pPr>
              <w:ind w:left="100"/>
              <w:spacing w:after="0" w:line="165" w:lineRule="exact"/>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Salary level is based on individual performance,</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560" w:type="dxa"/>
            <w:vAlign w:val="bottom"/>
            <w:vMerge w:val="restart"/>
          </w:tcPr>
          <w:p>
            <w:pPr>
              <w:ind w:left="120"/>
              <w:spacing w:after="0"/>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Serves as a baseline measure of an NEO’s value.</w:t>
            </w:r>
          </w:p>
        </w:tc>
        <w:tc>
          <w:tcPr>
            <w:tcW w:w="4480" w:type="dxa"/>
            <w:vAlign w:val="bottom"/>
            <w:shd w:val="clear" w:color="auto" w:fill="E2F1FB"/>
          </w:tcPr>
          <w:p>
            <w:pPr>
              <w:ind w:left="340"/>
              <w:spacing w:after="0" w:line="162" w:lineRule="exact"/>
              <w:rPr>
                <w:sz w:val="20"/>
                <w:szCs w:val="20"/>
                <w:color w:val="auto"/>
              </w:rPr>
            </w:pPr>
            <w:r>
              <w:rPr>
                <w:rFonts w:ascii="Arial" w:cs="Arial" w:eastAsia="Arial" w:hAnsi="Arial"/>
                <w:sz w:val="15"/>
                <w:szCs w:val="15"/>
                <w:color w:val="auto"/>
              </w:rPr>
              <w:t>experience, market data, position within the organization</w:t>
            </w:r>
          </w:p>
        </w:tc>
        <w:tc>
          <w:tcPr>
            <w:tcW w:w="0" w:type="dxa"/>
            <w:vAlign w:val="bottom"/>
          </w:tcPr>
          <w:p>
            <w:pPr>
              <w:spacing w:after="0"/>
              <w:rPr>
                <w:sz w:val="1"/>
                <w:szCs w:val="1"/>
                <w:color w:val="auto"/>
              </w:rPr>
            </w:pPr>
          </w:p>
        </w:tc>
      </w:tr>
      <w:tr>
        <w:trPr>
          <w:trHeight w:val="106"/>
        </w:trPr>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560" w:type="dxa"/>
            <w:vAlign w:val="bottom"/>
            <w:vMerge w:val="continue"/>
          </w:tcPr>
          <w:p>
            <w:pPr>
              <w:spacing w:after="0"/>
              <w:rPr>
                <w:sz w:val="9"/>
                <w:szCs w:val="9"/>
                <w:color w:val="auto"/>
              </w:rPr>
            </w:pPr>
          </w:p>
        </w:tc>
        <w:tc>
          <w:tcPr>
            <w:tcW w:w="4480" w:type="dxa"/>
            <w:vAlign w:val="bottom"/>
            <w:vMerge w:val="restart"/>
            <w:shd w:val="clear" w:color="auto" w:fill="E2F1FB"/>
          </w:tcPr>
          <w:p>
            <w:pPr>
              <w:ind w:left="340"/>
              <w:spacing w:after="0"/>
              <w:rPr>
                <w:sz w:val="20"/>
                <w:szCs w:val="20"/>
                <w:color w:val="auto"/>
              </w:rPr>
            </w:pPr>
            <w:r>
              <w:rPr>
                <w:rFonts w:ascii="Arial" w:cs="Arial" w:eastAsia="Arial" w:hAnsi="Arial"/>
                <w:sz w:val="15"/>
                <w:szCs w:val="15"/>
                <w:color w:val="auto"/>
              </w:rPr>
              <w:t>and duties and responsibilities.</w:t>
            </w: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560" w:type="dxa"/>
            <w:vAlign w:val="bottom"/>
            <w:vMerge w:val="restart"/>
          </w:tcPr>
          <w:p>
            <w:pPr>
              <w:ind w:left="120"/>
              <w:spacing w:after="0"/>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Guaranteed compensation in exchange for investing in a</w:t>
            </w:r>
          </w:p>
        </w:tc>
        <w:tc>
          <w:tcPr>
            <w:tcW w:w="4480" w:type="dxa"/>
            <w:vAlign w:val="bottom"/>
            <w:vMerge w:val="continue"/>
            <w:shd w:val="clear" w:color="auto" w:fill="E2F1FB"/>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560" w:type="dxa"/>
            <w:vAlign w:val="bottom"/>
            <w:vMerge w:val="continue"/>
          </w:tcPr>
          <w:p>
            <w:pPr>
              <w:spacing w:after="0"/>
              <w:rPr>
                <w:sz w:val="9"/>
                <w:szCs w:val="9"/>
                <w:color w:val="auto"/>
              </w:rPr>
            </w:pPr>
          </w:p>
        </w:tc>
        <w:tc>
          <w:tcPr>
            <w:tcW w:w="4480" w:type="dxa"/>
            <w:vAlign w:val="bottom"/>
            <w:shd w:val="clear" w:color="auto" w:fill="E2F1FB"/>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100" w:type="dxa"/>
            <w:vAlign w:val="bottom"/>
            <w:tcBorders>
              <w:bottom w:val="single" w:sz="8" w:color="DCDDDE"/>
            </w:tcBorders>
          </w:tcPr>
          <w:p>
            <w:pPr>
              <w:spacing w:after="0"/>
              <w:rPr>
                <w:sz w:val="17"/>
                <w:szCs w:val="17"/>
                <w:color w:val="auto"/>
              </w:rPr>
            </w:pPr>
          </w:p>
        </w:tc>
        <w:tc>
          <w:tcPr>
            <w:tcW w:w="1100" w:type="dxa"/>
            <w:vAlign w:val="bottom"/>
            <w:tcBorders>
              <w:bottom w:val="single" w:sz="8" w:color="DCDDDE"/>
            </w:tcBorders>
          </w:tcPr>
          <w:p>
            <w:pPr>
              <w:spacing w:after="0"/>
              <w:rPr>
                <w:sz w:val="17"/>
                <w:szCs w:val="17"/>
                <w:color w:val="auto"/>
              </w:rPr>
            </w:pPr>
          </w:p>
        </w:tc>
        <w:tc>
          <w:tcPr>
            <w:tcW w:w="4560" w:type="dxa"/>
            <w:vAlign w:val="bottom"/>
            <w:tcBorders>
              <w:bottom w:val="single" w:sz="8" w:color="DCDDDE"/>
            </w:tcBorders>
          </w:tcPr>
          <w:p>
            <w:pPr>
              <w:ind w:left="340"/>
              <w:spacing w:after="0"/>
              <w:rPr>
                <w:sz w:val="20"/>
                <w:szCs w:val="20"/>
                <w:color w:val="auto"/>
              </w:rPr>
            </w:pPr>
            <w:r>
              <w:rPr>
                <w:rFonts w:ascii="Arial" w:cs="Arial" w:eastAsia="Arial" w:hAnsi="Arial"/>
                <w:sz w:val="15"/>
                <w:szCs w:val="15"/>
                <w:color w:val="auto"/>
              </w:rPr>
              <w:t>career with us.</w:t>
            </w:r>
          </w:p>
        </w:tc>
        <w:tc>
          <w:tcPr>
            <w:tcW w:w="4480" w:type="dxa"/>
            <w:vAlign w:val="bottom"/>
            <w:tcBorders>
              <w:bottom w:val="single" w:sz="8" w:color="DCDDDE"/>
            </w:tcBorders>
            <w:shd w:val="clear" w:color="auto" w:fill="E2F1FB"/>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100" w:type="dxa"/>
            <w:vAlign w:val="bottom"/>
          </w:tcPr>
          <w:p>
            <w:pPr>
              <w:ind w:left="80"/>
              <w:spacing w:after="0" w:line="167" w:lineRule="exact"/>
              <w:rPr>
                <w:sz w:val="20"/>
                <w:szCs w:val="20"/>
                <w:color w:val="auto"/>
              </w:rPr>
            </w:pPr>
            <w:r>
              <w:rPr>
                <w:rFonts w:ascii="Arial" w:cs="Arial" w:eastAsia="Arial" w:hAnsi="Arial"/>
                <w:sz w:val="15"/>
                <w:szCs w:val="15"/>
                <w:b w:val="1"/>
                <w:bCs w:val="1"/>
                <w:color w:val="auto"/>
              </w:rPr>
              <w:t>Variable,</w:t>
            </w:r>
          </w:p>
        </w:tc>
        <w:tc>
          <w:tcPr>
            <w:tcW w:w="1100" w:type="dxa"/>
            <w:vAlign w:val="bottom"/>
          </w:tcPr>
          <w:p>
            <w:pPr>
              <w:ind w:left="60"/>
              <w:spacing w:after="0" w:line="167" w:lineRule="exact"/>
              <w:rPr>
                <w:sz w:val="20"/>
                <w:szCs w:val="20"/>
                <w:color w:val="auto"/>
              </w:rPr>
            </w:pPr>
            <w:r>
              <w:rPr>
                <w:rFonts w:ascii="Arial" w:cs="Arial" w:eastAsia="Arial" w:hAnsi="Arial"/>
                <w:sz w:val="15"/>
                <w:szCs w:val="15"/>
                <w:b w:val="1"/>
                <w:bCs w:val="1"/>
                <w:color w:val="00A0E0"/>
              </w:rPr>
              <w:t>Annual Cash</w:t>
            </w:r>
          </w:p>
        </w:tc>
        <w:tc>
          <w:tcPr>
            <w:tcW w:w="4560" w:type="dxa"/>
            <w:vAlign w:val="bottom"/>
          </w:tcPr>
          <w:p>
            <w:pPr>
              <w:ind w:left="120"/>
              <w:spacing w:after="0" w:line="167" w:lineRule="exact"/>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Provides a competitive annual cash bonus opportunity and</w:t>
            </w:r>
          </w:p>
        </w:tc>
        <w:tc>
          <w:tcPr>
            <w:tcW w:w="4480" w:type="dxa"/>
            <w:vAlign w:val="bottom"/>
            <w:shd w:val="clear" w:color="auto" w:fill="E2F1FB"/>
          </w:tcPr>
          <w:p>
            <w:pPr>
              <w:ind w:left="100"/>
              <w:spacing w:after="0" w:line="167" w:lineRule="exact"/>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Based on objective quantitative financial performance</w:t>
            </w:r>
          </w:p>
        </w:tc>
        <w:tc>
          <w:tcPr>
            <w:tcW w:w="0" w:type="dxa"/>
            <w:vAlign w:val="bottom"/>
          </w:tcPr>
          <w:p>
            <w:pPr>
              <w:spacing w:after="0"/>
              <w:rPr>
                <w:sz w:val="1"/>
                <w:szCs w:val="1"/>
                <w:color w:val="auto"/>
              </w:rPr>
            </w:pPr>
          </w:p>
        </w:tc>
      </w:tr>
      <w:tr>
        <w:trPr>
          <w:trHeight w:val="162"/>
        </w:trPr>
        <w:tc>
          <w:tcPr>
            <w:tcW w:w="1100" w:type="dxa"/>
            <w:vAlign w:val="bottom"/>
          </w:tcPr>
          <w:p>
            <w:pPr>
              <w:ind w:left="80"/>
              <w:spacing w:after="0" w:line="162" w:lineRule="exact"/>
              <w:rPr>
                <w:sz w:val="20"/>
                <w:szCs w:val="20"/>
                <w:color w:val="auto"/>
              </w:rPr>
            </w:pPr>
            <w:r>
              <w:rPr>
                <w:rFonts w:ascii="Arial" w:cs="Arial" w:eastAsia="Arial" w:hAnsi="Arial"/>
                <w:sz w:val="15"/>
                <w:szCs w:val="15"/>
                <w:b w:val="1"/>
                <w:bCs w:val="1"/>
                <w:color w:val="auto"/>
              </w:rPr>
              <w:t>Short-Term,</w:t>
            </w:r>
          </w:p>
        </w:tc>
        <w:tc>
          <w:tcPr>
            <w:tcW w:w="1100" w:type="dxa"/>
            <w:vAlign w:val="bottom"/>
          </w:tcPr>
          <w:p>
            <w:pPr>
              <w:ind w:left="60"/>
              <w:spacing w:after="0" w:line="162" w:lineRule="exact"/>
              <w:rPr>
                <w:sz w:val="20"/>
                <w:szCs w:val="20"/>
                <w:color w:val="auto"/>
              </w:rPr>
            </w:pPr>
            <w:r>
              <w:rPr>
                <w:rFonts w:ascii="Arial" w:cs="Arial" w:eastAsia="Arial" w:hAnsi="Arial"/>
                <w:sz w:val="15"/>
                <w:szCs w:val="15"/>
                <w:b w:val="1"/>
                <w:bCs w:val="1"/>
                <w:color w:val="00A0E0"/>
              </w:rPr>
              <w:t>Bonus</w:t>
            </w:r>
          </w:p>
        </w:tc>
        <w:tc>
          <w:tcPr>
            <w:tcW w:w="4560" w:type="dxa"/>
            <w:vAlign w:val="bottom"/>
          </w:tcPr>
          <w:p>
            <w:pPr>
              <w:ind w:left="340"/>
              <w:spacing w:after="0" w:line="162" w:lineRule="exact"/>
              <w:rPr>
                <w:sz w:val="20"/>
                <w:szCs w:val="20"/>
                <w:color w:val="auto"/>
              </w:rPr>
            </w:pPr>
            <w:r>
              <w:rPr>
                <w:rFonts w:ascii="Arial" w:cs="Arial" w:eastAsia="Arial" w:hAnsi="Arial"/>
                <w:sz w:val="15"/>
                <w:szCs w:val="15"/>
                <w:color w:val="auto"/>
              </w:rPr>
              <w:t>completes our competitive total annual cash compensation</w:t>
            </w:r>
          </w:p>
        </w:tc>
        <w:tc>
          <w:tcPr>
            <w:tcW w:w="4480" w:type="dxa"/>
            <w:vAlign w:val="bottom"/>
            <w:shd w:val="clear" w:color="auto" w:fill="E2F1FB"/>
          </w:tcPr>
          <w:p>
            <w:pPr>
              <w:ind w:left="340"/>
              <w:spacing w:after="0" w:line="162" w:lineRule="exact"/>
              <w:rPr>
                <w:sz w:val="20"/>
                <w:szCs w:val="20"/>
                <w:color w:val="auto"/>
              </w:rPr>
            </w:pPr>
            <w:r>
              <w:rPr>
                <w:rFonts w:ascii="Arial" w:cs="Arial" w:eastAsia="Arial" w:hAnsi="Arial"/>
                <w:sz w:val="15"/>
                <w:szCs w:val="15"/>
                <w:color w:val="auto"/>
              </w:rPr>
              <w:t>metrics and quantitative and qualitative goals relating to key</w:t>
            </w:r>
          </w:p>
        </w:tc>
        <w:tc>
          <w:tcPr>
            <w:tcW w:w="0" w:type="dxa"/>
            <w:vAlign w:val="bottom"/>
          </w:tcPr>
          <w:p>
            <w:pPr>
              <w:spacing w:after="0"/>
              <w:rPr>
                <w:sz w:val="1"/>
                <w:szCs w:val="1"/>
                <w:color w:val="auto"/>
              </w:rPr>
            </w:pPr>
          </w:p>
        </w:tc>
      </w:tr>
      <w:tr>
        <w:trPr>
          <w:trHeight w:val="162"/>
        </w:trPr>
        <w:tc>
          <w:tcPr>
            <w:tcW w:w="1100" w:type="dxa"/>
            <w:vAlign w:val="bottom"/>
          </w:tcPr>
          <w:p>
            <w:pPr>
              <w:ind w:left="80"/>
              <w:spacing w:after="0" w:line="162" w:lineRule="exact"/>
              <w:rPr>
                <w:sz w:val="20"/>
                <w:szCs w:val="20"/>
                <w:color w:val="auto"/>
              </w:rPr>
            </w:pPr>
            <w:r>
              <w:rPr>
                <w:rFonts w:ascii="Arial" w:cs="Arial" w:eastAsia="Arial" w:hAnsi="Arial"/>
                <w:sz w:val="15"/>
                <w:szCs w:val="15"/>
                <w:b w:val="1"/>
                <w:bCs w:val="1"/>
                <w:color w:val="auto"/>
              </w:rPr>
              <w:t>Performance</w:t>
            </w:r>
          </w:p>
        </w:tc>
        <w:tc>
          <w:tcPr>
            <w:tcW w:w="1100" w:type="dxa"/>
            <w:vAlign w:val="bottom"/>
          </w:tcPr>
          <w:p>
            <w:pPr>
              <w:spacing w:after="0"/>
              <w:rPr>
                <w:sz w:val="14"/>
                <w:szCs w:val="14"/>
                <w:color w:val="auto"/>
              </w:rPr>
            </w:pPr>
          </w:p>
        </w:tc>
        <w:tc>
          <w:tcPr>
            <w:tcW w:w="4560" w:type="dxa"/>
            <w:vAlign w:val="bottom"/>
          </w:tcPr>
          <w:p>
            <w:pPr>
              <w:ind w:left="340"/>
              <w:spacing w:after="0" w:line="162" w:lineRule="exact"/>
              <w:rPr>
                <w:sz w:val="20"/>
                <w:szCs w:val="20"/>
                <w:color w:val="auto"/>
              </w:rPr>
            </w:pPr>
            <w:r>
              <w:rPr>
                <w:rFonts w:ascii="Arial" w:cs="Arial" w:eastAsia="Arial" w:hAnsi="Arial"/>
                <w:sz w:val="15"/>
                <w:szCs w:val="15"/>
                <w:color w:val="auto"/>
              </w:rPr>
              <w:t>package.</w:t>
            </w:r>
          </w:p>
        </w:tc>
        <w:tc>
          <w:tcPr>
            <w:tcW w:w="4480" w:type="dxa"/>
            <w:vAlign w:val="bottom"/>
            <w:shd w:val="clear" w:color="auto" w:fill="E2F1FB"/>
          </w:tcPr>
          <w:p>
            <w:pPr>
              <w:ind w:left="340"/>
              <w:spacing w:after="0" w:line="162" w:lineRule="exact"/>
              <w:rPr>
                <w:sz w:val="20"/>
                <w:szCs w:val="20"/>
                <w:color w:val="auto"/>
              </w:rPr>
            </w:pPr>
            <w:r>
              <w:rPr>
                <w:rFonts w:ascii="Arial" w:cs="Arial" w:eastAsia="Arial" w:hAnsi="Arial"/>
                <w:sz w:val="15"/>
                <w:szCs w:val="15"/>
                <w:color w:val="auto"/>
              </w:rPr>
              <w:t>operating performance goals.</w:t>
            </w:r>
          </w:p>
        </w:tc>
        <w:tc>
          <w:tcPr>
            <w:tcW w:w="0" w:type="dxa"/>
            <w:vAlign w:val="bottom"/>
          </w:tcPr>
          <w:p>
            <w:pPr>
              <w:spacing w:after="0"/>
              <w:rPr>
                <w:sz w:val="1"/>
                <w:szCs w:val="1"/>
                <w:color w:val="auto"/>
              </w:rPr>
            </w:pPr>
          </w:p>
        </w:tc>
      </w:tr>
      <w:tr>
        <w:trPr>
          <w:trHeight w:val="231"/>
        </w:trPr>
        <w:tc>
          <w:tcPr>
            <w:tcW w:w="1100" w:type="dxa"/>
            <w:vAlign w:val="bottom"/>
          </w:tcPr>
          <w:p>
            <w:pPr>
              <w:ind w:left="80"/>
              <w:spacing w:after="0"/>
              <w:rPr>
                <w:sz w:val="20"/>
                <w:szCs w:val="20"/>
                <w:color w:val="auto"/>
              </w:rPr>
            </w:pPr>
            <w:r>
              <w:rPr>
                <w:rFonts w:ascii="Arial" w:cs="Arial" w:eastAsia="Arial" w:hAnsi="Arial"/>
                <w:sz w:val="15"/>
                <w:szCs w:val="15"/>
                <w:b w:val="1"/>
                <w:bCs w:val="1"/>
                <w:color w:val="auto"/>
              </w:rPr>
              <w:t>-Based</w:t>
            </w:r>
          </w:p>
        </w:tc>
        <w:tc>
          <w:tcPr>
            <w:tcW w:w="110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Target bonus is based on the Compensation Committee’s</w:t>
            </w:r>
          </w:p>
        </w:tc>
        <w:tc>
          <w:tcPr>
            <w:tcW w:w="4480" w:type="dxa"/>
            <w:vAlign w:val="bottom"/>
            <w:shd w:val="clear" w:color="auto" w:fill="E2F1FB"/>
          </w:tcPr>
          <w:p>
            <w:pPr>
              <w:ind w:left="100"/>
              <w:spacing w:after="0"/>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Includes a qualitative portion based on stakeholder and</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560" w:type="dxa"/>
            <w:vAlign w:val="bottom"/>
          </w:tcPr>
          <w:p>
            <w:pPr>
              <w:ind w:left="340"/>
              <w:spacing w:after="0" w:line="162" w:lineRule="exact"/>
              <w:rPr>
                <w:sz w:val="20"/>
                <w:szCs w:val="20"/>
                <w:color w:val="auto"/>
              </w:rPr>
            </w:pPr>
            <w:r>
              <w:rPr>
                <w:rFonts w:ascii="Arial" w:cs="Arial" w:eastAsia="Arial" w:hAnsi="Arial"/>
                <w:sz w:val="15"/>
                <w:szCs w:val="15"/>
                <w:color w:val="auto"/>
              </w:rPr>
              <w:t>assessment of the optimal mix of fixed vs. variable cash</w:t>
            </w:r>
          </w:p>
        </w:tc>
        <w:tc>
          <w:tcPr>
            <w:tcW w:w="4480" w:type="dxa"/>
            <w:vAlign w:val="bottom"/>
            <w:shd w:val="clear" w:color="auto" w:fill="E2F1FB"/>
          </w:tcPr>
          <w:p>
            <w:pPr>
              <w:ind w:left="340"/>
              <w:spacing w:after="0" w:line="162" w:lineRule="exact"/>
              <w:rPr>
                <w:sz w:val="20"/>
                <w:szCs w:val="20"/>
                <w:color w:val="auto"/>
              </w:rPr>
            </w:pPr>
            <w:r>
              <w:rPr>
                <w:rFonts w:ascii="Arial" w:cs="Arial" w:eastAsia="Arial" w:hAnsi="Arial"/>
                <w:sz w:val="15"/>
                <w:szCs w:val="15"/>
                <w:color w:val="auto"/>
              </w:rPr>
              <w:t>sustainability initiatives.</w:t>
            </w:r>
          </w:p>
        </w:tc>
        <w:tc>
          <w:tcPr>
            <w:tcW w:w="0" w:type="dxa"/>
            <w:vAlign w:val="bottom"/>
          </w:tcPr>
          <w:p>
            <w:pPr>
              <w:spacing w:after="0"/>
              <w:rPr>
                <w:sz w:val="1"/>
                <w:szCs w:val="1"/>
                <w:color w:val="auto"/>
              </w:rPr>
            </w:pPr>
          </w:p>
        </w:tc>
      </w:tr>
      <w:tr>
        <w:trPr>
          <w:trHeight w:val="200"/>
        </w:trPr>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560" w:type="dxa"/>
            <w:vAlign w:val="bottom"/>
          </w:tcPr>
          <w:p>
            <w:pPr>
              <w:ind w:left="340"/>
              <w:spacing w:after="0"/>
              <w:rPr>
                <w:sz w:val="20"/>
                <w:szCs w:val="20"/>
                <w:color w:val="auto"/>
              </w:rPr>
            </w:pPr>
            <w:r>
              <w:rPr>
                <w:rFonts w:ascii="Arial" w:cs="Arial" w:eastAsia="Arial" w:hAnsi="Arial"/>
                <w:sz w:val="15"/>
                <w:szCs w:val="15"/>
                <w:color w:val="auto"/>
              </w:rPr>
              <w:t>compensation.</w:t>
            </w:r>
          </w:p>
        </w:tc>
        <w:tc>
          <w:tcPr>
            <w:tcW w:w="4480" w:type="dxa"/>
            <w:vAlign w:val="bottom"/>
            <w:shd w:val="clear" w:color="auto" w:fill="E2F1F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560" w:type="dxa"/>
            <w:vAlign w:val="bottom"/>
          </w:tcPr>
          <w:p>
            <w:pPr>
              <w:ind w:left="120"/>
              <w:spacing w:after="0"/>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Supports our objective that NEOs must balance achieving</w:t>
            </w:r>
          </w:p>
        </w:tc>
        <w:tc>
          <w:tcPr>
            <w:tcW w:w="4480" w:type="dxa"/>
            <w:vAlign w:val="bottom"/>
            <w:shd w:val="clear" w:color="auto" w:fill="E2F1FB"/>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560" w:type="dxa"/>
            <w:vAlign w:val="bottom"/>
          </w:tcPr>
          <w:p>
            <w:pPr>
              <w:ind w:left="340"/>
              <w:spacing w:after="0" w:line="162" w:lineRule="exact"/>
              <w:rPr>
                <w:sz w:val="20"/>
                <w:szCs w:val="20"/>
                <w:color w:val="auto"/>
              </w:rPr>
            </w:pPr>
            <w:r>
              <w:rPr>
                <w:rFonts w:ascii="Arial" w:cs="Arial" w:eastAsia="Arial" w:hAnsi="Arial"/>
                <w:sz w:val="15"/>
                <w:szCs w:val="15"/>
                <w:color w:val="auto"/>
              </w:rPr>
              <w:t>current year (short-term) goals with long-term value</w:t>
            </w:r>
          </w:p>
        </w:tc>
        <w:tc>
          <w:tcPr>
            <w:tcW w:w="4480" w:type="dxa"/>
            <w:vAlign w:val="bottom"/>
            <w:shd w:val="clear" w:color="auto" w:fill="E2F1FB"/>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00" w:type="dxa"/>
            <w:vAlign w:val="bottom"/>
            <w:tcBorders>
              <w:bottom w:val="single" w:sz="8" w:color="DCDDDE"/>
            </w:tcBorders>
          </w:tcPr>
          <w:p>
            <w:pPr>
              <w:spacing w:after="0"/>
              <w:rPr>
                <w:sz w:val="17"/>
                <w:szCs w:val="17"/>
                <w:color w:val="auto"/>
              </w:rPr>
            </w:pPr>
          </w:p>
        </w:tc>
        <w:tc>
          <w:tcPr>
            <w:tcW w:w="1100" w:type="dxa"/>
            <w:vAlign w:val="bottom"/>
            <w:tcBorders>
              <w:bottom w:val="single" w:sz="8" w:color="DCDDDE"/>
            </w:tcBorders>
          </w:tcPr>
          <w:p>
            <w:pPr>
              <w:spacing w:after="0"/>
              <w:rPr>
                <w:sz w:val="17"/>
                <w:szCs w:val="17"/>
                <w:color w:val="auto"/>
              </w:rPr>
            </w:pPr>
          </w:p>
        </w:tc>
        <w:tc>
          <w:tcPr>
            <w:tcW w:w="4560" w:type="dxa"/>
            <w:vAlign w:val="bottom"/>
            <w:tcBorders>
              <w:bottom w:val="single" w:sz="8" w:color="DCDDDE"/>
            </w:tcBorders>
          </w:tcPr>
          <w:p>
            <w:pPr>
              <w:ind w:left="340"/>
              <w:spacing w:after="0"/>
              <w:rPr>
                <w:sz w:val="20"/>
                <w:szCs w:val="20"/>
                <w:color w:val="auto"/>
              </w:rPr>
            </w:pPr>
            <w:r>
              <w:rPr>
                <w:rFonts w:ascii="Arial" w:cs="Arial" w:eastAsia="Arial" w:hAnsi="Arial"/>
                <w:sz w:val="15"/>
                <w:szCs w:val="15"/>
                <w:color w:val="auto"/>
              </w:rPr>
              <w:t>creation.</w:t>
            </w:r>
          </w:p>
        </w:tc>
        <w:tc>
          <w:tcPr>
            <w:tcW w:w="4480" w:type="dxa"/>
            <w:vAlign w:val="bottom"/>
            <w:tcBorders>
              <w:bottom w:val="single" w:sz="8" w:color="DCDDDE"/>
            </w:tcBorders>
            <w:shd w:val="clear" w:color="auto" w:fill="E2F1FB"/>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100" w:type="dxa"/>
            <w:vAlign w:val="bottom"/>
          </w:tcPr>
          <w:p>
            <w:pPr>
              <w:ind w:left="80"/>
              <w:spacing w:after="0" w:line="167" w:lineRule="exact"/>
              <w:rPr>
                <w:sz w:val="20"/>
                <w:szCs w:val="20"/>
                <w:color w:val="auto"/>
              </w:rPr>
            </w:pPr>
            <w:r>
              <w:rPr>
                <w:rFonts w:ascii="Arial" w:cs="Arial" w:eastAsia="Arial" w:hAnsi="Arial"/>
                <w:sz w:val="15"/>
                <w:szCs w:val="15"/>
                <w:b w:val="1"/>
                <w:bCs w:val="1"/>
                <w:color w:val="auto"/>
              </w:rPr>
              <w:t>Variable,</w:t>
            </w:r>
          </w:p>
        </w:tc>
        <w:tc>
          <w:tcPr>
            <w:tcW w:w="1100" w:type="dxa"/>
            <w:vAlign w:val="bottom"/>
          </w:tcPr>
          <w:p>
            <w:pPr>
              <w:ind w:left="60"/>
              <w:spacing w:after="0" w:line="167" w:lineRule="exact"/>
              <w:rPr>
                <w:sz w:val="20"/>
                <w:szCs w:val="20"/>
                <w:color w:val="auto"/>
              </w:rPr>
            </w:pPr>
            <w:r>
              <w:rPr>
                <w:rFonts w:ascii="Arial" w:cs="Arial" w:eastAsia="Arial" w:hAnsi="Arial"/>
                <w:sz w:val="15"/>
                <w:szCs w:val="15"/>
                <w:b w:val="1"/>
                <w:bCs w:val="1"/>
                <w:color w:val="00A0DE"/>
              </w:rPr>
              <w:t>Annual PSU</w:t>
            </w:r>
          </w:p>
        </w:tc>
        <w:tc>
          <w:tcPr>
            <w:tcW w:w="4560" w:type="dxa"/>
            <w:vAlign w:val="bottom"/>
          </w:tcPr>
          <w:p>
            <w:pPr>
              <w:ind w:left="120"/>
              <w:spacing w:after="0" w:line="167" w:lineRule="exact"/>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Fosters a long-term commitment and motivates executives</w:t>
            </w:r>
          </w:p>
        </w:tc>
        <w:tc>
          <w:tcPr>
            <w:tcW w:w="4480" w:type="dxa"/>
            <w:vAlign w:val="bottom"/>
            <w:shd w:val="clear" w:color="auto" w:fill="E2F1FB"/>
          </w:tcPr>
          <w:p>
            <w:pPr>
              <w:ind w:left="100"/>
              <w:spacing w:after="0" w:line="167" w:lineRule="exact"/>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Cliff vest after three years.</w:t>
            </w:r>
          </w:p>
        </w:tc>
        <w:tc>
          <w:tcPr>
            <w:tcW w:w="0" w:type="dxa"/>
            <w:vAlign w:val="bottom"/>
          </w:tcPr>
          <w:p>
            <w:pPr>
              <w:spacing w:after="0"/>
              <w:rPr>
                <w:sz w:val="1"/>
                <w:szCs w:val="1"/>
                <w:color w:val="auto"/>
              </w:rPr>
            </w:pPr>
          </w:p>
        </w:tc>
      </w:tr>
      <w:tr>
        <w:trPr>
          <w:trHeight w:val="162"/>
        </w:trPr>
        <w:tc>
          <w:tcPr>
            <w:tcW w:w="1100" w:type="dxa"/>
            <w:vAlign w:val="bottom"/>
          </w:tcPr>
          <w:p>
            <w:pPr>
              <w:ind w:left="80"/>
              <w:spacing w:after="0" w:line="162" w:lineRule="exact"/>
              <w:rPr>
                <w:sz w:val="20"/>
                <w:szCs w:val="20"/>
                <w:color w:val="auto"/>
              </w:rPr>
            </w:pPr>
            <w:r>
              <w:rPr>
                <w:rFonts w:ascii="Arial" w:cs="Arial" w:eastAsia="Arial" w:hAnsi="Arial"/>
                <w:sz w:val="15"/>
                <w:szCs w:val="15"/>
                <w:b w:val="1"/>
                <w:bCs w:val="1"/>
                <w:color w:val="auto"/>
              </w:rPr>
              <w:t>Long-Term,</w:t>
            </w:r>
          </w:p>
        </w:tc>
        <w:tc>
          <w:tcPr>
            <w:tcW w:w="1100" w:type="dxa"/>
            <w:vAlign w:val="bottom"/>
          </w:tcPr>
          <w:p>
            <w:pPr>
              <w:ind w:left="60"/>
              <w:spacing w:after="0" w:line="162" w:lineRule="exact"/>
              <w:rPr>
                <w:sz w:val="20"/>
                <w:szCs w:val="20"/>
                <w:color w:val="auto"/>
              </w:rPr>
            </w:pPr>
            <w:r>
              <w:rPr>
                <w:rFonts w:ascii="Arial" w:cs="Arial" w:eastAsia="Arial" w:hAnsi="Arial"/>
                <w:sz w:val="15"/>
                <w:szCs w:val="15"/>
                <w:b w:val="1"/>
                <w:bCs w:val="1"/>
                <w:color w:val="00A0DE"/>
              </w:rPr>
              <w:t>Grants</w:t>
            </w:r>
          </w:p>
        </w:tc>
        <w:tc>
          <w:tcPr>
            <w:tcW w:w="4560" w:type="dxa"/>
            <w:vAlign w:val="bottom"/>
          </w:tcPr>
          <w:p>
            <w:pPr>
              <w:ind w:left="340"/>
              <w:spacing w:after="0" w:line="162" w:lineRule="exact"/>
              <w:rPr>
                <w:sz w:val="20"/>
                <w:szCs w:val="20"/>
                <w:color w:val="auto"/>
              </w:rPr>
            </w:pPr>
            <w:r>
              <w:rPr>
                <w:rFonts w:ascii="Arial" w:cs="Arial" w:eastAsia="Arial" w:hAnsi="Arial"/>
                <w:sz w:val="15"/>
                <w:szCs w:val="15"/>
                <w:color w:val="auto"/>
              </w:rPr>
              <w:t>to improve the long-term market performance of our stock.</w:t>
            </w:r>
          </w:p>
        </w:tc>
        <w:tc>
          <w:tcPr>
            <w:tcW w:w="4480" w:type="dxa"/>
            <w:vAlign w:val="bottom"/>
            <w:vMerge w:val="restart"/>
            <w:shd w:val="clear" w:color="auto" w:fill="E2F1FB"/>
          </w:tcPr>
          <w:p>
            <w:pPr>
              <w:ind w:left="100"/>
              <w:spacing w:after="0"/>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Vesting is dependent upon achievement of absolute and</w:t>
            </w:r>
          </w:p>
        </w:tc>
        <w:tc>
          <w:tcPr>
            <w:tcW w:w="0" w:type="dxa"/>
            <w:vAlign w:val="bottom"/>
          </w:tcPr>
          <w:p>
            <w:pPr>
              <w:spacing w:after="0"/>
              <w:rPr>
                <w:sz w:val="1"/>
                <w:szCs w:val="1"/>
                <w:color w:val="auto"/>
              </w:rPr>
            </w:pPr>
          </w:p>
        </w:tc>
      </w:tr>
      <w:tr>
        <w:trPr>
          <w:trHeight w:val="69"/>
        </w:trPr>
        <w:tc>
          <w:tcPr>
            <w:tcW w:w="1100" w:type="dxa"/>
            <w:vAlign w:val="bottom"/>
            <w:vMerge w:val="restart"/>
          </w:tcPr>
          <w:p>
            <w:pPr>
              <w:ind w:left="80"/>
              <w:spacing w:after="0" w:line="162" w:lineRule="exact"/>
              <w:rPr>
                <w:sz w:val="20"/>
                <w:szCs w:val="20"/>
                <w:color w:val="auto"/>
              </w:rPr>
            </w:pPr>
            <w:r>
              <w:rPr>
                <w:rFonts w:ascii="Arial" w:cs="Arial" w:eastAsia="Arial" w:hAnsi="Arial"/>
                <w:sz w:val="15"/>
                <w:szCs w:val="15"/>
                <w:b w:val="1"/>
                <w:bCs w:val="1"/>
                <w:color w:val="auto"/>
              </w:rPr>
              <w:t>Performance</w:t>
            </w:r>
          </w:p>
        </w:tc>
        <w:tc>
          <w:tcPr>
            <w:tcW w:w="1100" w:type="dxa"/>
            <w:vAlign w:val="bottom"/>
          </w:tcPr>
          <w:p>
            <w:pPr>
              <w:spacing w:after="0"/>
              <w:rPr>
                <w:sz w:val="6"/>
                <w:szCs w:val="6"/>
                <w:color w:val="auto"/>
              </w:rPr>
            </w:pPr>
          </w:p>
        </w:tc>
        <w:tc>
          <w:tcPr>
            <w:tcW w:w="4560" w:type="dxa"/>
            <w:vAlign w:val="bottom"/>
          </w:tcPr>
          <w:p>
            <w:pPr>
              <w:spacing w:after="0"/>
              <w:rPr>
                <w:sz w:val="6"/>
                <w:szCs w:val="6"/>
                <w:color w:val="auto"/>
              </w:rPr>
            </w:pPr>
          </w:p>
        </w:tc>
        <w:tc>
          <w:tcPr>
            <w:tcW w:w="4480" w:type="dxa"/>
            <w:vAlign w:val="bottom"/>
            <w:vMerge w:val="continue"/>
            <w:shd w:val="clear" w:color="auto" w:fill="E2F1FB"/>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10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4560" w:type="dxa"/>
            <w:vAlign w:val="bottom"/>
            <w:vMerge w:val="restart"/>
          </w:tcPr>
          <w:p>
            <w:pPr>
              <w:ind w:left="120"/>
              <w:spacing w:after="0" w:line="162" w:lineRule="exact"/>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Links the NEOs’ decision-making with the long-term</w:t>
            </w:r>
          </w:p>
        </w:tc>
        <w:tc>
          <w:tcPr>
            <w:tcW w:w="4480" w:type="dxa"/>
            <w:vAlign w:val="bottom"/>
            <w:vMerge w:val="restart"/>
            <w:shd w:val="clear" w:color="auto" w:fill="E2F1FB"/>
          </w:tcPr>
          <w:p>
            <w:pPr>
              <w:ind w:left="340"/>
              <w:spacing w:after="0" w:line="162" w:lineRule="exact"/>
              <w:rPr>
                <w:sz w:val="20"/>
                <w:szCs w:val="20"/>
                <w:color w:val="auto"/>
              </w:rPr>
            </w:pPr>
            <w:r>
              <w:rPr>
                <w:rFonts w:ascii="Arial" w:cs="Arial" w:eastAsia="Arial" w:hAnsi="Arial"/>
                <w:sz w:val="15"/>
                <w:szCs w:val="15"/>
                <w:color w:val="auto"/>
              </w:rPr>
              <w:t>relative performance metrics established at the beginning of</w:t>
            </w:r>
          </w:p>
        </w:tc>
        <w:tc>
          <w:tcPr>
            <w:tcW w:w="0" w:type="dxa"/>
            <w:vAlign w:val="bottom"/>
          </w:tcPr>
          <w:p>
            <w:pPr>
              <w:spacing w:after="0"/>
              <w:rPr>
                <w:sz w:val="1"/>
                <w:szCs w:val="1"/>
                <w:color w:val="auto"/>
              </w:rPr>
            </w:pPr>
          </w:p>
        </w:tc>
      </w:tr>
      <w:tr>
        <w:trPr>
          <w:trHeight w:val="69"/>
        </w:trPr>
        <w:tc>
          <w:tcPr>
            <w:tcW w:w="11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-Based</w:t>
            </w:r>
          </w:p>
        </w:tc>
        <w:tc>
          <w:tcPr>
            <w:tcW w:w="1100" w:type="dxa"/>
            <w:vAlign w:val="bottom"/>
          </w:tcPr>
          <w:p>
            <w:pPr>
              <w:spacing w:after="0"/>
              <w:rPr>
                <w:sz w:val="6"/>
                <w:szCs w:val="6"/>
                <w:color w:val="auto"/>
              </w:rPr>
            </w:pPr>
          </w:p>
        </w:tc>
        <w:tc>
          <w:tcPr>
            <w:tcW w:w="4560" w:type="dxa"/>
            <w:vAlign w:val="bottom"/>
            <w:vMerge w:val="continue"/>
          </w:tcPr>
          <w:p>
            <w:pPr>
              <w:spacing w:after="0"/>
              <w:rPr>
                <w:sz w:val="6"/>
                <w:szCs w:val="6"/>
                <w:color w:val="auto"/>
              </w:rPr>
            </w:pPr>
          </w:p>
        </w:tc>
        <w:tc>
          <w:tcPr>
            <w:tcW w:w="4480" w:type="dxa"/>
            <w:vAlign w:val="bottom"/>
            <w:vMerge w:val="continue"/>
            <w:shd w:val="clear" w:color="auto" w:fill="E2F1FB"/>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10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560" w:type="dxa"/>
            <w:vAlign w:val="bottom"/>
            <w:vMerge w:val="restart"/>
          </w:tcPr>
          <w:p>
            <w:pPr>
              <w:ind w:left="340"/>
              <w:spacing w:after="0"/>
              <w:rPr>
                <w:sz w:val="20"/>
                <w:szCs w:val="20"/>
                <w:color w:val="auto"/>
              </w:rPr>
            </w:pPr>
            <w:r>
              <w:rPr>
                <w:rFonts w:ascii="Arial" w:cs="Arial" w:eastAsia="Arial" w:hAnsi="Arial"/>
                <w:sz w:val="15"/>
                <w:szCs w:val="15"/>
                <w:color w:val="auto"/>
              </w:rPr>
              <w:t>outcomes of those decisions.</w:t>
            </w:r>
          </w:p>
        </w:tc>
        <w:tc>
          <w:tcPr>
            <w:tcW w:w="4480" w:type="dxa"/>
            <w:vAlign w:val="bottom"/>
            <w:vMerge w:val="restart"/>
            <w:shd w:val="clear" w:color="auto" w:fill="E2F1FB"/>
          </w:tcPr>
          <w:p>
            <w:pPr>
              <w:ind w:left="340"/>
              <w:spacing w:after="0"/>
              <w:rPr>
                <w:sz w:val="20"/>
                <w:szCs w:val="20"/>
                <w:color w:val="auto"/>
              </w:rPr>
            </w:pPr>
            <w:r>
              <w:rPr>
                <w:rFonts w:ascii="Arial" w:cs="Arial" w:eastAsia="Arial" w:hAnsi="Arial"/>
                <w:sz w:val="15"/>
                <w:szCs w:val="15"/>
                <w:color w:val="auto"/>
              </w:rPr>
              <w:t>the three-year period.</w:t>
            </w:r>
          </w:p>
        </w:tc>
        <w:tc>
          <w:tcPr>
            <w:tcW w:w="0" w:type="dxa"/>
            <w:vAlign w:val="bottom"/>
          </w:tcPr>
          <w:p>
            <w:pPr>
              <w:spacing w:after="0"/>
              <w:rPr>
                <w:sz w:val="1"/>
                <w:szCs w:val="1"/>
                <w:color w:val="auto"/>
              </w:rPr>
            </w:pPr>
          </w:p>
        </w:tc>
      </w:tr>
      <w:tr>
        <w:trPr>
          <w:trHeight w:val="60"/>
        </w:trPr>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560" w:type="dxa"/>
            <w:vAlign w:val="bottom"/>
            <w:vMerge w:val="continue"/>
          </w:tcPr>
          <w:p>
            <w:pPr>
              <w:spacing w:after="0"/>
              <w:rPr>
                <w:sz w:val="5"/>
                <w:szCs w:val="5"/>
                <w:color w:val="auto"/>
              </w:rPr>
            </w:pPr>
          </w:p>
        </w:tc>
        <w:tc>
          <w:tcPr>
            <w:tcW w:w="4480" w:type="dxa"/>
            <w:vAlign w:val="bottom"/>
            <w:vMerge w:val="continue"/>
            <w:shd w:val="clear" w:color="auto" w:fill="E2F1FB"/>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560" w:type="dxa"/>
            <w:vAlign w:val="bottom"/>
          </w:tcPr>
          <w:p>
            <w:pPr>
              <w:ind w:left="120"/>
              <w:spacing w:after="0"/>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Creates a meaningful retention tool and ties value ultimately</w:t>
            </w:r>
          </w:p>
        </w:tc>
        <w:tc>
          <w:tcPr>
            <w:tcW w:w="4480" w:type="dxa"/>
            <w:vAlign w:val="bottom"/>
            <w:shd w:val="clear" w:color="auto" w:fill="E2F1FB"/>
          </w:tcPr>
          <w:p>
            <w:pPr>
              <w:ind w:left="100"/>
              <w:spacing w:after="0"/>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Ultimate value of shares acquired upon vesting depends on</w:t>
            </w:r>
          </w:p>
        </w:tc>
        <w:tc>
          <w:tcPr>
            <w:tcW w:w="0" w:type="dxa"/>
            <w:vAlign w:val="bottom"/>
          </w:tcPr>
          <w:p>
            <w:pPr>
              <w:spacing w:after="0"/>
              <w:rPr>
                <w:sz w:val="1"/>
                <w:szCs w:val="1"/>
                <w:color w:val="auto"/>
              </w:rPr>
            </w:pPr>
          </w:p>
        </w:tc>
      </w:tr>
      <w:tr>
        <w:trPr>
          <w:trHeight w:val="200"/>
        </w:trPr>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560" w:type="dxa"/>
            <w:vAlign w:val="bottom"/>
          </w:tcPr>
          <w:p>
            <w:pPr>
              <w:ind w:left="340"/>
              <w:spacing w:after="0"/>
              <w:rPr>
                <w:sz w:val="20"/>
                <w:szCs w:val="20"/>
                <w:color w:val="auto"/>
              </w:rPr>
            </w:pPr>
            <w:r>
              <w:rPr>
                <w:rFonts w:ascii="Arial" w:cs="Arial" w:eastAsia="Arial" w:hAnsi="Arial"/>
                <w:sz w:val="15"/>
                <w:szCs w:val="15"/>
                <w:color w:val="auto"/>
              </w:rPr>
              <w:t>realized to longer-term performance.</w:t>
            </w:r>
          </w:p>
        </w:tc>
        <w:tc>
          <w:tcPr>
            <w:tcW w:w="4480" w:type="dxa"/>
            <w:vAlign w:val="bottom"/>
            <w:shd w:val="clear" w:color="auto" w:fill="E2F1FB"/>
          </w:tcPr>
          <w:p>
            <w:pPr>
              <w:ind w:left="340"/>
              <w:spacing w:after="0"/>
              <w:rPr>
                <w:sz w:val="20"/>
                <w:szCs w:val="20"/>
                <w:color w:val="auto"/>
              </w:rPr>
            </w:pPr>
            <w:r>
              <w:rPr>
                <w:rFonts w:ascii="Arial" w:cs="Arial" w:eastAsia="Arial" w:hAnsi="Arial"/>
                <w:sz w:val="15"/>
                <w:szCs w:val="15"/>
                <w:color w:val="auto"/>
              </w:rPr>
              <w:t>attainment of metrics and stock price.</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1100" w:type="dxa"/>
            <w:vAlign w:val="bottom"/>
          </w:tcPr>
          <w:p>
            <w:pPr>
              <w:ind w:left="60"/>
              <w:spacing w:after="0"/>
              <w:rPr>
                <w:sz w:val="20"/>
                <w:szCs w:val="20"/>
                <w:color w:val="auto"/>
              </w:rPr>
            </w:pPr>
            <w:r>
              <w:rPr>
                <w:rFonts w:ascii="Arial" w:cs="Arial" w:eastAsia="Arial" w:hAnsi="Arial"/>
                <w:sz w:val="15"/>
                <w:szCs w:val="15"/>
                <w:b w:val="1"/>
                <w:bCs w:val="1"/>
                <w:color w:val="00A0DE"/>
              </w:rPr>
              <w:t>Annual</w:t>
            </w:r>
          </w:p>
        </w:tc>
        <w:tc>
          <w:tcPr>
            <w:tcW w:w="4560" w:type="dxa"/>
            <w:vAlign w:val="bottom"/>
          </w:tcPr>
          <w:p>
            <w:pPr>
              <w:ind w:left="120"/>
              <w:spacing w:after="0"/>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Motivates the long-term market performance of our stock</w:t>
            </w:r>
          </w:p>
        </w:tc>
        <w:tc>
          <w:tcPr>
            <w:tcW w:w="4480" w:type="dxa"/>
            <w:vAlign w:val="bottom"/>
            <w:shd w:val="clear" w:color="auto" w:fill="E2F1FB"/>
          </w:tcPr>
          <w:p>
            <w:pPr>
              <w:ind w:left="100"/>
              <w:spacing w:after="0"/>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Vest ratably over a five-year period.</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100" w:type="dxa"/>
            <w:vAlign w:val="bottom"/>
          </w:tcPr>
          <w:p>
            <w:pPr>
              <w:ind w:left="60"/>
              <w:spacing w:after="0" w:line="162" w:lineRule="exact"/>
              <w:rPr>
                <w:sz w:val="20"/>
                <w:szCs w:val="20"/>
                <w:color w:val="auto"/>
              </w:rPr>
            </w:pPr>
            <w:r>
              <w:rPr>
                <w:rFonts w:ascii="Arial" w:cs="Arial" w:eastAsia="Arial" w:hAnsi="Arial"/>
                <w:sz w:val="15"/>
                <w:szCs w:val="15"/>
                <w:b w:val="1"/>
                <w:bCs w:val="1"/>
                <w:color w:val="00A0DE"/>
              </w:rPr>
              <w:t>Stock Option</w:t>
            </w:r>
          </w:p>
        </w:tc>
        <w:tc>
          <w:tcPr>
            <w:tcW w:w="4560" w:type="dxa"/>
            <w:vAlign w:val="bottom"/>
          </w:tcPr>
          <w:p>
            <w:pPr>
              <w:ind w:left="340"/>
              <w:spacing w:after="0" w:line="162" w:lineRule="exact"/>
              <w:rPr>
                <w:sz w:val="20"/>
                <w:szCs w:val="20"/>
                <w:color w:val="auto"/>
              </w:rPr>
            </w:pPr>
            <w:r>
              <w:rPr>
                <w:rFonts w:ascii="Arial" w:cs="Arial" w:eastAsia="Arial" w:hAnsi="Arial"/>
                <w:sz w:val="15"/>
                <w:szCs w:val="15"/>
                <w:color w:val="auto"/>
              </w:rPr>
              <w:t>and the creation of sustained shareholder value.</w:t>
            </w:r>
          </w:p>
        </w:tc>
        <w:tc>
          <w:tcPr>
            <w:tcW w:w="4480" w:type="dxa"/>
            <w:vAlign w:val="bottom"/>
            <w:vMerge w:val="restart"/>
            <w:shd w:val="clear" w:color="auto" w:fill="E2F1FB"/>
          </w:tcPr>
          <w:p>
            <w:pPr>
              <w:ind w:left="100"/>
              <w:spacing w:after="0"/>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Stock price must appreciate for stock options to deliver any</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5"/>
                <w:szCs w:val="15"/>
                <w:b w:val="1"/>
                <w:bCs w:val="1"/>
                <w:color w:val="00A0DE"/>
              </w:rPr>
              <w:t>Grants</w:t>
            </w:r>
          </w:p>
        </w:tc>
        <w:tc>
          <w:tcPr>
            <w:tcW w:w="4560" w:type="dxa"/>
            <w:vAlign w:val="bottom"/>
          </w:tcPr>
          <w:p>
            <w:pPr>
              <w:spacing w:after="0"/>
              <w:rPr>
                <w:sz w:val="6"/>
                <w:szCs w:val="6"/>
                <w:color w:val="auto"/>
              </w:rPr>
            </w:pPr>
          </w:p>
        </w:tc>
        <w:tc>
          <w:tcPr>
            <w:tcW w:w="4480" w:type="dxa"/>
            <w:vAlign w:val="bottom"/>
            <w:vMerge w:val="continue"/>
            <w:shd w:val="clear" w:color="auto" w:fill="E2F1FB"/>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560" w:type="dxa"/>
            <w:vAlign w:val="bottom"/>
          </w:tcPr>
          <w:p>
            <w:pPr>
              <w:ind w:left="120"/>
              <w:spacing w:after="0" w:line="162" w:lineRule="exact"/>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Relatively long vesting period creates a significant retention</w:t>
            </w:r>
          </w:p>
        </w:tc>
        <w:tc>
          <w:tcPr>
            <w:tcW w:w="4480" w:type="dxa"/>
            <w:vAlign w:val="bottom"/>
            <w:shd w:val="clear" w:color="auto" w:fill="E2F1FB"/>
          </w:tcPr>
          <w:p>
            <w:pPr>
              <w:ind w:left="340"/>
              <w:spacing w:after="0" w:line="162" w:lineRule="exact"/>
              <w:rPr>
                <w:sz w:val="20"/>
                <w:szCs w:val="20"/>
                <w:color w:val="auto"/>
              </w:rPr>
            </w:pPr>
            <w:r>
              <w:rPr>
                <w:rFonts w:ascii="Arial" w:cs="Arial" w:eastAsia="Arial" w:hAnsi="Arial"/>
                <w:sz w:val="15"/>
                <w:szCs w:val="15"/>
                <w:color w:val="auto"/>
              </w:rPr>
              <w:t>value.</w:t>
            </w:r>
          </w:p>
        </w:tc>
        <w:tc>
          <w:tcPr>
            <w:tcW w:w="0" w:type="dxa"/>
            <w:vAlign w:val="bottom"/>
          </w:tcPr>
          <w:p>
            <w:pPr>
              <w:spacing w:after="0"/>
              <w:rPr>
                <w:sz w:val="1"/>
                <w:szCs w:val="1"/>
                <w:color w:val="auto"/>
              </w:rPr>
            </w:pPr>
          </w:p>
        </w:tc>
      </w:tr>
      <w:tr>
        <w:trPr>
          <w:trHeight w:val="200"/>
        </w:trPr>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560" w:type="dxa"/>
            <w:vAlign w:val="bottom"/>
          </w:tcPr>
          <w:p>
            <w:pPr>
              <w:ind w:left="340"/>
              <w:spacing w:after="0"/>
              <w:rPr>
                <w:sz w:val="20"/>
                <w:szCs w:val="20"/>
                <w:color w:val="auto"/>
              </w:rPr>
            </w:pPr>
            <w:r>
              <w:rPr>
                <w:rFonts w:ascii="Arial" w:cs="Arial" w:eastAsia="Arial" w:hAnsi="Arial"/>
                <w:sz w:val="15"/>
                <w:szCs w:val="15"/>
                <w:color w:val="auto"/>
              </w:rPr>
              <w:t>tool and emphasizes longer-term shareholder alignment.</w:t>
            </w:r>
          </w:p>
        </w:tc>
        <w:tc>
          <w:tcPr>
            <w:tcW w:w="4480" w:type="dxa"/>
            <w:vAlign w:val="bottom"/>
            <w:vMerge w:val="restart"/>
            <w:shd w:val="clear" w:color="auto" w:fill="E2F1FB"/>
          </w:tcPr>
          <w:p>
            <w:pPr>
              <w:ind w:left="100"/>
              <w:spacing w:after="0"/>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Options are net settled, resulting in fewer shares issued</w:t>
            </w:r>
          </w:p>
        </w:tc>
        <w:tc>
          <w:tcPr>
            <w:tcW w:w="0" w:type="dxa"/>
            <w:vAlign w:val="bottom"/>
          </w:tcPr>
          <w:p>
            <w:pPr>
              <w:spacing w:after="0"/>
              <w:rPr>
                <w:sz w:val="1"/>
                <w:szCs w:val="1"/>
                <w:color w:val="auto"/>
              </w:rPr>
            </w:pPr>
          </w:p>
        </w:tc>
      </w:tr>
      <w:tr>
        <w:trPr>
          <w:trHeight w:val="43"/>
        </w:trPr>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560" w:type="dxa"/>
            <w:vAlign w:val="bottom"/>
          </w:tcPr>
          <w:p>
            <w:pPr>
              <w:spacing w:after="0"/>
              <w:rPr>
                <w:sz w:val="3"/>
                <w:szCs w:val="3"/>
                <w:color w:val="auto"/>
              </w:rPr>
            </w:pPr>
          </w:p>
        </w:tc>
        <w:tc>
          <w:tcPr>
            <w:tcW w:w="4480" w:type="dxa"/>
            <w:vAlign w:val="bottom"/>
            <w:vMerge w:val="continue"/>
            <w:shd w:val="clear" w:color="auto" w:fill="E2F1FB"/>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560" w:type="dxa"/>
            <w:vAlign w:val="bottom"/>
          </w:tcPr>
          <w:p>
            <w:pPr>
              <w:ind w:left="120"/>
              <w:spacing w:after="0"/>
              <w:rPr>
                <w:sz w:val="20"/>
                <w:szCs w:val="20"/>
                <w:color w:val="auto"/>
              </w:rPr>
            </w:pPr>
            <w:r>
              <w:rPr>
                <w:rFonts w:ascii="Arial" w:cs="Arial" w:eastAsia="Arial" w:hAnsi="Arial"/>
                <w:sz w:val="15"/>
                <w:szCs w:val="15"/>
                <w:color w:val="00A0DE"/>
              </w:rPr>
              <w:t xml:space="preserve">●  </w:t>
            </w:r>
            <w:r>
              <w:rPr>
                <w:rFonts w:ascii="Arial" w:cs="Arial" w:eastAsia="Arial" w:hAnsi="Arial"/>
                <w:sz w:val="15"/>
                <w:szCs w:val="15"/>
                <w:color w:val="000000"/>
              </w:rPr>
              <w:t>100% aligned with shareholder interests.</w:t>
            </w:r>
          </w:p>
        </w:tc>
        <w:tc>
          <w:tcPr>
            <w:tcW w:w="4480" w:type="dxa"/>
            <w:vAlign w:val="bottom"/>
            <w:tcBorders>
              <w:bottom w:val="single" w:sz="8" w:color="E2F1FB"/>
            </w:tcBorders>
            <w:shd w:val="clear" w:color="auto" w:fill="E2F1FB"/>
          </w:tcPr>
          <w:p>
            <w:pPr>
              <w:ind w:left="340"/>
              <w:spacing w:after="0"/>
              <w:rPr>
                <w:sz w:val="20"/>
                <w:szCs w:val="20"/>
                <w:color w:val="auto"/>
              </w:rPr>
            </w:pPr>
            <w:r>
              <w:rPr>
                <w:rFonts w:ascii="Arial" w:cs="Arial" w:eastAsia="Arial" w:hAnsi="Arial"/>
                <w:sz w:val="15"/>
                <w:szCs w:val="15"/>
                <w:color w:val="auto"/>
              </w:rPr>
              <w:t>upon exercise.</w:t>
            </w: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hanging="392"/>
        <w:spacing w:after="0"/>
        <w:tabs>
          <w:tab w:leader="none" w:pos="400"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00A0DD"/>
        </w:rPr>
        <w:t>Compensation Decisions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Base Salary</w:t>
      </w:r>
    </w:p>
    <w:p>
      <w:pPr>
        <w:spacing w:after="0" w:line="201"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The Compensation Committee did not increase the base salaries of Messrs. Roberts and Cavanagh or Ms. Khoury in 2024. The Compensation Committee increased Mr. Armstrong’s base salary to $2 million effective January 2024 and Mr. Reid’s base salary to $1.9 million effective January 2024 pursuant to his new employment agreement.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Annual Cash Bonus</w:t>
      </w:r>
    </w:p>
    <w:p>
      <w:pPr>
        <w:spacing w:after="0" w:line="201"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Our short-term incentive program includes meaningful performance-based elements tied to financial goals, as well as incentives for attainment of operational goals tied to key strategic initiatives and key stakeholder and sustainability initiatives.</w:t>
      </w:r>
    </w:p>
    <w:p>
      <w:pPr>
        <w:spacing w:after="0" w:line="159" w:lineRule="exact"/>
        <w:rPr>
          <w:sz w:val="20"/>
          <w:szCs w:val="20"/>
          <w:color w:val="auto"/>
        </w:rPr>
      </w:pPr>
    </w:p>
    <w:p>
      <w:pPr>
        <w:ind w:left="280" w:right="120" w:hanging="263"/>
        <w:spacing w:after="0" w:line="267" w:lineRule="auto"/>
        <w:tabs>
          <w:tab w:leader="none" w:pos="257" w:val="left"/>
        </w:tabs>
        <w:numPr>
          <w:ilvl w:val="0"/>
          <w:numId w:val="64"/>
        </w:numPr>
        <w:rPr>
          <w:rFonts w:ascii="Arial" w:cs="Arial" w:eastAsia="Arial" w:hAnsi="Arial"/>
          <w:sz w:val="17"/>
          <w:szCs w:val="17"/>
          <w:color w:val="00A0DE"/>
        </w:rPr>
      </w:pPr>
      <w:r>
        <w:rPr>
          <w:rFonts w:ascii="Arial" w:cs="Arial" w:eastAsia="Arial" w:hAnsi="Arial"/>
          <w:sz w:val="17"/>
          <w:szCs w:val="17"/>
          <w:color w:val="auto"/>
        </w:rPr>
        <w:t>The target bonus opportunity, as a percentage of salary, in 2024 was 300% for Messrs. Roberts and Cavanagh, 250% for Mr. Reid, 200% for Mr. Armstrong and 150% for Ms. Khoury.</w:t>
      </w:r>
    </w:p>
    <w:p>
      <w:pPr>
        <w:spacing w:after="0" w:line="10" w:lineRule="exact"/>
        <w:rPr>
          <w:rFonts w:ascii="Arial" w:cs="Arial" w:eastAsia="Arial" w:hAnsi="Arial"/>
          <w:sz w:val="17"/>
          <w:szCs w:val="17"/>
          <w:color w:val="00A0DE"/>
        </w:rPr>
      </w:pPr>
    </w:p>
    <w:p>
      <w:pPr>
        <w:ind w:left="280" w:right="420" w:hanging="263"/>
        <w:spacing w:after="0" w:line="249" w:lineRule="auto"/>
        <w:tabs>
          <w:tab w:leader="none" w:pos="257" w:val="left"/>
        </w:tabs>
        <w:numPr>
          <w:ilvl w:val="0"/>
          <w:numId w:val="64"/>
        </w:numPr>
        <w:rPr>
          <w:rFonts w:ascii="Arial" w:cs="Arial" w:eastAsia="Arial" w:hAnsi="Arial"/>
          <w:sz w:val="17"/>
          <w:szCs w:val="17"/>
          <w:color w:val="00A0DE"/>
        </w:rPr>
      </w:pPr>
      <w:r>
        <w:rPr>
          <w:rFonts w:ascii="Arial" w:cs="Arial" w:eastAsia="Arial" w:hAnsi="Arial"/>
          <w:sz w:val="17"/>
          <w:szCs w:val="17"/>
          <w:color w:val="auto"/>
        </w:rPr>
        <w:t>Below are the target weightings for each element of the annual cash bonus plan for our NEOs in 2024. The maximum bonus achievable was 192.5%, based on a maximum weight of 140% for the three financial metrics plus 30% for operating performance goals and 22.5% for stakeholder and sustainability-related goals.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380" w:type="dxa"/>
            <w:vAlign w:val="bottom"/>
            <w:tcBorders>
              <w:left w:val="single" w:sz="8" w:color="00A0DE"/>
            </w:tcBorders>
            <w:shd w:val="clear" w:color="auto" w:fill="00A0DE"/>
          </w:tcPr>
          <w:p>
            <w:pPr>
              <w:spacing w:after="0"/>
              <w:rPr>
                <w:sz w:val="24"/>
                <w:szCs w:val="24"/>
                <w:color w:val="auto"/>
              </w:rPr>
            </w:pPr>
          </w:p>
        </w:tc>
        <w:tc>
          <w:tcPr>
            <w:tcW w:w="3100" w:type="dxa"/>
            <w:vAlign w:val="bottom"/>
            <w:tcBorders>
              <w:right w:val="single" w:sz="8" w:color="00A0DE"/>
            </w:tcBorders>
            <w:gridSpan w:val="2"/>
            <w:shd w:val="clear" w:color="auto" w:fill="00A0DE"/>
          </w:tcPr>
          <w:p>
            <w:pPr>
              <w:jc w:val="center"/>
              <w:ind w:right="400"/>
              <w:spacing w:after="0"/>
              <w:rPr>
                <w:sz w:val="20"/>
                <w:szCs w:val="20"/>
                <w:color w:val="auto"/>
              </w:rPr>
            </w:pPr>
            <w:r>
              <w:rPr>
                <w:rFonts w:ascii="Arial" w:cs="Arial" w:eastAsia="Arial" w:hAnsi="Arial"/>
                <w:sz w:val="17"/>
                <w:szCs w:val="17"/>
                <w:b w:val="1"/>
                <w:bCs w:val="1"/>
                <w:color w:val="FFFFFF"/>
              </w:rPr>
              <w:t>Financial</w:t>
            </w:r>
          </w:p>
        </w:tc>
        <w:tc>
          <w:tcPr>
            <w:tcW w:w="380" w:type="dxa"/>
            <w:vAlign w:val="bottom"/>
            <w:tcBorders>
              <w:right w:val="single" w:sz="8" w:color="69BCEB"/>
            </w:tcBorders>
          </w:tcPr>
          <w:p>
            <w:pPr>
              <w:spacing w:after="0"/>
              <w:rPr>
                <w:sz w:val="24"/>
                <w:szCs w:val="24"/>
                <w:color w:val="auto"/>
              </w:rPr>
            </w:pPr>
          </w:p>
        </w:tc>
        <w:tc>
          <w:tcPr>
            <w:tcW w:w="360" w:type="dxa"/>
            <w:vAlign w:val="bottom"/>
            <w:shd w:val="clear" w:color="auto" w:fill="69BCEB"/>
          </w:tcPr>
          <w:p>
            <w:pPr>
              <w:spacing w:after="0"/>
              <w:rPr>
                <w:sz w:val="24"/>
                <w:szCs w:val="24"/>
                <w:color w:val="auto"/>
              </w:rPr>
            </w:pPr>
          </w:p>
        </w:tc>
        <w:tc>
          <w:tcPr>
            <w:tcW w:w="3120" w:type="dxa"/>
            <w:vAlign w:val="bottom"/>
            <w:tcBorders>
              <w:right w:val="single" w:sz="8" w:color="69BCEB"/>
            </w:tcBorders>
            <w:gridSpan w:val="2"/>
            <w:shd w:val="clear" w:color="auto" w:fill="69BCEB"/>
          </w:tcPr>
          <w:p>
            <w:pPr>
              <w:jc w:val="center"/>
              <w:ind w:right="380"/>
              <w:spacing w:after="0"/>
              <w:rPr>
                <w:sz w:val="20"/>
                <w:szCs w:val="20"/>
                <w:color w:val="auto"/>
              </w:rPr>
            </w:pPr>
            <w:r>
              <w:rPr>
                <w:rFonts w:ascii="Arial" w:cs="Arial" w:eastAsia="Arial" w:hAnsi="Arial"/>
                <w:sz w:val="17"/>
                <w:szCs w:val="17"/>
                <w:b w:val="1"/>
                <w:bCs w:val="1"/>
                <w:color w:val="FFFFFF"/>
              </w:rPr>
              <w:t>Operating Performance</w:t>
            </w:r>
          </w:p>
        </w:tc>
        <w:tc>
          <w:tcPr>
            <w:tcW w:w="400" w:type="dxa"/>
            <w:vAlign w:val="bottom"/>
            <w:tcBorders>
              <w:right w:val="single" w:sz="8" w:color="B0D9F5"/>
            </w:tcBorders>
          </w:tcPr>
          <w:p>
            <w:pPr>
              <w:spacing w:after="0"/>
              <w:rPr>
                <w:sz w:val="24"/>
                <w:szCs w:val="24"/>
                <w:color w:val="auto"/>
              </w:rPr>
            </w:pPr>
          </w:p>
        </w:tc>
        <w:tc>
          <w:tcPr>
            <w:tcW w:w="3500" w:type="dxa"/>
            <w:vAlign w:val="bottom"/>
            <w:tcBorders>
              <w:right w:val="single" w:sz="8" w:color="B0D9F5"/>
            </w:tcBorders>
            <w:gridSpan w:val="3"/>
            <w:shd w:val="clear" w:color="auto" w:fill="B0D9F5"/>
          </w:tcPr>
          <w:p>
            <w:pPr>
              <w:ind w:left="180"/>
              <w:spacing w:after="0"/>
              <w:rPr>
                <w:sz w:val="20"/>
                <w:szCs w:val="20"/>
                <w:color w:val="auto"/>
              </w:rPr>
            </w:pPr>
            <w:r>
              <w:rPr>
                <w:rFonts w:ascii="Arial" w:cs="Arial" w:eastAsia="Arial" w:hAnsi="Arial"/>
                <w:sz w:val="17"/>
                <w:szCs w:val="17"/>
                <w:b w:val="1"/>
                <w:bCs w:val="1"/>
                <w:color w:val="FFFFFF"/>
              </w:rPr>
              <w:t>Stakeholder &amp; Sustainability Initiatives</w:t>
            </w:r>
          </w:p>
        </w:tc>
        <w:tc>
          <w:tcPr>
            <w:tcW w:w="20" w:type="dxa"/>
            <w:vAlign w:val="bottom"/>
          </w:tcPr>
          <w:p>
            <w:pPr>
              <w:spacing w:after="0"/>
              <w:rPr>
                <w:sz w:val="24"/>
                <w:szCs w:val="24"/>
                <w:color w:val="auto"/>
              </w:rPr>
            </w:pPr>
          </w:p>
        </w:tc>
      </w:tr>
      <w:tr>
        <w:trPr>
          <w:trHeight w:val="235"/>
        </w:trPr>
        <w:tc>
          <w:tcPr>
            <w:tcW w:w="380" w:type="dxa"/>
            <w:vAlign w:val="bottom"/>
            <w:tcBorders>
              <w:left w:val="single" w:sz="8" w:color="00A0DE"/>
            </w:tcBorders>
            <w:shd w:val="clear" w:color="auto" w:fill="00A0DE"/>
          </w:tcPr>
          <w:p>
            <w:pPr>
              <w:spacing w:after="0"/>
              <w:rPr>
                <w:sz w:val="20"/>
                <w:szCs w:val="20"/>
                <w:color w:val="auto"/>
              </w:rPr>
            </w:pPr>
          </w:p>
        </w:tc>
        <w:tc>
          <w:tcPr>
            <w:tcW w:w="3100" w:type="dxa"/>
            <w:vAlign w:val="bottom"/>
            <w:tcBorders>
              <w:right w:val="single" w:sz="8" w:color="00A0DE"/>
            </w:tcBorders>
            <w:gridSpan w:val="2"/>
            <w:shd w:val="clear" w:color="auto" w:fill="00A0DE"/>
          </w:tcPr>
          <w:p>
            <w:pPr>
              <w:jc w:val="right"/>
              <w:ind w:right="1520"/>
              <w:spacing w:after="0"/>
              <w:rPr>
                <w:sz w:val="20"/>
                <w:szCs w:val="20"/>
                <w:color w:val="auto"/>
              </w:rPr>
            </w:pPr>
            <w:r>
              <w:rPr>
                <w:rFonts w:ascii="Arial" w:cs="Arial" w:eastAsia="Arial" w:hAnsi="Arial"/>
                <w:sz w:val="17"/>
                <w:szCs w:val="17"/>
                <w:b w:val="1"/>
                <w:bCs w:val="1"/>
                <w:color w:val="FFFFFF"/>
              </w:rPr>
              <w:t>(70%)</w:t>
            </w:r>
          </w:p>
        </w:tc>
        <w:tc>
          <w:tcPr>
            <w:tcW w:w="380" w:type="dxa"/>
            <w:vAlign w:val="bottom"/>
            <w:tcBorders>
              <w:right w:val="single" w:sz="8" w:color="69BCEB"/>
            </w:tcBorders>
          </w:tcPr>
          <w:p>
            <w:pPr>
              <w:spacing w:after="0"/>
              <w:rPr>
                <w:sz w:val="20"/>
                <w:szCs w:val="20"/>
                <w:color w:val="auto"/>
              </w:rPr>
            </w:pPr>
          </w:p>
        </w:tc>
        <w:tc>
          <w:tcPr>
            <w:tcW w:w="360" w:type="dxa"/>
            <w:vAlign w:val="bottom"/>
            <w:shd w:val="clear" w:color="auto" w:fill="69BCEB"/>
          </w:tcPr>
          <w:p>
            <w:pPr>
              <w:spacing w:after="0"/>
              <w:rPr>
                <w:sz w:val="20"/>
                <w:szCs w:val="20"/>
                <w:color w:val="auto"/>
              </w:rPr>
            </w:pPr>
          </w:p>
        </w:tc>
        <w:tc>
          <w:tcPr>
            <w:tcW w:w="3120" w:type="dxa"/>
            <w:vAlign w:val="bottom"/>
            <w:tcBorders>
              <w:right w:val="single" w:sz="8" w:color="69BCEB"/>
            </w:tcBorders>
            <w:gridSpan w:val="2"/>
            <w:shd w:val="clear" w:color="auto" w:fill="69BCEB"/>
          </w:tcPr>
          <w:p>
            <w:pPr>
              <w:jc w:val="right"/>
              <w:ind w:right="1480"/>
              <w:spacing w:after="0"/>
              <w:rPr>
                <w:sz w:val="20"/>
                <w:szCs w:val="20"/>
                <w:color w:val="auto"/>
              </w:rPr>
            </w:pPr>
            <w:r>
              <w:rPr>
                <w:rFonts w:ascii="Arial" w:cs="Arial" w:eastAsia="Arial" w:hAnsi="Arial"/>
                <w:sz w:val="17"/>
                <w:szCs w:val="17"/>
                <w:b w:val="1"/>
                <w:bCs w:val="1"/>
                <w:color w:val="FFFFFF"/>
              </w:rPr>
              <w:t>(15%)*</w:t>
            </w:r>
          </w:p>
        </w:tc>
        <w:tc>
          <w:tcPr>
            <w:tcW w:w="400" w:type="dxa"/>
            <w:vAlign w:val="bottom"/>
            <w:tcBorders>
              <w:right w:val="single" w:sz="8" w:color="B0D9F5"/>
            </w:tcBorders>
          </w:tcPr>
          <w:p>
            <w:pPr>
              <w:spacing w:after="0"/>
              <w:rPr>
                <w:sz w:val="20"/>
                <w:szCs w:val="20"/>
                <w:color w:val="auto"/>
              </w:rPr>
            </w:pPr>
          </w:p>
        </w:tc>
        <w:tc>
          <w:tcPr>
            <w:tcW w:w="360" w:type="dxa"/>
            <w:vAlign w:val="bottom"/>
            <w:shd w:val="clear" w:color="auto" w:fill="B0D9F5"/>
          </w:tcPr>
          <w:p>
            <w:pPr>
              <w:spacing w:after="0"/>
              <w:rPr>
                <w:sz w:val="20"/>
                <w:szCs w:val="20"/>
                <w:color w:val="auto"/>
              </w:rPr>
            </w:pPr>
          </w:p>
        </w:tc>
        <w:tc>
          <w:tcPr>
            <w:tcW w:w="3140" w:type="dxa"/>
            <w:vAlign w:val="bottom"/>
            <w:tcBorders>
              <w:right w:val="single" w:sz="8" w:color="B0D9F5"/>
            </w:tcBorders>
            <w:gridSpan w:val="2"/>
            <w:shd w:val="clear" w:color="auto" w:fill="B0D9F5"/>
          </w:tcPr>
          <w:p>
            <w:pPr>
              <w:jc w:val="right"/>
              <w:ind w:right="1500"/>
              <w:spacing w:after="0"/>
              <w:rPr>
                <w:sz w:val="20"/>
                <w:szCs w:val="20"/>
                <w:color w:val="auto"/>
              </w:rPr>
            </w:pPr>
            <w:r>
              <w:rPr>
                <w:rFonts w:ascii="Arial" w:cs="Arial" w:eastAsia="Arial" w:hAnsi="Arial"/>
                <w:sz w:val="17"/>
                <w:szCs w:val="17"/>
                <w:b w:val="1"/>
                <w:bCs w:val="1"/>
                <w:color w:val="FFFFFF"/>
              </w:rPr>
              <w:t>(15%)*</w:t>
            </w:r>
          </w:p>
        </w:tc>
        <w:tc>
          <w:tcPr>
            <w:tcW w:w="20" w:type="dxa"/>
            <w:vAlign w:val="bottom"/>
          </w:tcPr>
          <w:p>
            <w:pPr>
              <w:spacing w:after="0"/>
              <w:rPr>
                <w:sz w:val="20"/>
                <w:szCs w:val="20"/>
                <w:color w:val="auto"/>
              </w:rPr>
            </w:pPr>
          </w:p>
        </w:tc>
      </w:tr>
      <w:tr>
        <w:trPr>
          <w:trHeight w:val="112"/>
        </w:trPr>
        <w:tc>
          <w:tcPr>
            <w:tcW w:w="380" w:type="dxa"/>
            <w:vAlign w:val="bottom"/>
            <w:tcBorders>
              <w:left w:val="single" w:sz="8" w:color="00A0DE"/>
            </w:tcBorders>
            <w:shd w:val="clear" w:color="auto" w:fill="00A0DE"/>
          </w:tcPr>
          <w:p>
            <w:pPr>
              <w:spacing w:after="0"/>
              <w:rPr>
                <w:sz w:val="9"/>
                <w:szCs w:val="9"/>
                <w:color w:val="auto"/>
              </w:rPr>
            </w:pPr>
          </w:p>
        </w:tc>
        <w:tc>
          <w:tcPr>
            <w:tcW w:w="1360" w:type="dxa"/>
            <w:vAlign w:val="bottom"/>
            <w:tcBorders>
              <w:right w:val="single" w:sz="8" w:color="00A0DE"/>
            </w:tcBorders>
            <w:shd w:val="clear" w:color="auto" w:fill="00A0DE"/>
          </w:tcPr>
          <w:p>
            <w:pPr>
              <w:spacing w:after="0"/>
              <w:rPr>
                <w:sz w:val="9"/>
                <w:szCs w:val="9"/>
                <w:color w:val="auto"/>
              </w:rPr>
            </w:pPr>
          </w:p>
        </w:tc>
        <w:tc>
          <w:tcPr>
            <w:tcW w:w="1740" w:type="dxa"/>
            <w:vAlign w:val="bottom"/>
            <w:tcBorders>
              <w:right w:val="single" w:sz="8" w:color="00A0DE"/>
            </w:tcBorders>
            <w:shd w:val="clear" w:color="auto" w:fill="00A0DE"/>
          </w:tcPr>
          <w:p>
            <w:pPr>
              <w:spacing w:after="0"/>
              <w:rPr>
                <w:sz w:val="9"/>
                <w:szCs w:val="9"/>
                <w:color w:val="auto"/>
              </w:rPr>
            </w:pPr>
          </w:p>
        </w:tc>
        <w:tc>
          <w:tcPr>
            <w:tcW w:w="380" w:type="dxa"/>
            <w:vAlign w:val="bottom"/>
            <w:tcBorders>
              <w:right w:val="single" w:sz="8" w:color="69BCEB"/>
            </w:tcBorders>
          </w:tcPr>
          <w:p>
            <w:pPr>
              <w:spacing w:after="0"/>
              <w:rPr>
                <w:sz w:val="9"/>
                <w:szCs w:val="9"/>
                <w:color w:val="auto"/>
              </w:rPr>
            </w:pPr>
          </w:p>
        </w:tc>
        <w:tc>
          <w:tcPr>
            <w:tcW w:w="1760" w:type="dxa"/>
            <w:vAlign w:val="bottom"/>
            <w:tcBorders>
              <w:right w:val="single" w:sz="8" w:color="69BCEB"/>
            </w:tcBorders>
            <w:gridSpan w:val="2"/>
            <w:shd w:val="clear" w:color="auto" w:fill="69BCEB"/>
          </w:tcPr>
          <w:p>
            <w:pPr>
              <w:spacing w:after="0"/>
              <w:rPr>
                <w:sz w:val="9"/>
                <w:szCs w:val="9"/>
                <w:color w:val="auto"/>
              </w:rPr>
            </w:pPr>
          </w:p>
        </w:tc>
        <w:tc>
          <w:tcPr>
            <w:tcW w:w="1720" w:type="dxa"/>
            <w:vAlign w:val="bottom"/>
            <w:tcBorders>
              <w:right w:val="single" w:sz="8" w:color="69BCEB"/>
            </w:tcBorders>
            <w:shd w:val="clear" w:color="auto" w:fill="69BCEB"/>
          </w:tcPr>
          <w:p>
            <w:pPr>
              <w:spacing w:after="0"/>
              <w:rPr>
                <w:sz w:val="9"/>
                <w:szCs w:val="9"/>
                <w:color w:val="auto"/>
              </w:rPr>
            </w:pPr>
          </w:p>
        </w:tc>
        <w:tc>
          <w:tcPr>
            <w:tcW w:w="400" w:type="dxa"/>
            <w:vAlign w:val="bottom"/>
            <w:tcBorders>
              <w:right w:val="single" w:sz="8" w:color="B0D9F5"/>
            </w:tcBorders>
          </w:tcPr>
          <w:p>
            <w:pPr>
              <w:spacing w:after="0"/>
              <w:rPr>
                <w:sz w:val="9"/>
                <w:szCs w:val="9"/>
                <w:color w:val="auto"/>
              </w:rPr>
            </w:pPr>
          </w:p>
        </w:tc>
        <w:tc>
          <w:tcPr>
            <w:tcW w:w="360" w:type="dxa"/>
            <w:vAlign w:val="bottom"/>
            <w:shd w:val="clear" w:color="auto" w:fill="B0D9F5"/>
          </w:tcPr>
          <w:p>
            <w:pPr>
              <w:spacing w:after="0"/>
              <w:rPr>
                <w:sz w:val="9"/>
                <w:szCs w:val="9"/>
                <w:color w:val="auto"/>
              </w:rPr>
            </w:pPr>
          </w:p>
        </w:tc>
        <w:tc>
          <w:tcPr>
            <w:tcW w:w="1400" w:type="dxa"/>
            <w:vAlign w:val="bottom"/>
            <w:tcBorders>
              <w:right w:val="single" w:sz="8" w:color="B0D9F5"/>
            </w:tcBorders>
            <w:shd w:val="clear" w:color="auto" w:fill="B0D9F5"/>
          </w:tcPr>
          <w:p>
            <w:pPr>
              <w:spacing w:after="0"/>
              <w:rPr>
                <w:sz w:val="9"/>
                <w:szCs w:val="9"/>
                <w:color w:val="auto"/>
              </w:rPr>
            </w:pPr>
          </w:p>
        </w:tc>
        <w:tc>
          <w:tcPr>
            <w:tcW w:w="1740" w:type="dxa"/>
            <w:vAlign w:val="bottom"/>
            <w:tcBorders>
              <w:right w:val="single" w:sz="8" w:color="B0D9F5"/>
            </w:tcBorders>
            <w:shd w:val="clear" w:color="auto" w:fill="B0D9F5"/>
          </w:tcPr>
          <w:p>
            <w:pPr>
              <w:spacing w:after="0"/>
              <w:rPr>
                <w:sz w:val="9"/>
                <w:szCs w:val="9"/>
                <w:color w:val="auto"/>
              </w:rPr>
            </w:pPr>
          </w:p>
        </w:tc>
        <w:tc>
          <w:tcPr>
            <w:tcW w:w="20" w:type="dxa"/>
            <w:vAlign w:val="bottom"/>
          </w:tcPr>
          <w:p>
            <w:pPr>
              <w:spacing w:after="0"/>
              <w:rPr>
                <w:sz w:val="9"/>
                <w:szCs w:val="9"/>
                <w:color w:val="auto"/>
              </w:rPr>
            </w:pPr>
          </w:p>
        </w:tc>
      </w:tr>
      <w:tr>
        <w:trPr>
          <w:trHeight w:val="196"/>
        </w:trPr>
        <w:tc>
          <w:tcPr>
            <w:tcW w:w="380" w:type="dxa"/>
            <w:vAlign w:val="bottom"/>
            <w:tcBorders>
              <w:bottom w:val="single" w:sz="8" w:color="00A0DE"/>
            </w:tcBorders>
          </w:tcPr>
          <w:p>
            <w:pPr>
              <w:spacing w:after="0"/>
              <w:rPr>
                <w:sz w:val="17"/>
                <w:szCs w:val="17"/>
                <w:color w:val="auto"/>
              </w:rPr>
            </w:pPr>
          </w:p>
        </w:tc>
        <w:tc>
          <w:tcPr>
            <w:tcW w:w="1360" w:type="dxa"/>
            <w:vAlign w:val="bottom"/>
            <w:tcBorders>
              <w:bottom w:val="single" w:sz="8" w:color="00A0DE"/>
              <w:right w:val="single" w:sz="8" w:color="00A0DE"/>
            </w:tcBorders>
          </w:tcPr>
          <w:p>
            <w:pPr>
              <w:spacing w:after="0"/>
              <w:rPr>
                <w:sz w:val="17"/>
                <w:szCs w:val="17"/>
                <w:color w:val="auto"/>
              </w:rPr>
            </w:pPr>
          </w:p>
        </w:tc>
        <w:tc>
          <w:tcPr>
            <w:tcW w:w="1740" w:type="dxa"/>
            <w:vAlign w:val="bottom"/>
            <w:tcBorders>
              <w:bottom w:val="single" w:sz="8" w:color="00A0DE"/>
            </w:tcBorders>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Borders>
              <w:bottom w:val="single" w:sz="8" w:color="69BCEB"/>
              <w:right w:val="single" w:sz="8" w:color="69BCEB"/>
            </w:tcBorders>
            <w:gridSpan w:val="2"/>
          </w:tcPr>
          <w:p>
            <w:pPr>
              <w:spacing w:after="0"/>
              <w:rPr>
                <w:sz w:val="17"/>
                <w:szCs w:val="17"/>
                <w:color w:val="auto"/>
              </w:rPr>
            </w:pPr>
          </w:p>
        </w:tc>
        <w:tc>
          <w:tcPr>
            <w:tcW w:w="1720" w:type="dxa"/>
            <w:vAlign w:val="bottom"/>
            <w:tcBorders>
              <w:bottom w:val="single" w:sz="8" w:color="69BCEB"/>
            </w:tcBorders>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bottom w:val="single" w:sz="8" w:color="69BCEB"/>
            </w:tcBorders>
          </w:tcPr>
          <w:p>
            <w:pPr>
              <w:spacing w:after="0"/>
              <w:rPr>
                <w:sz w:val="17"/>
                <w:szCs w:val="17"/>
                <w:color w:val="auto"/>
              </w:rPr>
            </w:pPr>
          </w:p>
        </w:tc>
        <w:tc>
          <w:tcPr>
            <w:tcW w:w="1400" w:type="dxa"/>
            <w:vAlign w:val="bottom"/>
            <w:tcBorders>
              <w:bottom w:val="single" w:sz="8" w:color="69BCEB"/>
              <w:right w:val="single" w:sz="8" w:color="69BCEB"/>
            </w:tcBorders>
          </w:tcPr>
          <w:p>
            <w:pPr>
              <w:spacing w:after="0"/>
              <w:rPr>
                <w:sz w:val="17"/>
                <w:szCs w:val="17"/>
                <w:color w:val="auto"/>
              </w:rPr>
            </w:pPr>
          </w:p>
        </w:tc>
        <w:tc>
          <w:tcPr>
            <w:tcW w:w="1740" w:type="dxa"/>
            <w:vAlign w:val="bottom"/>
            <w:tcBorders>
              <w:bottom w:val="single" w:sz="8" w:color="69BCEB"/>
            </w:tcBorders>
          </w:tcPr>
          <w:p>
            <w:pPr>
              <w:spacing w:after="0"/>
              <w:rPr>
                <w:sz w:val="17"/>
                <w:szCs w:val="17"/>
                <w:color w:val="auto"/>
              </w:rPr>
            </w:pPr>
          </w:p>
        </w:tc>
        <w:tc>
          <w:tcPr>
            <w:tcW w:w="20" w:type="dxa"/>
            <w:vAlign w:val="bottom"/>
            <w:tcBorders>
              <w:bottom w:val="single" w:sz="8" w:color="69BCEB"/>
            </w:tcBorders>
          </w:tcPr>
          <w:p>
            <w:pPr>
              <w:spacing w:after="0"/>
              <w:rPr>
                <w:sz w:val="17"/>
                <w:szCs w:val="17"/>
                <w:color w:val="auto"/>
              </w:rPr>
            </w:pPr>
          </w:p>
        </w:tc>
      </w:tr>
      <w:tr>
        <w:trPr>
          <w:trHeight w:val="388"/>
        </w:trPr>
        <w:tc>
          <w:tcPr>
            <w:tcW w:w="380" w:type="dxa"/>
            <w:vAlign w:val="bottom"/>
            <w:tcBorders>
              <w:left w:val="single" w:sz="8" w:color="00A0DE"/>
            </w:tcBorders>
          </w:tcPr>
          <w:p>
            <w:pPr>
              <w:ind w:left="220"/>
              <w:spacing w:after="0"/>
              <w:rPr>
                <w:sz w:val="20"/>
                <w:szCs w:val="20"/>
                <w:color w:val="auto"/>
              </w:rPr>
            </w:pPr>
            <w:r>
              <w:rPr>
                <w:rFonts w:ascii="Arial" w:cs="Arial" w:eastAsia="Arial" w:hAnsi="Arial"/>
                <w:sz w:val="17"/>
                <w:szCs w:val="17"/>
                <w:color w:val="00A0DE"/>
              </w:rPr>
              <w:t>●</w:t>
            </w:r>
          </w:p>
        </w:tc>
        <w:tc>
          <w:tcPr>
            <w:tcW w:w="3100" w:type="dxa"/>
            <w:vAlign w:val="bottom"/>
            <w:tcBorders>
              <w:right w:val="single" w:sz="8" w:color="00A0DE"/>
            </w:tcBorders>
            <w:gridSpan w:val="2"/>
          </w:tcPr>
          <w:p>
            <w:pPr>
              <w:ind w:left="60"/>
              <w:spacing w:after="0"/>
              <w:rPr>
                <w:sz w:val="20"/>
                <w:szCs w:val="20"/>
                <w:color w:val="auto"/>
              </w:rPr>
            </w:pPr>
            <w:r>
              <w:rPr>
                <w:rFonts w:ascii="Arial" w:cs="Arial" w:eastAsia="Arial" w:hAnsi="Arial"/>
                <w:sz w:val="17"/>
                <w:szCs w:val="17"/>
                <w:color w:val="auto"/>
              </w:rPr>
              <w:t xml:space="preserve">Adjusted EBITDA </w:t>
            </w:r>
            <w:r>
              <w:rPr>
                <w:rFonts w:ascii="Arial" w:cs="Arial" w:eastAsia="Arial" w:hAnsi="Arial"/>
                <w:sz w:val="17"/>
                <w:szCs w:val="17"/>
                <w:b w:val="1"/>
                <w:bCs w:val="1"/>
                <w:color w:val="auto"/>
              </w:rPr>
              <w:t>(35%)</w:t>
            </w:r>
          </w:p>
        </w:tc>
        <w:tc>
          <w:tcPr>
            <w:tcW w:w="380" w:type="dxa"/>
            <w:vAlign w:val="bottom"/>
            <w:tcBorders>
              <w:right w:val="single" w:sz="8" w:color="69BCEB"/>
            </w:tcBorders>
          </w:tcPr>
          <w:p>
            <w:pPr>
              <w:spacing w:after="0"/>
              <w:rPr>
                <w:sz w:val="24"/>
                <w:szCs w:val="24"/>
                <w:color w:val="auto"/>
              </w:rPr>
            </w:pPr>
          </w:p>
        </w:tc>
        <w:tc>
          <w:tcPr>
            <w:tcW w:w="3480" w:type="dxa"/>
            <w:vAlign w:val="bottom"/>
            <w:tcBorders>
              <w:right w:val="single" w:sz="8" w:color="69BCEB"/>
            </w:tcBorders>
            <w:gridSpan w:val="3"/>
          </w:tcPr>
          <w:p>
            <w:pPr>
              <w:ind w:left="200"/>
              <w:spacing w:after="0"/>
              <w:rPr>
                <w:sz w:val="20"/>
                <w:szCs w:val="20"/>
                <w:color w:val="auto"/>
              </w:rPr>
            </w:pPr>
            <w:r>
              <w:rPr>
                <w:rFonts w:ascii="Arial" w:cs="Arial" w:eastAsia="Arial" w:hAnsi="Arial"/>
                <w:sz w:val="17"/>
                <w:szCs w:val="17"/>
                <w:color w:val="00A0DE"/>
              </w:rPr>
              <w:t xml:space="preserve">●  </w:t>
            </w:r>
            <w:r>
              <w:rPr>
                <w:rFonts w:ascii="Arial" w:cs="Arial" w:eastAsia="Arial" w:hAnsi="Arial"/>
                <w:sz w:val="17"/>
                <w:szCs w:val="17"/>
                <w:color w:val="000000"/>
              </w:rPr>
              <w:t>Alignment with Long Range Plans</w:t>
            </w:r>
          </w:p>
        </w:tc>
        <w:tc>
          <w:tcPr>
            <w:tcW w:w="400" w:type="dxa"/>
            <w:vAlign w:val="bottom"/>
            <w:tcBorders>
              <w:left w:val="single" w:sz="8" w:color="69BCEB"/>
              <w:right w:val="single" w:sz="8" w:color="69BCEB"/>
            </w:tcBorders>
          </w:tcPr>
          <w:p>
            <w:pPr>
              <w:spacing w:after="0"/>
              <w:rPr>
                <w:sz w:val="24"/>
                <w:szCs w:val="24"/>
                <w:color w:val="auto"/>
              </w:rPr>
            </w:pPr>
          </w:p>
        </w:tc>
        <w:tc>
          <w:tcPr>
            <w:tcW w:w="360" w:type="dxa"/>
            <w:vAlign w:val="bottom"/>
          </w:tcPr>
          <w:p>
            <w:pPr>
              <w:ind w:left="200"/>
              <w:spacing w:after="0"/>
              <w:rPr>
                <w:sz w:val="20"/>
                <w:szCs w:val="20"/>
                <w:color w:val="auto"/>
              </w:rPr>
            </w:pPr>
            <w:r>
              <w:rPr>
                <w:rFonts w:ascii="Arial" w:cs="Arial" w:eastAsia="Arial" w:hAnsi="Arial"/>
                <w:sz w:val="17"/>
                <w:szCs w:val="17"/>
                <w:color w:val="00A0DE"/>
              </w:rPr>
              <w:t>●</w:t>
            </w:r>
          </w:p>
        </w:tc>
        <w:tc>
          <w:tcPr>
            <w:tcW w:w="3140" w:type="dxa"/>
            <w:vAlign w:val="bottom"/>
            <w:tcBorders>
              <w:right w:val="single" w:sz="8" w:color="69BCEB"/>
            </w:tcBorders>
            <w:gridSpan w:val="2"/>
          </w:tcPr>
          <w:p>
            <w:pPr>
              <w:ind w:left="80"/>
              <w:spacing w:after="0"/>
              <w:rPr>
                <w:sz w:val="20"/>
                <w:szCs w:val="20"/>
                <w:color w:val="auto"/>
              </w:rPr>
            </w:pPr>
            <w:r>
              <w:rPr>
                <w:rFonts w:ascii="Arial" w:cs="Arial" w:eastAsia="Arial" w:hAnsi="Arial"/>
                <w:sz w:val="17"/>
                <w:szCs w:val="17"/>
                <w:color w:val="auto"/>
              </w:rPr>
              <w:t>Advancing Digital Opportunity</w:t>
            </w:r>
          </w:p>
        </w:tc>
        <w:tc>
          <w:tcPr>
            <w:tcW w:w="20" w:type="dxa"/>
            <w:vAlign w:val="bottom"/>
            <w:shd w:val="clear" w:color="auto" w:fill="69BCEB"/>
          </w:tcPr>
          <w:p>
            <w:pPr>
              <w:spacing w:after="0"/>
              <w:rPr>
                <w:sz w:val="24"/>
                <w:szCs w:val="24"/>
                <w:color w:val="auto"/>
              </w:rPr>
            </w:pPr>
          </w:p>
        </w:tc>
      </w:tr>
      <w:tr>
        <w:trPr>
          <w:trHeight w:val="270"/>
        </w:trPr>
        <w:tc>
          <w:tcPr>
            <w:tcW w:w="3480" w:type="dxa"/>
            <w:vAlign w:val="bottom"/>
            <w:tcBorders>
              <w:left w:val="single" w:sz="8" w:color="00A0DE"/>
              <w:right w:val="single" w:sz="8" w:color="00A0DE"/>
            </w:tcBorders>
            <w:gridSpan w:val="3"/>
          </w:tcPr>
          <w:p>
            <w:pPr>
              <w:ind w:left="220"/>
              <w:spacing w:after="0"/>
              <w:rPr>
                <w:sz w:val="20"/>
                <w:szCs w:val="20"/>
                <w:color w:val="auto"/>
              </w:rPr>
            </w:pPr>
            <w:r>
              <w:rPr>
                <w:rFonts w:ascii="Arial" w:cs="Arial" w:eastAsia="Arial" w:hAnsi="Arial"/>
                <w:sz w:val="17"/>
                <w:szCs w:val="17"/>
                <w:color w:val="00A0DE"/>
              </w:rPr>
              <w:t xml:space="preserve">●  </w:t>
            </w:r>
            <w:r>
              <w:rPr>
                <w:rFonts w:ascii="Arial" w:cs="Arial" w:eastAsia="Arial" w:hAnsi="Arial"/>
                <w:sz w:val="17"/>
                <w:szCs w:val="17"/>
                <w:color w:val="000000"/>
              </w:rPr>
              <w:t>Free Cash Flow</w:t>
            </w:r>
            <w:r>
              <w:rPr>
                <w:rFonts w:ascii="Arial" w:cs="Arial" w:eastAsia="Arial" w:hAnsi="Arial"/>
                <w:sz w:val="17"/>
                <w:szCs w:val="17"/>
                <w:color w:val="00A0DE"/>
              </w:rPr>
              <w:t xml:space="preserve"> </w:t>
            </w:r>
            <w:r>
              <w:rPr>
                <w:rFonts w:ascii="Arial" w:cs="Arial" w:eastAsia="Arial" w:hAnsi="Arial"/>
                <w:sz w:val="17"/>
                <w:szCs w:val="17"/>
                <w:b w:val="1"/>
                <w:bCs w:val="1"/>
                <w:color w:val="000000"/>
              </w:rPr>
              <w:t>(25%)</w:t>
            </w:r>
          </w:p>
        </w:tc>
        <w:tc>
          <w:tcPr>
            <w:tcW w:w="380" w:type="dxa"/>
            <w:vAlign w:val="bottom"/>
            <w:tcBorders>
              <w:right w:val="single" w:sz="8" w:color="69BCEB"/>
            </w:tcBorders>
          </w:tcPr>
          <w:p>
            <w:pPr>
              <w:spacing w:after="0"/>
              <w:rPr>
                <w:sz w:val="23"/>
                <w:szCs w:val="23"/>
                <w:color w:val="auto"/>
              </w:rPr>
            </w:pPr>
          </w:p>
        </w:tc>
        <w:tc>
          <w:tcPr>
            <w:tcW w:w="360" w:type="dxa"/>
            <w:vAlign w:val="bottom"/>
          </w:tcPr>
          <w:p>
            <w:pPr>
              <w:ind w:left="200"/>
              <w:spacing w:after="0"/>
              <w:rPr>
                <w:sz w:val="20"/>
                <w:szCs w:val="20"/>
                <w:color w:val="auto"/>
              </w:rPr>
            </w:pPr>
            <w:r>
              <w:rPr>
                <w:rFonts w:ascii="Arial" w:cs="Arial" w:eastAsia="Arial" w:hAnsi="Arial"/>
                <w:sz w:val="17"/>
                <w:szCs w:val="17"/>
                <w:color w:val="00A0DE"/>
              </w:rPr>
              <w:t>●</w:t>
            </w:r>
          </w:p>
        </w:tc>
        <w:tc>
          <w:tcPr>
            <w:tcW w:w="3120" w:type="dxa"/>
            <w:vAlign w:val="bottom"/>
            <w:tcBorders>
              <w:right w:val="single" w:sz="8" w:color="69BCEB"/>
            </w:tcBorders>
            <w:gridSpan w:val="2"/>
          </w:tcPr>
          <w:p>
            <w:pPr>
              <w:ind w:left="80"/>
              <w:spacing w:after="0"/>
              <w:rPr>
                <w:sz w:val="20"/>
                <w:szCs w:val="20"/>
                <w:color w:val="auto"/>
              </w:rPr>
            </w:pPr>
            <w:r>
              <w:rPr>
                <w:rFonts w:ascii="Arial" w:cs="Arial" w:eastAsia="Arial" w:hAnsi="Arial"/>
                <w:sz w:val="17"/>
                <w:szCs w:val="17"/>
                <w:color w:val="auto"/>
              </w:rPr>
              <w:t>Organizational Collaboration</w:t>
            </w:r>
          </w:p>
        </w:tc>
        <w:tc>
          <w:tcPr>
            <w:tcW w:w="400" w:type="dxa"/>
            <w:vAlign w:val="bottom"/>
            <w:tcBorders>
              <w:left w:val="single" w:sz="8" w:color="69BCEB"/>
              <w:right w:val="single" w:sz="8" w:color="69BCEB"/>
            </w:tcBorders>
          </w:tcPr>
          <w:p>
            <w:pPr>
              <w:spacing w:after="0"/>
              <w:rPr>
                <w:sz w:val="23"/>
                <w:szCs w:val="23"/>
                <w:color w:val="auto"/>
              </w:rPr>
            </w:pPr>
          </w:p>
        </w:tc>
        <w:tc>
          <w:tcPr>
            <w:tcW w:w="360" w:type="dxa"/>
            <w:vAlign w:val="bottom"/>
          </w:tcPr>
          <w:p>
            <w:pPr>
              <w:ind w:left="200"/>
              <w:spacing w:after="0"/>
              <w:rPr>
                <w:sz w:val="20"/>
                <w:szCs w:val="20"/>
                <w:color w:val="auto"/>
              </w:rPr>
            </w:pPr>
            <w:r>
              <w:rPr>
                <w:rFonts w:ascii="Arial" w:cs="Arial" w:eastAsia="Arial" w:hAnsi="Arial"/>
                <w:sz w:val="17"/>
                <w:szCs w:val="17"/>
                <w:color w:val="00A0DE"/>
              </w:rPr>
              <w:t>●</w:t>
            </w:r>
          </w:p>
        </w:tc>
        <w:tc>
          <w:tcPr>
            <w:tcW w:w="3140" w:type="dxa"/>
            <w:vAlign w:val="bottom"/>
            <w:tcBorders>
              <w:right w:val="single" w:sz="8" w:color="69BCEB"/>
            </w:tcBorders>
            <w:gridSpan w:val="2"/>
          </w:tcPr>
          <w:p>
            <w:pPr>
              <w:ind w:left="80"/>
              <w:spacing w:after="0"/>
              <w:rPr>
                <w:sz w:val="20"/>
                <w:szCs w:val="20"/>
                <w:color w:val="auto"/>
              </w:rPr>
            </w:pPr>
            <w:r>
              <w:rPr>
                <w:rFonts w:ascii="Arial" w:cs="Arial" w:eastAsia="Arial" w:hAnsi="Arial"/>
                <w:sz w:val="17"/>
                <w:szCs w:val="17"/>
                <w:color w:val="auto"/>
              </w:rPr>
              <w:t>Environmental Sustainability</w:t>
            </w:r>
          </w:p>
        </w:tc>
        <w:tc>
          <w:tcPr>
            <w:tcW w:w="20" w:type="dxa"/>
            <w:vAlign w:val="bottom"/>
            <w:shd w:val="clear" w:color="auto" w:fill="69BCEB"/>
          </w:tcPr>
          <w:p>
            <w:pPr>
              <w:spacing w:after="0"/>
              <w:rPr>
                <w:sz w:val="23"/>
                <w:szCs w:val="23"/>
                <w:color w:val="auto"/>
              </w:rPr>
            </w:pPr>
          </w:p>
        </w:tc>
      </w:tr>
      <w:tr>
        <w:trPr>
          <w:trHeight w:val="257"/>
        </w:trPr>
        <w:tc>
          <w:tcPr>
            <w:tcW w:w="380" w:type="dxa"/>
            <w:vAlign w:val="bottom"/>
            <w:tcBorders>
              <w:left w:val="single" w:sz="8" w:color="00A0DE"/>
            </w:tcBorders>
          </w:tcPr>
          <w:p>
            <w:pPr>
              <w:ind w:left="220"/>
              <w:spacing w:after="0"/>
              <w:rPr>
                <w:sz w:val="20"/>
                <w:szCs w:val="20"/>
                <w:color w:val="auto"/>
              </w:rPr>
            </w:pPr>
            <w:r>
              <w:rPr>
                <w:rFonts w:ascii="Arial" w:cs="Arial" w:eastAsia="Arial" w:hAnsi="Arial"/>
                <w:sz w:val="17"/>
                <w:szCs w:val="17"/>
                <w:color w:val="00A0DE"/>
              </w:rPr>
              <w:t>●</w:t>
            </w:r>
          </w:p>
        </w:tc>
        <w:tc>
          <w:tcPr>
            <w:tcW w:w="3100" w:type="dxa"/>
            <w:vAlign w:val="bottom"/>
            <w:tcBorders>
              <w:right w:val="single" w:sz="8" w:color="00A0DE"/>
            </w:tcBorders>
            <w:gridSpan w:val="2"/>
          </w:tcPr>
          <w:p>
            <w:pPr>
              <w:ind w:left="60"/>
              <w:spacing w:after="0"/>
              <w:rPr>
                <w:sz w:val="20"/>
                <w:szCs w:val="20"/>
                <w:color w:val="auto"/>
              </w:rPr>
            </w:pPr>
            <w:r>
              <w:rPr>
                <w:rFonts w:ascii="Arial" w:cs="Arial" w:eastAsia="Arial" w:hAnsi="Arial"/>
                <w:sz w:val="17"/>
                <w:szCs w:val="17"/>
                <w:color w:val="auto"/>
              </w:rPr>
              <w:t xml:space="preserve">Revenue </w:t>
            </w:r>
            <w:r>
              <w:rPr>
                <w:rFonts w:ascii="Arial" w:cs="Arial" w:eastAsia="Arial" w:hAnsi="Arial"/>
                <w:sz w:val="17"/>
                <w:szCs w:val="17"/>
                <w:b w:val="1"/>
                <w:bCs w:val="1"/>
                <w:color w:val="auto"/>
              </w:rPr>
              <w:t>(10%)</w:t>
            </w:r>
          </w:p>
        </w:tc>
        <w:tc>
          <w:tcPr>
            <w:tcW w:w="380" w:type="dxa"/>
            <w:vAlign w:val="bottom"/>
            <w:tcBorders>
              <w:right w:val="single" w:sz="8" w:color="69BCEB"/>
            </w:tcBorders>
          </w:tcPr>
          <w:p>
            <w:pPr>
              <w:spacing w:after="0"/>
              <w:rPr>
                <w:sz w:val="22"/>
                <w:szCs w:val="22"/>
                <w:color w:val="auto"/>
              </w:rPr>
            </w:pPr>
          </w:p>
        </w:tc>
        <w:tc>
          <w:tcPr>
            <w:tcW w:w="360" w:type="dxa"/>
            <w:vAlign w:val="bottom"/>
          </w:tcPr>
          <w:p>
            <w:pPr>
              <w:ind w:left="200"/>
              <w:spacing w:after="0"/>
              <w:rPr>
                <w:sz w:val="20"/>
                <w:szCs w:val="20"/>
                <w:color w:val="auto"/>
              </w:rPr>
            </w:pPr>
            <w:r>
              <w:rPr>
                <w:rFonts w:ascii="Arial" w:cs="Arial" w:eastAsia="Arial" w:hAnsi="Arial"/>
                <w:sz w:val="17"/>
                <w:szCs w:val="17"/>
                <w:color w:val="00A0DE"/>
              </w:rPr>
              <w:t>●</w:t>
            </w:r>
          </w:p>
        </w:tc>
        <w:tc>
          <w:tcPr>
            <w:tcW w:w="3120" w:type="dxa"/>
            <w:vAlign w:val="bottom"/>
            <w:tcBorders>
              <w:right w:val="single" w:sz="8" w:color="69BCEB"/>
            </w:tcBorders>
            <w:gridSpan w:val="2"/>
          </w:tcPr>
          <w:p>
            <w:pPr>
              <w:ind w:left="80"/>
              <w:spacing w:after="0"/>
              <w:rPr>
                <w:sz w:val="20"/>
                <w:szCs w:val="20"/>
                <w:color w:val="auto"/>
              </w:rPr>
            </w:pPr>
            <w:r>
              <w:rPr>
                <w:rFonts w:ascii="Arial" w:cs="Arial" w:eastAsia="Arial" w:hAnsi="Arial"/>
                <w:sz w:val="17"/>
                <w:szCs w:val="17"/>
                <w:color w:val="auto"/>
              </w:rPr>
              <w:t>Operational Agility</w:t>
            </w:r>
          </w:p>
        </w:tc>
        <w:tc>
          <w:tcPr>
            <w:tcW w:w="400" w:type="dxa"/>
            <w:vAlign w:val="bottom"/>
            <w:tcBorders>
              <w:left w:val="single" w:sz="8" w:color="69BCEB"/>
              <w:right w:val="single" w:sz="8" w:color="69BCEB"/>
            </w:tcBorders>
          </w:tcPr>
          <w:p>
            <w:pPr>
              <w:spacing w:after="0"/>
              <w:rPr>
                <w:sz w:val="22"/>
                <w:szCs w:val="22"/>
                <w:color w:val="auto"/>
              </w:rPr>
            </w:pPr>
          </w:p>
        </w:tc>
        <w:tc>
          <w:tcPr>
            <w:tcW w:w="360" w:type="dxa"/>
            <w:vAlign w:val="bottom"/>
          </w:tcPr>
          <w:p>
            <w:pPr>
              <w:ind w:left="200"/>
              <w:spacing w:after="0"/>
              <w:rPr>
                <w:sz w:val="20"/>
                <w:szCs w:val="20"/>
                <w:color w:val="auto"/>
              </w:rPr>
            </w:pPr>
            <w:r>
              <w:rPr>
                <w:rFonts w:ascii="Arial" w:cs="Arial" w:eastAsia="Arial" w:hAnsi="Arial"/>
                <w:sz w:val="17"/>
                <w:szCs w:val="17"/>
                <w:color w:val="00A0DE"/>
              </w:rPr>
              <w:t>●</w:t>
            </w:r>
          </w:p>
        </w:tc>
        <w:tc>
          <w:tcPr>
            <w:tcW w:w="3140" w:type="dxa"/>
            <w:vAlign w:val="bottom"/>
            <w:tcBorders>
              <w:right w:val="single" w:sz="8" w:color="69BCEB"/>
            </w:tcBorders>
            <w:gridSpan w:val="2"/>
          </w:tcPr>
          <w:p>
            <w:pPr>
              <w:ind w:left="80"/>
              <w:spacing w:after="0"/>
              <w:rPr>
                <w:sz w:val="20"/>
                <w:szCs w:val="20"/>
                <w:color w:val="auto"/>
              </w:rPr>
            </w:pPr>
            <w:r>
              <w:rPr>
                <w:rFonts w:ascii="Arial" w:cs="Arial" w:eastAsia="Arial" w:hAnsi="Arial"/>
                <w:sz w:val="17"/>
                <w:szCs w:val="17"/>
                <w:color w:val="auto"/>
              </w:rPr>
              <w:t>Company Culture</w:t>
            </w:r>
          </w:p>
        </w:tc>
        <w:tc>
          <w:tcPr>
            <w:tcW w:w="20" w:type="dxa"/>
            <w:vAlign w:val="bottom"/>
            <w:shd w:val="clear" w:color="auto" w:fill="69BCEB"/>
          </w:tcPr>
          <w:p>
            <w:pPr>
              <w:spacing w:after="0"/>
              <w:rPr>
                <w:sz w:val="22"/>
                <w:szCs w:val="22"/>
                <w:color w:val="auto"/>
              </w:rPr>
            </w:pPr>
          </w:p>
        </w:tc>
      </w:tr>
      <w:tr>
        <w:trPr>
          <w:trHeight w:val="159"/>
        </w:trPr>
        <w:tc>
          <w:tcPr>
            <w:tcW w:w="380" w:type="dxa"/>
            <w:vAlign w:val="bottom"/>
            <w:tcBorders>
              <w:left w:val="single" w:sz="8" w:color="00A0DE"/>
              <w:bottom w:val="single" w:sz="8" w:color="00A0DE"/>
            </w:tcBorders>
          </w:tcPr>
          <w:p>
            <w:pPr>
              <w:spacing w:after="0"/>
              <w:rPr>
                <w:sz w:val="13"/>
                <w:szCs w:val="13"/>
                <w:color w:val="auto"/>
              </w:rPr>
            </w:pPr>
          </w:p>
        </w:tc>
        <w:tc>
          <w:tcPr>
            <w:tcW w:w="1360" w:type="dxa"/>
            <w:vAlign w:val="bottom"/>
            <w:tcBorders>
              <w:bottom w:val="single" w:sz="8" w:color="00A0DE"/>
            </w:tcBorders>
          </w:tcPr>
          <w:p>
            <w:pPr>
              <w:spacing w:after="0"/>
              <w:rPr>
                <w:sz w:val="13"/>
                <w:szCs w:val="13"/>
                <w:color w:val="auto"/>
              </w:rPr>
            </w:pPr>
          </w:p>
        </w:tc>
        <w:tc>
          <w:tcPr>
            <w:tcW w:w="1740" w:type="dxa"/>
            <w:vAlign w:val="bottom"/>
            <w:tcBorders>
              <w:bottom w:val="single" w:sz="8" w:color="00A0DE"/>
              <w:right w:val="single" w:sz="8" w:color="00A0DE"/>
            </w:tcBorders>
          </w:tcPr>
          <w:p>
            <w:pPr>
              <w:spacing w:after="0"/>
              <w:rPr>
                <w:sz w:val="13"/>
                <w:szCs w:val="13"/>
                <w:color w:val="auto"/>
              </w:rPr>
            </w:pPr>
          </w:p>
        </w:tc>
        <w:tc>
          <w:tcPr>
            <w:tcW w:w="380" w:type="dxa"/>
            <w:vAlign w:val="bottom"/>
            <w:tcBorders>
              <w:right w:val="single" w:sz="8" w:color="69BCEB"/>
            </w:tcBorders>
          </w:tcPr>
          <w:p>
            <w:pPr>
              <w:spacing w:after="0"/>
              <w:rPr>
                <w:sz w:val="13"/>
                <w:szCs w:val="13"/>
                <w:color w:val="auto"/>
              </w:rPr>
            </w:pPr>
          </w:p>
        </w:tc>
        <w:tc>
          <w:tcPr>
            <w:tcW w:w="360" w:type="dxa"/>
            <w:vAlign w:val="bottom"/>
            <w:tcBorders>
              <w:bottom w:val="single" w:sz="8" w:color="69BCEB"/>
            </w:tcBorders>
          </w:tcPr>
          <w:p>
            <w:pPr>
              <w:spacing w:after="0"/>
              <w:rPr>
                <w:sz w:val="13"/>
                <w:szCs w:val="13"/>
                <w:color w:val="auto"/>
              </w:rPr>
            </w:pPr>
          </w:p>
        </w:tc>
        <w:tc>
          <w:tcPr>
            <w:tcW w:w="1400" w:type="dxa"/>
            <w:vAlign w:val="bottom"/>
            <w:tcBorders>
              <w:bottom w:val="single" w:sz="8" w:color="69BCEB"/>
            </w:tcBorders>
          </w:tcPr>
          <w:p>
            <w:pPr>
              <w:spacing w:after="0"/>
              <w:rPr>
                <w:sz w:val="13"/>
                <w:szCs w:val="13"/>
                <w:color w:val="auto"/>
              </w:rPr>
            </w:pPr>
          </w:p>
        </w:tc>
        <w:tc>
          <w:tcPr>
            <w:tcW w:w="1720" w:type="dxa"/>
            <w:vAlign w:val="bottom"/>
            <w:tcBorders>
              <w:bottom w:val="single" w:sz="8" w:color="69BCEB"/>
              <w:right w:val="single" w:sz="8" w:color="69BCEB"/>
            </w:tcBorders>
          </w:tcPr>
          <w:p>
            <w:pPr>
              <w:spacing w:after="0"/>
              <w:rPr>
                <w:sz w:val="13"/>
                <w:szCs w:val="13"/>
                <w:color w:val="auto"/>
              </w:rPr>
            </w:pPr>
          </w:p>
        </w:tc>
        <w:tc>
          <w:tcPr>
            <w:tcW w:w="400" w:type="dxa"/>
            <w:vAlign w:val="bottom"/>
            <w:tcBorders>
              <w:left w:val="single" w:sz="8" w:color="69BCEB"/>
              <w:right w:val="single" w:sz="8" w:color="69BCEB"/>
            </w:tcBorders>
          </w:tcPr>
          <w:p>
            <w:pPr>
              <w:spacing w:after="0"/>
              <w:rPr>
                <w:sz w:val="13"/>
                <w:szCs w:val="13"/>
                <w:color w:val="auto"/>
              </w:rPr>
            </w:pPr>
          </w:p>
        </w:tc>
        <w:tc>
          <w:tcPr>
            <w:tcW w:w="360" w:type="dxa"/>
            <w:vAlign w:val="bottom"/>
            <w:tcBorders>
              <w:bottom w:val="single" w:sz="8" w:color="69BCEB"/>
            </w:tcBorders>
          </w:tcPr>
          <w:p>
            <w:pPr>
              <w:spacing w:after="0"/>
              <w:rPr>
                <w:sz w:val="13"/>
                <w:szCs w:val="13"/>
                <w:color w:val="auto"/>
              </w:rPr>
            </w:pPr>
          </w:p>
        </w:tc>
        <w:tc>
          <w:tcPr>
            <w:tcW w:w="1400" w:type="dxa"/>
            <w:vAlign w:val="bottom"/>
            <w:tcBorders>
              <w:bottom w:val="single" w:sz="8" w:color="69BCEB"/>
            </w:tcBorders>
          </w:tcPr>
          <w:p>
            <w:pPr>
              <w:spacing w:after="0"/>
              <w:rPr>
                <w:sz w:val="13"/>
                <w:szCs w:val="13"/>
                <w:color w:val="auto"/>
              </w:rPr>
            </w:pPr>
          </w:p>
        </w:tc>
        <w:tc>
          <w:tcPr>
            <w:tcW w:w="1740" w:type="dxa"/>
            <w:vAlign w:val="bottom"/>
            <w:tcBorders>
              <w:bottom w:val="single" w:sz="8" w:color="69BCEB"/>
              <w:right w:val="single" w:sz="8" w:color="69BCEB"/>
            </w:tcBorders>
          </w:tcPr>
          <w:p>
            <w:pPr>
              <w:spacing w:after="0"/>
              <w:rPr>
                <w:sz w:val="13"/>
                <w:szCs w:val="13"/>
                <w:color w:val="auto"/>
              </w:rPr>
            </w:pPr>
          </w:p>
        </w:tc>
        <w:tc>
          <w:tcPr>
            <w:tcW w:w="20" w:type="dxa"/>
            <w:vAlign w:val="bottom"/>
            <w:tcBorders>
              <w:bottom w:val="single" w:sz="8" w:color="69BCEB"/>
            </w:tcBorders>
            <w:shd w:val="clear" w:color="auto" w:fill="69BCEB"/>
          </w:tcPr>
          <w:p>
            <w:pPr>
              <w:spacing w:after="0"/>
              <w:rPr>
                <w:sz w:val="13"/>
                <w:szCs w:val="13"/>
                <w:color w:val="auto"/>
              </w:rPr>
            </w:pPr>
          </w:p>
        </w:tc>
      </w:tr>
    </w:tbl>
    <w:p>
      <w:pPr>
        <w:spacing w:after="0" w:line="88" w:lineRule="exact"/>
        <w:rPr>
          <w:sz w:val="20"/>
          <w:szCs w:val="20"/>
          <w:color w:val="auto"/>
        </w:rPr>
      </w:pPr>
    </w:p>
    <w:p>
      <w:pPr>
        <w:spacing w:after="0"/>
        <w:tabs>
          <w:tab w:leader="none" w:pos="200" w:val="left"/>
        </w:tabs>
        <w:rPr>
          <w:sz w:val="20"/>
          <w:szCs w:val="20"/>
          <w:color w:val="auto"/>
        </w:rPr>
      </w:pPr>
      <w:r>
        <w:rPr>
          <w:rFonts w:ascii="Arial" w:cs="Arial" w:eastAsia="Arial" w:hAnsi="Arial"/>
          <w:sz w:val="17"/>
          <w:szCs w:val="17"/>
          <w:i w:val="1"/>
          <w:iCs w:val="1"/>
          <w:color w:val="auto"/>
        </w:rPr>
        <w:t>*</w:t>
        <w:tab/>
        <w:t>Metrics are not individually weighted and are considered collectively on a holistic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Financial Metrics and Results</w:t>
      </w:r>
    </w:p>
    <w:p>
      <w:pPr>
        <w:spacing w:after="0" w:line="208"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The performance ranges below were used as the financial performance metrics for the NEOs’ 2024 target bonus. Achievement for each financial metric would be zero if performance is below the minimum threshold of the metric’s range, with potential payouts ranging from 14% if achievement for each financial metric is at the bottom of the range to a maximum of 140% if achievement for each is at the top of the range. See “2024 Performance Overview” above for a description of our strong financial performance in 2024.</w:t>
      </w:r>
    </w:p>
    <w:p>
      <w:pPr>
        <w:spacing w:after="0" w:line="177"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Performance ranges were based on meeting our enterprise-wide consolidated operating budget, which takes into account the cyclicality of working capital, capital spending plans for the upcoming year, target product rollout numbers and other relevant factors.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80" w:type="dxa"/>
            <w:vAlign w:val="bottom"/>
          </w:tcPr>
          <w:p>
            <w:pPr>
              <w:spacing w:after="0"/>
              <w:rPr>
                <w:sz w:val="16"/>
                <w:szCs w:val="16"/>
                <w:color w:val="auto"/>
              </w:rPr>
            </w:pPr>
          </w:p>
        </w:tc>
        <w:tc>
          <w:tcPr>
            <w:tcW w:w="50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2024 PERFORMANCE</w:t>
            </w:r>
          </w:p>
        </w:tc>
        <w:tc>
          <w:tcPr>
            <w:tcW w:w="1520" w:type="dxa"/>
            <w:vAlign w:val="bottom"/>
          </w:tcPr>
          <w:p>
            <w:pPr>
              <w:spacing w:after="0"/>
              <w:rPr>
                <w:sz w:val="16"/>
                <w:szCs w:val="16"/>
                <w:color w:val="auto"/>
              </w:rPr>
            </w:pPr>
          </w:p>
        </w:tc>
      </w:tr>
      <w:tr>
        <w:trPr>
          <w:trHeight w:val="204"/>
        </w:trPr>
        <w:tc>
          <w:tcPr>
            <w:tcW w:w="4680" w:type="dxa"/>
            <w:vAlign w:val="bottom"/>
          </w:tcPr>
          <w:p>
            <w:pPr>
              <w:spacing w:after="0"/>
              <w:rPr>
                <w:sz w:val="17"/>
                <w:szCs w:val="17"/>
                <w:color w:val="auto"/>
              </w:rPr>
            </w:pPr>
          </w:p>
        </w:tc>
        <w:tc>
          <w:tcPr>
            <w:tcW w:w="5040" w:type="dxa"/>
            <w:vAlign w:val="bottom"/>
            <w:gridSpan w:val="2"/>
          </w:tcPr>
          <w:p>
            <w:pPr>
              <w:jc w:val="right"/>
              <w:ind w:right="19"/>
              <w:spacing w:after="0" w:line="203" w:lineRule="exact"/>
              <w:rPr>
                <w:sz w:val="20"/>
                <w:szCs w:val="20"/>
                <w:color w:val="auto"/>
              </w:rPr>
            </w:pPr>
            <w:r>
              <w:rPr>
                <w:rFonts w:ascii="Arial" w:cs="Arial" w:eastAsia="Arial" w:hAnsi="Arial"/>
                <w:sz w:val="15"/>
                <w:szCs w:val="15"/>
                <w:b w:val="1"/>
                <w:bCs w:val="1"/>
                <w:color w:val="auto"/>
              </w:rPr>
              <w:t>RANGE</w:t>
            </w:r>
            <w:r>
              <w:rPr>
                <w:rFonts w:ascii="Arial" w:cs="Arial" w:eastAsia="Arial" w:hAnsi="Arial"/>
                <w:sz w:val="23"/>
                <w:szCs w:val="23"/>
                <w:b w:val="1"/>
                <w:bCs w:val="1"/>
                <w:color w:val="auto"/>
                <w:vertAlign w:val="superscript"/>
              </w:rPr>
              <w:t>(1)</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2024 ACTUAL</w:t>
            </w:r>
          </w:p>
        </w:tc>
      </w:tr>
      <w:tr>
        <w:trPr>
          <w:trHeight w:val="257"/>
        </w:trPr>
        <w:tc>
          <w:tcPr>
            <w:tcW w:w="4680" w:type="dxa"/>
            <w:vAlign w:val="bottom"/>
            <w:tcBorders>
              <w:bottom w:val="single" w:sz="8" w:color="auto"/>
            </w:tcBorders>
          </w:tcPr>
          <w:p>
            <w:pPr>
              <w:spacing w:after="0"/>
              <w:rPr>
                <w:sz w:val="22"/>
                <w:szCs w:val="22"/>
                <w:color w:val="auto"/>
              </w:rPr>
            </w:pPr>
          </w:p>
        </w:tc>
        <w:tc>
          <w:tcPr>
            <w:tcW w:w="50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 IN BILLIONS)</w:t>
            </w:r>
          </w:p>
        </w:tc>
        <w:tc>
          <w:tcPr>
            <w:tcW w:w="1520" w:type="dxa"/>
            <w:vAlign w:val="bottom"/>
            <w:tcBorders>
              <w:bottom w:val="single" w:sz="8" w:color="auto"/>
            </w:tcBorders>
          </w:tcPr>
          <w:p>
            <w:pPr>
              <w:jc w:val="right"/>
              <w:spacing w:after="0" w:line="256" w:lineRule="exact"/>
              <w:rPr>
                <w:sz w:val="20"/>
                <w:szCs w:val="20"/>
                <w:color w:val="auto"/>
              </w:rPr>
            </w:pPr>
            <w:r>
              <w:rPr>
                <w:rFonts w:ascii="Arial" w:cs="Arial" w:eastAsia="Arial" w:hAnsi="Arial"/>
                <w:sz w:val="16"/>
                <w:szCs w:val="16"/>
                <w:b w:val="1"/>
                <w:bCs w:val="1"/>
                <w:color w:val="auto"/>
              </w:rPr>
              <w:t>ACHIEVEMENT</w:t>
            </w:r>
            <w:r>
              <w:rPr>
                <w:rFonts w:ascii="Arial" w:cs="Arial" w:eastAsia="Arial" w:hAnsi="Arial"/>
                <w:sz w:val="26"/>
                <w:szCs w:val="26"/>
                <w:b w:val="1"/>
                <w:bCs w:val="1"/>
                <w:color w:val="auto"/>
                <w:vertAlign w:val="superscript"/>
              </w:rPr>
              <w:t>(2)</w:t>
            </w:r>
          </w:p>
        </w:tc>
      </w:tr>
      <w:tr>
        <w:trPr>
          <w:trHeight w:val="233"/>
        </w:trPr>
        <w:tc>
          <w:tcPr>
            <w:tcW w:w="4680" w:type="dxa"/>
            <w:vAlign w:val="bottom"/>
            <w:tcBorders>
              <w:bottom w:val="single" w:sz="8" w:color="DCDDDE"/>
            </w:tcBorders>
          </w:tcPr>
          <w:p>
            <w:pPr>
              <w:ind w:left="80"/>
              <w:spacing w:after="0"/>
              <w:rPr>
                <w:sz w:val="20"/>
                <w:szCs w:val="20"/>
                <w:color w:val="auto"/>
              </w:rPr>
            </w:pPr>
            <w:r>
              <w:rPr>
                <w:rFonts w:ascii="Arial" w:cs="Arial" w:eastAsia="Arial" w:hAnsi="Arial"/>
                <w:sz w:val="16"/>
                <w:szCs w:val="16"/>
                <w:b w:val="1"/>
                <w:bCs w:val="1"/>
                <w:color w:val="auto"/>
              </w:rPr>
              <w:t>Adjusted EBITDA</w:t>
            </w:r>
          </w:p>
        </w:tc>
        <w:tc>
          <w:tcPr>
            <w:tcW w:w="4280" w:type="dxa"/>
            <w:vAlign w:val="bottom"/>
            <w:tcBorders>
              <w:bottom w:val="single" w:sz="8" w:color="DCDDDE"/>
            </w:tcBorders>
          </w:tcPr>
          <w:p>
            <w:pPr>
              <w:jc w:val="right"/>
              <w:spacing w:after="0"/>
              <w:rPr>
                <w:sz w:val="20"/>
                <w:szCs w:val="20"/>
                <w:color w:val="auto"/>
              </w:rPr>
            </w:pPr>
            <w:r>
              <w:rPr>
                <w:rFonts w:ascii="Arial" w:cs="Arial" w:eastAsia="Arial" w:hAnsi="Arial"/>
                <w:sz w:val="16"/>
                <w:szCs w:val="16"/>
                <w:color w:val="auto"/>
              </w:rPr>
              <w:t>36.598</w:t>
            </w:r>
          </w:p>
        </w:tc>
        <w:tc>
          <w:tcPr>
            <w:tcW w:w="760" w:type="dxa"/>
            <w:vAlign w:val="bottom"/>
            <w:tcBorders>
              <w:bottom w:val="single" w:sz="8" w:color="DCDDDE"/>
            </w:tcBorders>
          </w:tcPr>
          <w:p>
            <w:pPr>
              <w:jc w:val="right"/>
              <w:ind w:right="19"/>
              <w:spacing w:after="0"/>
              <w:rPr>
                <w:sz w:val="20"/>
                <w:szCs w:val="20"/>
                <w:color w:val="auto"/>
              </w:rPr>
            </w:pPr>
            <w:r>
              <w:rPr>
                <w:rFonts w:ascii="Arial" w:cs="Arial" w:eastAsia="Arial" w:hAnsi="Arial"/>
                <w:sz w:val="16"/>
                <w:szCs w:val="16"/>
                <w:color w:val="auto"/>
              </w:rPr>
              <w:t>– 42.378</w:t>
            </w:r>
          </w:p>
        </w:tc>
        <w:tc>
          <w:tcPr>
            <w:tcW w:w="1520" w:type="dxa"/>
            <w:vAlign w:val="bottom"/>
            <w:tcBorders>
              <w:bottom w:val="single" w:sz="8" w:color="DCDDDE"/>
            </w:tcBorders>
          </w:tcPr>
          <w:p>
            <w:pPr>
              <w:jc w:val="right"/>
              <w:spacing w:after="0"/>
              <w:rPr>
                <w:sz w:val="20"/>
                <w:szCs w:val="20"/>
                <w:color w:val="auto"/>
              </w:rPr>
            </w:pPr>
            <w:r>
              <w:rPr>
                <w:rFonts w:ascii="Arial" w:cs="Arial" w:eastAsia="Arial" w:hAnsi="Arial"/>
                <w:sz w:val="16"/>
                <w:szCs w:val="16"/>
                <w:color w:val="auto"/>
              </w:rPr>
              <w:t>33%</w:t>
            </w:r>
          </w:p>
        </w:tc>
      </w:tr>
      <w:tr>
        <w:trPr>
          <w:trHeight w:val="250"/>
        </w:trPr>
        <w:tc>
          <w:tcPr>
            <w:tcW w:w="4680" w:type="dxa"/>
            <w:vAlign w:val="bottom"/>
            <w:tcBorders>
              <w:bottom w:val="single" w:sz="8" w:color="DCDDDE"/>
            </w:tcBorders>
          </w:tcPr>
          <w:p>
            <w:pPr>
              <w:ind w:left="80"/>
              <w:spacing w:after="0"/>
              <w:rPr>
                <w:sz w:val="20"/>
                <w:szCs w:val="20"/>
                <w:color w:val="auto"/>
              </w:rPr>
            </w:pPr>
            <w:r>
              <w:rPr>
                <w:rFonts w:ascii="Arial" w:cs="Arial" w:eastAsia="Arial" w:hAnsi="Arial"/>
                <w:sz w:val="16"/>
                <w:szCs w:val="16"/>
                <w:b w:val="1"/>
                <w:bCs w:val="1"/>
                <w:color w:val="auto"/>
              </w:rPr>
              <w:t>Free Cash Flow</w:t>
            </w:r>
          </w:p>
        </w:tc>
        <w:tc>
          <w:tcPr>
            <w:tcW w:w="4280" w:type="dxa"/>
            <w:vAlign w:val="bottom"/>
            <w:tcBorders>
              <w:bottom w:val="single" w:sz="8" w:color="DCDDDE"/>
            </w:tcBorders>
          </w:tcPr>
          <w:p>
            <w:pPr>
              <w:jc w:val="right"/>
              <w:spacing w:after="0"/>
              <w:rPr>
                <w:sz w:val="20"/>
                <w:szCs w:val="20"/>
                <w:color w:val="auto"/>
              </w:rPr>
            </w:pPr>
            <w:r>
              <w:rPr>
                <w:rFonts w:ascii="Arial" w:cs="Arial" w:eastAsia="Arial" w:hAnsi="Arial"/>
                <w:sz w:val="16"/>
                <w:szCs w:val="16"/>
                <w:color w:val="auto"/>
              </w:rPr>
              <w:t>11.585</w:t>
            </w:r>
          </w:p>
        </w:tc>
        <w:tc>
          <w:tcPr>
            <w:tcW w:w="760" w:type="dxa"/>
            <w:vAlign w:val="bottom"/>
            <w:tcBorders>
              <w:bottom w:val="single" w:sz="8" w:color="DCDDDE"/>
            </w:tcBorders>
          </w:tcPr>
          <w:p>
            <w:pPr>
              <w:jc w:val="right"/>
              <w:ind w:right="19"/>
              <w:spacing w:after="0"/>
              <w:rPr>
                <w:sz w:val="20"/>
                <w:szCs w:val="20"/>
                <w:color w:val="auto"/>
              </w:rPr>
            </w:pPr>
            <w:r>
              <w:rPr>
                <w:rFonts w:ascii="Arial" w:cs="Arial" w:eastAsia="Arial" w:hAnsi="Arial"/>
                <w:sz w:val="16"/>
                <w:szCs w:val="16"/>
                <w:color w:val="auto"/>
              </w:rPr>
              <w:t>– 17.719</w:t>
            </w:r>
          </w:p>
        </w:tc>
        <w:tc>
          <w:tcPr>
            <w:tcW w:w="1520" w:type="dxa"/>
            <w:vAlign w:val="bottom"/>
            <w:tcBorders>
              <w:bottom w:val="single" w:sz="8" w:color="DCDDDE"/>
            </w:tcBorders>
          </w:tcPr>
          <w:p>
            <w:pPr>
              <w:jc w:val="right"/>
              <w:spacing w:after="0"/>
              <w:rPr>
                <w:sz w:val="20"/>
                <w:szCs w:val="20"/>
                <w:color w:val="auto"/>
              </w:rPr>
            </w:pPr>
            <w:r>
              <w:rPr>
                <w:rFonts w:ascii="Arial" w:cs="Arial" w:eastAsia="Arial" w:hAnsi="Arial"/>
                <w:sz w:val="16"/>
                <w:szCs w:val="16"/>
                <w:color w:val="auto"/>
              </w:rPr>
              <w:t>37%</w:t>
            </w:r>
          </w:p>
        </w:tc>
      </w:tr>
      <w:tr>
        <w:trPr>
          <w:trHeight w:val="237"/>
        </w:trPr>
        <w:tc>
          <w:tcPr>
            <w:tcW w:w="4680" w:type="dxa"/>
            <w:vAlign w:val="bottom"/>
            <w:tcBorders>
              <w:bottom w:val="single" w:sz="8" w:color="DCDDDE"/>
            </w:tcBorders>
          </w:tcPr>
          <w:p>
            <w:pPr>
              <w:ind w:left="80"/>
              <w:spacing w:after="0"/>
              <w:rPr>
                <w:sz w:val="20"/>
                <w:szCs w:val="20"/>
                <w:color w:val="auto"/>
              </w:rPr>
            </w:pPr>
            <w:r>
              <w:rPr>
                <w:rFonts w:ascii="Arial" w:cs="Arial" w:eastAsia="Arial" w:hAnsi="Arial"/>
                <w:sz w:val="16"/>
                <w:szCs w:val="16"/>
                <w:b w:val="1"/>
                <w:bCs w:val="1"/>
                <w:color w:val="auto"/>
              </w:rPr>
              <w:t>Revenue</w:t>
            </w:r>
          </w:p>
        </w:tc>
        <w:tc>
          <w:tcPr>
            <w:tcW w:w="5040" w:type="dxa"/>
            <w:vAlign w:val="bottom"/>
            <w:tcBorders>
              <w:bottom w:val="single" w:sz="8" w:color="DCDDDE"/>
            </w:tcBorders>
            <w:gridSpan w:val="2"/>
          </w:tcPr>
          <w:p>
            <w:pPr>
              <w:jc w:val="right"/>
              <w:ind w:right="19"/>
              <w:spacing w:after="0"/>
              <w:rPr>
                <w:sz w:val="20"/>
                <w:szCs w:val="20"/>
                <w:color w:val="auto"/>
              </w:rPr>
            </w:pPr>
            <w:r>
              <w:rPr>
                <w:rFonts w:ascii="Arial" w:cs="Arial" w:eastAsia="Arial" w:hAnsi="Arial"/>
                <w:sz w:val="16"/>
                <w:szCs w:val="16"/>
                <w:color w:val="auto"/>
              </w:rPr>
              <w:t>119.212 – 138.036</w:t>
            </w:r>
          </w:p>
        </w:tc>
        <w:tc>
          <w:tcPr>
            <w:tcW w:w="1520" w:type="dxa"/>
            <w:vAlign w:val="bottom"/>
            <w:tcBorders>
              <w:bottom w:val="single" w:sz="8" w:color="DCDDDE"/>
            </w:tcBorders>
          </w:tcPr>
          <w:p>
            <w:pPr>
              <w:jc w:val="right"/>
              <w:spacing w:after="0"/>
              <w:rPr>
                <w:sz w:val="20"/>
                <w:szCs w:val="20"/>
                <w:color w:val="auto"/>
              </w:rPr>
            </w:pPr>
            <w:r>
              <w:rPr>
                <w:rFonts w:ascii="Arial" w:cs="Arial" w:eastAsia="Arial" w:hAnsi="Arial"/>
                <w:sz w:val="16"/>
                <w:szCs w:val="16"/>
                <w:color w:val="auto"/>
              </w:rPr>
              <w:t>9%</w:t>
            </w:r>
          </w:p>
        </w:tc>
      </w:tr>
      <w:tr>
        <w:trPr>
          <w:trHeight w:val="236"/>
        </w:trPr>
        <w:tc>
          <w:tcPr>
            <w:tcW w:w="46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w:t>
            </w:r>
          </w:p>
        </w:tc>
        <w:tc>
          <w:tcPr>
            <w:tcW w:w="4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bl>
    <w:p>
      <w:pPr>
        <w:spacing w:after="0" w:line="64" w:lineRule="exact"/>
        <w:rPr>
          <w:sz w:val="20"/>
          <w:szCs w:val="20"/>
          <w:color w:val="auto"/>
        </w:rPr>
      </w:pPr>
    </w:p>
    <w:p>
      <w:pPr>
        <w:ind w:left="420" w:hanging="412"/>
        <w:spacing w:after="0"/>
        <w:tabs>
          <w:tab w:leader="none" w:pos="420" w:val="left"/>
        </w:tabs>
        <w:numPr>
          <w:ilvl w:val="0"/>
          <w:numId w:val="65"/>
        </w:numPr>
        <w:rPr>
          <w:rFonts w:ascii="Arial" w:cs="Arial" w:eastAsia="Arial" w:hAnsi="Arial"/>
          <w:sz w:val="13"/>
          <w:szCs w:val="13"/>
          <w:color w:val="auto"/>
        </w:rPr>
      </w:pPr>
      <w:r>
        <w:rPr>
          <w:rFonts w:ascii="Arial" w:cs="Arial" w:eastAsia="Arial" w:hAnsi="Arial"/>
          <w:sz w:val="15"/>
          <w:szCs w:val="15"/>
          <w:color w:val="auto"/>
        </w:rPr>
        <w:t>Amounts reflected are on a consolidated basis and have been adjusted to reflect Sky results on a constant currency basis.</w:t>
      </w:r>
    </w:p>
    <w:p>
      <w:pPr>
        <w:spacing w:after="0" w:line="70" w:lineRule="exact"/>
        <w:rPr>
          <w:rFonts w:ascii="Arial" w:cs="Arial" w:eastAsia="Arial" w:hAnsi="Arial"/>
          <w:sz w:val="13"/>
          <w:szCs w:val="13"/>
          <w:color w:val="auto"/>
        </w:rPr>
      </w:pPr>
    </w:p>
    <w:p>
      <w:pPr>
        <w:ind w:left="420" w:right="280" w:hanging="412"/>
        <w:spacing w:after="0" w:line="244" w:lineRule="auto"/>
        <w:tabs>
          <w:tab w:leader="none" w:pos="420" w:val="left"/>
        </w:tabs>
        <w:numPr>
          <w:ilvl w:val="0"/>
          <w:numId w:val="65"/>
        </w:numPr>
        <w:rPr>
          <w:rFonts w:ascii="Arial" w:cs="Arial" w:eastAsia="Arial" w:hAnsi="Arial"/>
          <w:sz w:val="13"/>
          <w:szCs w:val="13"/>
          <w:color w:val="auto"/>
        </w:rPr>
      </w:pPr>
      <w:r>
        <w:rPr>
          <w:rFonts w:ascii="Arial" w:cs="Arial" w:eastAsia="Arial" w:hAnsi="Arial"/>
          <w:sz w:val="15"/>
          <w:szCs w:val="15"/>
          <w:color w:val="auto"/>
        </w:rPr>
        <w:t>Achievement percentages are interpolated between specified achievement levels and are presented based on the maximum weighted levels of achievement described in the section immediately above (i.e., achievement of the target performance for the three metrics would total 70% (Adjusted EBITDA: 35%; free cash flow: 25%; and revenue: 10%)).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31</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60"/>
          </w:cols>
          <w:pgMar w:left="320" w:top="121"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Operating Performance Goals and Results</w:t>
      </w:r>
    </w:p>
    <w:p>
      <w:pPr>
        <w:spacing w:after="0" w:line="208"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Compensation Committee established operating performance goals in February 2024 that accounted for 15% of the 2024 target annual bonus, with potential payouts ranging from 0% to 30%. The Compensation Committee determined that achievement against these goals was 15% based on both quantifiable outcomes and a holistic evaluation of the NEOs’ performance, collectively and individually. The goals and related considerations for each of the operating goals are described below. Certain details about the performance of our operating goals are not disclosed due to competitive concerns.</w:t>
      </w:r>
    </w:p>
    <w:p>
      <w:pPr>
        <w:spacing w:after="0" w:line="207" w:lineRule="exact"/>
        <w:rPr>
          <w:sz w:val="20"/>
          <w:szCs w:val="20"/>
          <w:color w:val="auto"/>
        </w:rPr>
      </w:pPr>
    </w:p>
    <w:p>
      <w:pPr>
        <w:ind w:left="80"/>
        <w:spacing w:after="0"/>
        <w:tabs>
          <w:tab w:leader="none" w:pos="2580" w:val="left"/>
        </w:tabs>
        <w:rPr>
          <w:sz w:val="20"/>
          <w:szCs w:val="20"/>
          <w:color w:val="auto"/>
        </w:rPr>
      </w:pPr>
      <w:r>
        <w:rPr>
          <w:rFonts w:ascii="Arial" w:cs="Arial" w:eastAsia="Arial" w:hAnsi="Arial"/>
          <w:sz w:val="17"/>
          <w:szCs w:val="17"/>
          <w:b w:val="1"/>
          <w:bCs w:val="1"/>
          <w:color w:val="auto"/>
        </w:rPr>
        <w:t>GOALS</w:t>
      </w:r>
      <w:r>
        <w:rPr>
          <w:sz w:val="20"/>
          <w:szCs w:val="20"/>
          <w:color w:val="auto"/>
        </w:rPr>
        <w:tab/>
      </w:r>
      <w:r>
        <w:rPr>
          <w:rFonts w:ascii="Arial" w:cs="Arial" w:eastAsia="Arial" w:hAnsi="Arial"/>
          <w:sz w:val="17"/>
          <w:szCs w:val="17"/>
          <w:b w:val="1"/>
          <w:bCs w:val="1"/>
          <w:color w:val="auto"/>
        </w:rPr>
        <w:t>2024 OPERATING PERFORMANCE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6459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spacing w:after="0" w:line="82" w:lineRule="exact"/>
        <w:rPr>
          <w:sz w:val="20"/>
          <w:szCs w:val="20"/>
          <w:color w:val="auto"/>
        </w:rPr>
      </w:pPr>
    </w:p>
    <w:p>
      <w:pPr>
        <w:ind w:left="80"/>
        <w:spacing w:after="0"/>
        <w:tabs>
          <w:tab w:leader="none" w:pos="2580" w:val="left"/>
        </w:tabs>
        <w:rPr>
          <w:sz w:val="20"/>
          <w:szCs w:val="20"/>
          <w:color w:val="auto"/>
        </w:rPr>
      </w:pPr>
      <w:r>
        <w:rPr>
          <w:rFonts w:ascii="Arial" w:cs="Arial" w:eastAsia="Arial" w:hAnsi="Arial"/>
          <w:sz w:val="17"/>
          <w:szCs w:val="17"/>
          <w:b w:val="1"/>
          <w:bCs w:val="1"/>
          <w:color w:val="auto"/>
        </w:rPr>
        <w:t>Alignment with Long Range</w:t>
      </w:r>
      <w:r>
        <w:rPr>
          <w:sz w:val="20"/>
          <w:szCs w:val="20"/>
          <w:color w:val="auto"/>
        </w:rPr>
        <w:tab/>
      </w:r>
      <w:r>
        <w:rPr>
          <w:rFonts w:ascii="Arial" w:cs="Arial" w:eastAsia="Arial" w:hAnsi="Arial"/>
          <w:sz w:val="17"/>
          <w:szCs w:val="17"/>
          <w:color w:val="auto"/>
        </w:rPr>
        <w:t>In 2024, we made progress towards achieving goals in our long range strategic plans around our key growth</w:t>
      </w:r>
    </w:p>
    <w:p>
      <w:pPr>
        <w:spacing w:after="0" w:line="10" w:lineRule="exact"/>
        <w:rPr>
          <w:sz w:val="20"/>
          <w:szCs w:val="20"/>
          <w:color w:val="auto"/>
        </w:rPr>
      </w:pPr>
    </w:p>
    <w:p>
      <w:pPr>
        <w:ind w:left="80"/>
        <w:spacing w:after="0"/>
        <w:tabs>
          <w:tab w:leader="none" w:pos="2580" w:val="left"/>
        </w:tabs>
        <w:rPr>
          <w:sz w:val="20"/>
          <w:szCs w:val="20"/>
          <w:color w:val="auto"/>
        </w:rPr>
      </w:pPr>
      <w:r>
        <w:rPr>
          <w:rFonts w:ascii="Arial" w:cs="Arial" w:eastAsia="Arial" w:hAnsi="Arial"/>
          <w:sz w:val="17"/>
          <w:szCs w:val="17"/>
          <w:b w:val="1"/>
          <w:bCs w:val="1"/>
          <w:color w:val="auto"/>
        </w:rPr>
        <w:t>Plans</w:t>
      </w:r>
      <w:r>
        <w:rPr>
          <w:sz w:val="20"/>
          <w:szCs w:val="20"/>
          <w:color w:val="auto"/>
        </w:rPr>
        <w:tab/>
      </w:r>
      <w:r>
        <w:rPr>
          <w:rFonts w:ascii="Arial" w:cs="Arial" w:eastAsia="Arial" w:hAnsi="Arial"/>
          <w:sz w:val="17"/>
          <w:szCs w:val="17"/>
          <w:color w:val="auto"/>
        </w:rPr>
        <w:t>drivers and in managing our operations in light of an intensely competitive environment:</w:t>
      </w:r>
    </w:p>
    <w:p>
      <w:pPr>
        <w:spacing w:after="0" w:line="45" w:lineRule="exact"/>
        <w:rPr>
          <w:sz w:val="20"/>
          <w:szCs w:val="20"/>
          <w:color w:val="auto"/>
        </w:rPr>
      </w:pPr>
    </w:p>
    <w:p>
      <w:pPr>
        <w:ind w:left="2880" w:right="480" w:hanging="271"/>
        <w:spacing w:after="0" w:line="249" w:lineRule="auto"/>
        <w:tabs>
          <w:tab w:leader="none" w:pos="2857" w:val="left"/>
        </w:tabs>
        <w:numPr>
          <w:ilvl w:val="0"/>
          <w:numId w:val="66"/>
        </w:numPr>
        <w:rPr>
          <w:rFonts w:ascii="Arial" w:cs="Arial" w:eastAsia="Arial" w:hAnsi="Arial"/>
          <w:sz w:val="17"/>
          <w:szCs w:val="17"/>
          <w:color w:val="00A0DD"/>
        </w:rPr>
      </w:pPr>
      <w:r>
        <w:rPr>
          <w:rFonts w:ascii="Arial" w:cs="Arial" w:eastAsia="Arial" w:hAnsi="Arial"/>
          <w:sz w:val="17"/>
          <w:szCs w:val="17"/>
          <w:color w:val="auto"/>
        </w:rPr>
        <w:t>Grew domestic broadband revenue by 2.9% and total residential connectivity revenue by 6.0% in our Residential Connectivity &amp; Platforms business, even with heightened competitive pressure on subscriber additions.</w:t>
      </w:r>
    </w:p>
    <w:p>
      <w:pPr>
        <w:spacing w:after="0" w:line="39" w:lineRule="exact"/>
        <w:rPr>
          <w:rFonts w:ascii="Arial" w:cs="Arial" w:eastAsia="Arial" w:hAnsi="Arial"/>
          <w:sz w:val="17"/>
          <w:szCs w:val="17"/>
          <w:color w:val="00A0DD"/>
        </w:rPr>
      </w:pPr>
    </w:p>
    <w:p>
      <w:pPr>
        <w:ind w:left="2840" w:hanging="231"/>
        <w:spacing w:after="0"/>
        <w:tabs>
          <w:tab w:leader="none" w:pos="2840" w:val="left"/>
        </w:tabs>
        <w:numPr>
          <w:ilvl w:val="0"/>
          <w:numId w:val="66"/>
        </w:numPr>
        <w:rPr>
          <w:rFonts w:ascii="Arial" w:cs="Arial" w:eastAsia="Arial" w:hAnsi="Arial"/>
          <w:sz w:val="17"/>
          <w:szCs w:val="17"/>
          <w:color w:val="00A0DD"/>
        </w:rPr>
      </w:pPr>
      <w:r>
        <w:rPr>
          <w:rFonts w:ascii="Arial" w:cs="Arial" w:eastAsia="Arial" w:hAnsi="Arial"/>
          <w:sz w:val="17"/>
          <w:szCs w:val="17"/>
          <w:color w:val="auto"/>
        </w:rPr>
        <w:t>Expanded our domestic wireless subscriber base by more than 1.2 million lines, growing revenue by 16.6%.</w:t>
      </w:r>
    </w:p>
    <w:p>
      <w:pPr>
        <w:spacing w:after="0" w:line="61" w:lineRule="exact"/>
        <w:rPr>
          <w:rFonts w:ascii="Arial" w:cs="Arial" w:eastAsia="Arial" w:hAnsi="Arial"/>
          <w:sz w:val="17"/>
          <w:szCs w:val="17"/>
          <w:color w:val="00A0DD"/>
        </w:rPr>
      </w:pPr>
    </w:p>
    <w:p>
      <w:pPr>
        <w:ind w:left="2840" w:hanging="231"/>
        <w:spacing w:after="0"/>
        <w:tabs>
          <w:tab w:leader="none" w:pos="2840" w:val="left"/>
        </w:tabs>
        <w:numPr>
          <w:ilvl w:val="0"/>
          <w:numId w:val="66"/>
        </w:numPr>
        <w:rPr>
          <w:rFonts w:ascii="Arial" w:cs="Arial" w:eastAsia="Arial" w:hAnsi="Arial"/>
          <w:sz w:val="17"/>
          <w:szCs w:val="17"/>
          <w:color w:val="00A0DD"/>
        </w:rPr>
      </w:pPr>
      <w:r>
        <w:rPr>
          <w:rFonts w:ascii="Arial" w:cs="Arial" w:eastAsia="Arial" w:hAnsi="Arial"/>
          <w:sz w:val="17"/>
          <w:szCs w:val="17"/>
          <w:color w:val="auto"/>
        </w:rPr>
        <w:t>Business Services Connectivity, a margin accretive business, grew Adjusted EBITDA by 3.9%.</w:t>
      </w:r>
    </w:p>
    <w:p>
      <w:pPr>
        <w:spacing w:after="0" w:line="61" w:lineRule="exact"/>
        <w:rPr>
          <w:rFonts w:ascii="Arial" w:cs="Arial" w:eastAsia="Arial" w:hAnsi="Arial"/>
          <w:sz w:val="17"/>
          <w:szCs w:val="17"/>
          <w:color w:val="00A0DD"/>
        </w:rPr>
      </w:pPr>
    </w:p>
    <w:p>
      <w:pPr>
        <w:ind w:left="2880" w:right="100" w:hanging="271"/>
        <w:spacing w:after="0" w:line="267" w:lineRule="auto"/>
        <w:tabs>
          <w:tab w:leader="none" w:pos="2857" w:val="left"/>
        </w:tabs>
        <w:numPr>
          <w:ilvl w:val="0"/>
          <w:numId w:val="66"/>
        </w:numPr>
        <w:rPr>
          <w:rFonts w:ascii="Arial" w:cs="Arial" w:eastAsia="Arial" w:hAnsi="Arial"/>
          <w:sz w:val="17"/>
          <w:szCs w:val="17"/>
          <w:color w:val="00A0DD"/>
        </w:rPr>
      </w:pPr>
      <w:r>
        <w:rPr>
          <w:rFonts w:ascii="Arial" w:cs="Arial" w:eastAsia="Arial" w:hAnsi="Arial"/>
          <w:sz w:val="17"/>
          <w:szCs w:val="17"/>
          <w:color w:val="auto"/>
        </w:rPr>
        <w:t>NBCUniversal’s studios’ Adjusted EBITDA grew by 10.7% and we achieved a nearly $1 billion improvement in Peacock losses.</w:t>
      </w:r>
    </w:p>
    <w:p>
      <w:pPr>
        <w:spacing w:after="0" w:line="24" w:lineRule="exact"/>
        <w:rPr>
          <w:rFonts w:ascii="Arial" w:cs="Arial" w:eastAsia="Arial" w:hAnsi="Arial"/>
          <w:sz w:val="17"/>
          <w:szCs w:val="17"/>
          <w:color w:val="00A0DD"/>
        </w:rPr>
      </w:pPr>
    </w:p>
    <w:p>
      <w:pPr>
        <w:ind w:left="2880" w:right="260" w:hanging="271"/>
        <w:spacing w:after="0" w:line="267" w:lineRule="auto"/>
        <w:tabs>
          <w:tab w:leader="none" w:pos="2857" w:val="left"/>
        </w:tabs>
        <w:numPr>
          <w:ilvl w:val="0"/>
          <w:numId w:val="66"/>
        </w:numPr>
        <w:rPr>
          <w:rFonts w:ascii="Arial" w:cs="Arial" w:eastAsia="Arial" w:hAnsi="Arial"/>
          <w:sz w:val="17"/>
          <w:szCs w:val="17"/>
          <w:color w:val="00A0DD"/>
        </w:rPr>
      </w:pPr>
      <w:r>
        <w:rPr>
          <w:rFonts w:ascii="Arial" w:cs="Arial" w:eastAsia="Arial" w:hAnsi="Arial"/>
          <w:sz w:val="17"/>
          <w:szCs w:val="17"/>
          <w:color w:val="auto"/>
        </w:rPr>
        <w:t>Universal Theme Parks, though experiencing some temporary headwinds, continued to progress toward the opening of Epic Universe in May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00" w:type="dxa"/>
            <w:vAlign w:val="bottom"/>
          </w:tcPr>
          <w:p>
            <w:pPr>
              <w:ind w:left="80"/>
              <w:spacing w:after="0"/>
              <w:rPr>
                <w:sz w:val="20"/>
                <w:szCs w:val="20"/>
                <w:color w:val="auto"/>
              </w:rPr>
            </w:pPr>
            <w:r>
              <w:rPr>
                <w:rFonts w:ascii="Arial" w:cs="Arial" w:eastAsia="Arial" w:hAnsi="Arial"/>
                <w:sz w:val="17"/>
                <w:szCs w:val="17"/>
                <w:b w:val="1"/>
                <w:bCs w:val="1"/>
                <w:color w:val="auto"/>
              </w:rPr>
              <w:t>Maximizing Potential for</w:t>
            </w:r>
          </w:p>
        </w:tc>
        <w:tc>
          <w:tcPr>
            <w:tcW w:w="8740" w:type="dxa"/>
            <w:vAlign w:val="bottom"/>
          </w:tcPr>
          <w:p>
            <w:pPr>
              <w:ind w:left="100"/>
              <w:spacing w:after="0"/>
              <w:rPr>
                <w:sz w:val="20"/>
                <w:szCs w:val="20"/>
                <w:color w:val="auto"/>
              </w:rPr>
            </w:pPr>
            <w:r>
              <w:rPr>
                <w:rFonts w:ascii="Arial" w:cs="Arial" w:eastAsia="Arial" w:hAnsi="Arial"/>
                <w:sz w:val="17"/>
                <w:szCs w:val="17"/>
                <w:color w:val="auto"/>
              </w:rPr>
              <w:t>Our businesses continued their strong collaboration with one another and continued to streamline opportunities</w:t>
            </w:r>
          </w:p>
        </w:tc>
      </w:tr>
      <w:tr>
        <w:trPr>
          <w:trHeight w:val="235"/>
        </w:trPr>
        <w:tc>
          <w:tcPr>
            <w:tcW w:w="2500" w:type="dxa"/>
            <w:vAlign w:val="bottom"/>
          </w:tcPr>
          <w:p>
            <w:pPr>
              <w:ind w:left="80"/>
              <w:spacing w:after="0"/>
              <w:rPr>
                <w:sz w:val="20"/>
                <w:szCs w:val="20"/>
                <w:color w:val="auto"/>
              </w:rPr>
            </w:pPr>
            <w:r>
              <w:rPr>
                <w:rFonts w:ascii="Arial" w:cs="Arial" w:eastAsia="Arial" w:hAnsi="Arial"/>
                <w:sz w:val="17"/>
                <w:szCs w:val="17"/>
                <w:b w:val="1"/>
                <w:bCs w:val="1"/>
                <w:color w:val="auto"/>
              </w:rPr>
              <w:t>Organizational Collaboration</w:t>
            </w:r>
          </w:p>
        </w:tc>
        <w:tc>
          <w:tcPr>
            <w:tcW w:w="8740" w:type="dxa"/>
            <w:vAlign w:val="bottom"/>
          </w:tcPr>
          <w:p>
            <w:pPr>
              <w:ind w:left="100"/>
              <w:spacing w:after="0"/>
              <w:rPr>
                <w:sz w:val="20"/>
                <w:szCs w:val="20"/>
                <w:color w:val="auto"/>
              </w:rPr>
            </w:pPr>
            <w:r>
              <w:rPr>
                <w:rFonts w:ascii="Arial" w:cs="Arial" w:eastAsia="Arial" w:hAnsi="Arial"/>
                <w:sz w:val="17"/>
                <w:szCs w:val="17"/>
                <w:color w:val="auto"/>
              </w:rPr>
              <w:t>for growth and alignment.</w:t>
            </w:r>
          </w:p>
        </w:tc>
      </w:tr>
      <w:tr>
        <w:trPr>
          <w:trHeight w:val="359"/>
        </w:trPr>
        <w:tc>
          <w:tcPr>
            <w:tcW w:w="2500" w:type="dxa"/>
            <w:vAlign w:val="bottom"/>
          </w:tcPr>
          <w:p>
            <w:pPr>
              <w:spacing w:after="0"/>
              <w:rPr>
                <w:sz w:val="24"/>
                <w:szCs w:val="24"/>
                <w:color w:val="auto"/>
              </w:rPr>
            </w:pPr>
          </w:p>
        </w:tc>
        <w:tc>
          <w:tcPr>
            <w:tcW w:w="8740" w:type="dxa"/>
            <w:vAlign w:val="bottom"/>
          </w:tcPr>
          <w:p>
            <w:pPr>
              <w:ind w:left="100"/>
              <w:spacing w:after="0"/>
              <w:rPr>
                <w:sz w:val="20"/>
                <w:szCs w:val="20"/>
                <w:color w:val="auto"/>
              </w:rPr>
            </w:pPr>
            <w:r>
              <w:rPr>
                <w:rFonts w:ascii="Arial" w:cs="Arial" w:eastAsia="Arial" w:hAnsi="Arial"/>
                <w:sz w:val="17"/>
                <w:szCs w:val="17"/>
                <w:color w:val="auto"/>
              </w:rPr>
              <w:t>Our technology teams around the world continue to collaborate on our global Entertainment OS platform. We</w:t>
            </w:r>
          </w:p>
        </w:tc>
      </w:tr>
      <w:tr>
        <w:trPr>
          <w:trHeight w:val="189"/>
        </w:trPr>
        <w:tc>
          <w:tcPr>
            <w:tcW w:w="2500" w:type="dxa"/>
            <w:vAlign w:val="bottom"/>
          </w:tcPr>
          <w:p>
            <w:pPr>
              <w:spacing w:after="0"/>
              <w:rPr>
                <w:sz w:val="16"/>
                <w:szCs w:val="16"/>
                <w:color w:val="auto"/>
              </w:rPr>
            </w:pPr>
          </w:p>
        </w:tc>
        <w:tc>
          <w:tcPr>
            <w:tcW w:w="8740" w:type="dxa"/>
            <w:vAlign w:val="bottom"/>
          </w:tcPr>
          <w:p>
            <w:pPr>
              <w:ind w:left="100"/>
              <w:spacing w:after="0" w:line="189" w:lineRule="exact"/>
              <w:rPr>
                <w:sz w:val="20"/>
                <w:szCs w:val="20"/>
                <w:color w:val="auto"/>
              </w:rPr>
            </w:pPr>
            <w:r>
              <w:rPr>
                <w:rFonts w:ascii="Arial" w:cs="Arial" w:eastAsia="Arial" w:hAnsi="Arial"/>
                <w:sz w:val="17"/>
                <w:szCs w:val="17"/>
                <w:color w:val="auto"/>
              </w:rPr>
              <w:t>also continue to work together across our complementary, high-performing business units to accelerate</w:t>
            </w:r>
          </w:p>
        </w:tc>
      </w:tr>
      <w:tr>
        <w:trPr>
          <w:trHeight w:val="189"/>
        </w:trPr>
        <w:tc>
          <w:tcPr>
            <w:tcW w:w="2500" w:type="dxa"/>
            <w:vAlign w:val="bottom"/>
          </w:tcPr>
          <w:p>
            <w:pPr>
              <w:spacing w:after="0"/>
              <w:rPr>
                <w:sz w:val="16"/>
                <w:szCs w:val="16"/>
                <w:color w:val="auto"/>
              </w:rPr>
            </w:pPr>
          </w:p>
        </w:tc>
        <w:tc>
          <w:tcPr>
            <w:tcW w:w="8740" w:type="dxa"/>
            <w:vAlign w:val="bottom"/>
          </w:tcPr>
          <w:p>
            <w:pPr>
              <w:ind w:left="100"/>
              <w:spacing w:after="0" w:line="189" w:lineRule="exact"/>
              <w:rPr>
                <w:sz w:val="20"/>
                <w:szCs w:val="20"/>
                <w:color w:val="auto"/>
              </w:rPr>
            </w:pPr>
            <w:r>
              <w:rPr>
                <w:rFonts w:ascii="Arial" w:cs="Arial" w:eastAsia="Arial" w:hAnsi="Arial"/>
                <w:sz w:val="17"/>
                <w:szCs w:val="17"/>
                <w:color w:val="auto"/>
              </w:rPr>
              <w:t>convergence in media and technology. For example, we executed extremely well across all of our businesses in</w:t>
            </w:r>
          </w:p>
        </w:tc>
      </w:tr>
      <w:tr>
        <w:trPr>
          <w:trHeight w:val="189"/>
        </w:trPr>
        <w:tc>
          <w:tcPr>
            <w:tcW w:w="2500" w:type="dxa"/>
            <w:vAlign w:val="bottom"/>
          </w:tcPr>
          <w:p>
            <w:pPr>
              <w:spacing w:after="0"/>
              <w:rPr>
                <w:sz w:val="16"/>
                <w:szCs w:val="16"/>
                <w:color w:val="auto"/>
              </w:rPr>
            </w:pPr>
          </w:p>
        </w:tc>
        <w:tc>
          <w:tcPr>
            <w:tcW w:w="8740" w:type="dxa"/>
            <w:vAlign w:val="bottom"/>
          </w:tcPr>
          <w:p>
            <w:pPr>
              <w:ind w:left="100"/>
              <w:spacing w:after="0" w:line="189" w:lineRule="exact"/>
              <w:rPr>
                <w:sz w:val="20"/>
                <w:szCs w:val="20"/>
                <w:color w:val="auto"/>
              </w:rPr>
            </w:pPr>
            <w:r>
              <w:rPr>
                <w:rFonts w:ascii="Arial" w:cs="Arial" w:eastAsia="Arial" w:hAnsi="Arial"/>
                <w:sz w:val="17"/>
                <w:szCs w:val="17"/>
                <w:color w:val="auto"/>
              </w:rPr>
              <w:t>our broadcast of the Paris Olympics. We also successfully executed the first exclusively streamed NFL Wild Card</w:t>
            </w:r>
          </w:p>
        </w:tc>
      </w:tr>
      <w:tr>
        <w:trPr>
          <w:trHeight w:val="189"/>
        </w:trPr>
        <w:tc>
          <w:tcPr>
            <w:tcW w:w="2500" w:type="dxa"/>
            <w:vAlign w:val="bottom"/>
          </w:tcPr>
          <w:p>
            <w:pPr>
              <w:spacing w:after="0"/>
              <w:rPr>
                <w:sz w:val="16"/>
                <w:szCs w:val="16"/>
                <w:color w:val="auto"/>
              </w:rPr>
            </w:pPr>
          </w:p>
        </w:tc>
        <w:tc>
          <w:tcPr>
            <w:tcW w:w="8740" w:type="dxa"/>
            <w:vAlign w:val="bottom"/>
          </w:tcPr>
          <w:p>
            <w:pPr>
              <w:ind w:left="100"/>
              <w:spacing w:after="0" w:line="189" w:lineRule="exact"/>
              <w:rPr>
                <w:sz w:val="20"/>
                <w:szCs w:val="20"/>
                <w:color w:val="auto"/>
              </w:rPr>
            </w:pPr>
            <w:r>
              <w:rPr>
                <w:rFonts w:ascii="Arial" w:cs="Arial" w:eastAsia="Arial" w:hAnsi="Arial"/>
                <w:sz w:val="17"/>
                <w:szCs w:val="17"/>
                <w:color w:val="auto"/>
              </w:rPr>
              <w:t>game on Peacock, with engineers across NBC Sports, Peacock and Connectivity &amp; Platforms collaborating to</w:t>
            </w:r>
          </w:p>
        </w:tc>
      </w:tr>
      <w:tr>
        <w:trPr>
          <w:trHeight w:val="225"/>
        </w:trPr>
        <w:tc>
          <w:tcPr>
            <w:tcW w:w="2500" w:type="dxa"/>
            <w:vAlign w:val="bottom"/>
          </w:tcPr>
          <w:p>
            <w:pPr>
              <w:spacing w:after="0"/>
              <w:rPr>
                <w:sz w:val="19"/>
                <w:szCs w:val="19"/>
                <w:color w:val="auto"/>
              </w:rPr>
            </w:pPr>
          </w:p>
        </w:tc>
        <w:tc>
          <w:tcPr>
            <w:tcW w:w="8740" w:type="dxa"/>
            <w:vAlign w:val="bottom"/>
          </w:tcPr>
          <w:p>
            <w:pPr>
              <w:ind w:left="100"/>
              <w:spacing w:after="0"/>
              <w:rPr>
                <w:sz w:val="20"/>
                <w:szCs w:val="20"/>
                <w:color w:val="auto"/>
              </w:rPr>
            </w:pPr>
            <w:r>
              <w:rPr>
                <w:rFonts w:ascii="Arial" w:cs="Arial" w:eastAsia="Arial" w:hAnsi="Arial"/>
                <w:sz w:val="17"/>
                <w:szCs w:val="17"/>
                <w:color w:val="auto"/>
              </w:rPr>
              <w:t>deliver the largest ever viewing event on the internet in the United States at that time.</w:t>
            </w:r>
          </w:p>
        </w:tc>
      </w:tr>
      <w:tr>
        <w:trPr>
          <w:trHeight w:val="54"/>
        </w:trPr>
        <w:tc>
          <w:tcPr>
            <w:tcW w:w="2500" w:type="dxa"/>
            <w:vAlign w:val="bottom"/>
          </w:tcPr>
          <w:p>
            <w:pPr>
              <w:spacing w:after="0"/>
              <w:rPr>
                <w:sz w:val="4"/>
                <w:szCs w:val="4"/>
                <w:color w:val="auto"/>
              </w:rPr>
            </w:pPr>
          </w:p>
        </w:tc>
        <w:tc>
          <w:tcPr>
            <w:tcW w:w="8740" w:type="dxa"/>
            <w:vAlign w:val="bottom"/>
          </w:tcPr>
          <w:p>
            <w:pPr>
              <w:spacing w:after="0"/>
              <w:rPr>
                <w:sz w:val="4"/>
                <w:szCs w:val="4"/>
                <w:color w:val="auto"/>
              </w:rPr>
            </w:pPr>
          </w:p>
        </w:tc>
      </w:tr>
      <w:tr>
        <w:trPr>
          <w:trHeight w:val="234"/>
        </w:trPr>
        <w:tc>
          <w:tcPr>
            <w:tcW w:w="2500" w:type="dxa"/>
            <w:vAlign w:val="bottom"/>
            <w:shd w:val="clear" w:color="auto" w:fill="D8ECF7"/>
          </w:tcPr>
          <w:p>
            <w:pPr>
              <w:ind w:left="80"/>
              <w:spacing w:after="0"/>
              <w:rPr>
                <w:sz w:val="20"/>
                <w:szCs w:val="20"/>
                <w:color w:val="auto"/>
              </w:rPr>
            </w:pPr>
            <w:r>
              <w:rPr>
                <w:rFonts w:ascii="Arial" w:cs="Arial" w:eastAsia="Arial" w:hAnsi="Arial"/>
                <w:sz w:val="17"/>
                <w:szCs w:val="17"/>
                <w:b w:val="1"/>
                <w:bCs w:val="1"/>
                <w:color w:val="auto"/>
              </w:rPr>
              <w:t>Operational Agility</w:t>
            </w:r>
          </w:p>
        </w:tc>
        <w:tc>
          <w:tcPr>
            <w:tcW w:w="8740" w:type="dxa"/>
            <w:vAlign w:val="bottom"/>
            <w:shd w:val="clear" w:color="auto" w:fill="D8ECF7"/>
          </w:tcPr>
          <w:p>
            <w:pPr>
              <w:ind w:left="100"/>
              <w:spacing w:after="0"/>
              <w:rPr>
                <w:sz w:val="20"/>
                <w:szCs w:val="20"/>
                <w:color w:val="auto"/>
              </w:rPr>
            </w:pPr>
            <w:r>
              <w:rPr>
                <w:rFonts w:ascii="Arial" w:cs="Arial" w:eastAsia="Arial" w:hAnsi="Arial"/>
                <w:sz w:val="17"/>
                <w:szCs w:val="17"/>
                <w:color w:val="auto"/>
              </w:rPr>
              <w:t>We continued to invest in our network to support the increasing demands of our customers today and in the</w:t>
            </w:r>
          </w:p>
        </w:tc>
      </w:tr>
      <w:tr>
        <w:trPr>
          <w:trHeight w:val="189"/>
        </w:trPr>
        <w:tc>
          <w:tcPr>
            <w:tcW w:w="2500" w:type="dxa"/>
            <w:vAlign w:val="bottom"/>
            <w:shd w:val="clear" w:color="auto" w:fill="D8ECF7"/>
          </w:tcPr>
          <w:p>
            <w:pPr>
              <w:spacing w:after="0"/>
              <w:rPr>
                <w:sz w:val="16"/>
                <w:szCs w:val="16"/>
                <w:color w:val="auto"/>
              </w:rPr>
            </w:pPr>
          </w:p>
        </w:tc>
        <w:tc>
          <w:tcPr>
            <w:tcW w:w="8740" w:type="dxa"/>
            <w:vAlign w:val="bottom"/>
            <w:shd w:val="clear" w:color="auto" w:fill="D8ECF7"/>
          </w:tcPr>
          <w:p>
            <w:pPr>
              <w:ind w:left="100"/>
              <w:spacing w:after="0" w:line="189" w:lineRule="exact"/>
              <w:rPr>
                <w:sz w:val="20"/>
                <w:szCs w:val="20"/>
                <w:color w:val="auto"/>
              </w:rPr>
            </w:pPr>
            <w:r>
              <w:rPr>
                <w:rFonts w:ascii="Arial" w:cs="Arial" w:eastAsia="Arial" w:hAnsi="Arial"/>
                <w:sz w:val="17"/>
                <w:szCs w:val="17"/>
                <w:color w:val="auto"/>
              </w:rPr>
              <w:t>future, building out new miles of fiber, continuing our broadband network upgrade to increase speed capacity and</w:t>
            </w:r>
          </w:p>
        </w:tc>
      </w:tr>
      <w:tr>
        <w:trPr>
          <w:trHeight w:val="225"/>
        </w:trPr>
        <w:tc>
          <w:tcPr>
            <w:tcW w:w="2500" w:type="dxa"/>
            <w:vAlign w:val="bottom"/>
            <w:shd w:val="clear" w:color="auto" w:fill="D8ECF7"/>
          </w:tcPr>
          <w:p>
            <w:pPr>
              <w:spacing w:after="0"/>
              <w:rPr>
                <w:sz w:val="19"/>
                <w:szCs w:val="19"/>
                <w:color w:val="auto"/>
              </w:rPr>
            </w:pPr>
          </w:p>
        </w:tc>
        <w:tc>
          <w:tcPr>
            <w:tcW w:w="8740" w:type="dxa"/>
            <w:vAlign w:val="bottom"/>
            <w:shd w:val="clear" w:color="auto" w:fill="D8ECF7"/>
          </w:tcPr>
          <w:p>
            <w:pPr>
              <w:ind w:left="100"/>
              <w:spacing w:after="0"/>
              <w:rPr>
                <w:sz w:val="20"/>
                <w:szCs w:val="20"/>
                <w:color w:val="auto"/>
              </w:rPr>
            </w:pPr>
            <w:r>
              <w:rPr>
                <w:rFonts w:ascii="Arial" w:cs="Arial" w:eastAsia="Arial" w:hAnsi="Arial"/>
                <w:sz w:val="17"/>
                <w:szCs w:val="17"/>
                <w:color w:val="auto"/>
              </w:rPr>
              <w:t>enhance resiliency, and improving tools and technologies that help make our network faster and more reliable.</w:t>
            </w:r>
          </w:p>
        </w:tc>
      </w:tr>
      <w:tr>
        <w:trPr>
          <w:trHeight w:val="369"/>
        </w:trPr>
        <w:tc>
          <w:tcPr>
            <w:tcW w:w="2500" w:type="dxa"/>
            <w:vAlign w:val="bottom"/>
            <w:shd w:val="clear" w:color="auto" w:fill="D8ECF7"/>
          </w:tcPr>
          <w:p>
            <w:pPr>
              <w:spacing w:after="0"/>
              <w:rPr>
                <w:sz w:val="24"/>
                <w:szCs w:val="24"/>
                <w:color w:val="auto"/>
              </w:rPr>
            </w:pPr>
          </w:p>
        </w:tc>
        <w:tc>
          <w:tcPr>
            <w:tcW w:w="8740" w:type="dxa"/>
            <w:vAlign w:val="bottom"/>
            <w:shd w:val="clear" w:color="auto" w:fill="D8ECF7"/>
          </w:tcPr>
          <w:p>
            <w:pPr>
              <w:ind w:left="100"/>
              <w:spacing w:after="0"/>
              <w:rPr>
                <w:sz w:val="20"/>
                <w:szCs w:val="20"/>
                <w:color w:val="auto"/>
              </w:rPr>
            </w:pPr>
            <w:r>
              <w:rPr>
                <w:rFonts w:ascii="Arial" w:cs="Arial" w:eastAsia="Arial" w:hAnsi="Arial"/>
                <w:sz w:val="17"/>
                <w:szCs w:val="17"/>
                <w:color w:val="auto"/>
              </w:rPr>
              <w:t>We created Universal Ads, a one-stop television advertising platform that simplifies the advertising buying</w:t>
            </w:r>
          </w:p>
        </w:tc>
      </w:tr>
      <w:tr>
        <w:trPr>
          <w:trHeight w:val="189"/>
        </w:trPr>
        <w:tc>
          <w:tcPr>
            <w:tcW w:w="2500" w:type="dxa"/>
            <w:vAlign w:val="bottom"/>
            <w:shd w:val="clear" w:color="auto" w:fill="D8ECF7"/>
          </w:tcPr>
          <w:p>
            <w:pPr>
              <w:spacing w:after="0"/>
              <w:rPr>
                <w:sz w:val="16"/>
                <w:szCs w:val="16"/>
                <w:color w:val="auto"/>
              </w:rPr>
            </w:pPr>
          </w:p>
        </w:tc>
        <w:tc>
          <w:tcPr>
            <w:tcW w:w="8740" w:type="dxa"/>
            <w:vAlign w:val="bottom"/>
            <w:shd w:val="clear" w:color="auto" w:fill="D8ECF7"/>
          </w:tcPr>
          <w:p>
            <w:pPr>
              <w:ind w:left="100"/>
              <w:spacing w:after="0" w:line="189" w:lineRule="exact"/>
              <w:rPr>
                <w:sz w:val="20"/>
                <w:szCs w:val="20"/>
                <w:color w:val="auto"/>
              </w:rPr>
            </w:pPr>
            <w:r>
              <w:rPr>
                <w:rFonts w:ascii="Arial" w:cs="Arial" w:eastAsia="Arial" w:hAnsi="Arial"/>
                <w:sz w:val="17"/>
                <w:szCs w:val="17"/>
                <w:color w:val="auto"/>
              </w:rPr>
              <w:t>process for premium video content, which we were uniquely able to create with our FreeWheel ad server</w:t>
            </w:r>
          </w:p>
        </w:tc>
      </w:tr>
      <w:tr>
        <w:trPr>
          <w:trHeight w:val="225"/>
        </w:trPr>
        <w:tc>
          <w:tcPr>
            <w:tcW w:w="2500" w:type="dxa"/>
            <w:vAlign w:val="bottom"/>
            <w:shd w:val="clear" w:color="auto" w:fill="D8ECF7"/>
          </w:tcPr>
          <w:p>
            <w:pPr>
              <w:spacing w:after="0"/>
              <w:rPr>
                <w:sz w:val="19"/>
                <w:szCs w:val="19"/>
                <w:color w:val="auto"/>
              </w:rPr>
            </w:pPr>
          </w:p>
        </w:tc>
        <w:tc>
          <w:tcPr>
            <w:tcW w:w="8740" w:type="dxa"/>
            <w:vAlign w:val="bottom"/>
            <w:shd w:val="clear" w:color="auto" w:fill="D8ECF7"/>
          </w:tcPr>
          <w:p>
            <w:pPr>
              <w:ind w:left="100"/>
              <w:spacing w:after="0"/>
              <w:rPr>
                <w:sz w:val="20"/>
                <w:szCs w:val="20"/>
                <w:color w:val="auto"/>
              </w:rPr>
            </w:pPr>
            <w:r>
              <w:rPr>
                <w:rFonts w:ascii="Arial" w:cs="Arial" w:eastAsia="Arial" w:hAnsi="Arial"/>
                <w:sz w:val="17"/>
                <w:szCs w:val="17"/>
                <w:color w:val="auto"/>
              </w:rPr>
              <w:t>business and NBCUniversal’s and Comcast Connectivity &amp; Platforms’ advertising businesses.</w:t>
            </w:r>
          </w:p>
        </w:tc>
      </w:tr>
      <w:tr>
        <w:trPr>
          <w:trHeight w:val="369"/>
        </w:trPr>
        <w:tc>
          <w:tcPr>
            <w:tcW w:w="2500" w:type="dxa"/>
            <w:vAlign w:val="bottom"/>
            <w:shd w:val="clear" w:color="auto" w:fill="D8ECF7"/>
          </w:tcPr>
          <w:p>
            <w:pPr>
              <w:spacing w:after="0"/>
              <w:rPr>
                <w:sz w:val="24"/>
                <w:szCs w:val="24"/>
                <w:color w:val="auto"/>
              </w:rPr>
            </w:pPr>
          </w:p>
        </w:tc>
        <w:tc>
          <w:tcPr>
            <w:tcW w:w="8740" w:type="dxa"/>
            <w:vAlign w:val="bottom"/>
            <w:shd w:val="clear" w:color="auto" w:fill="D8ECF7"/>
          </w:tcPr>
          <w:p>
            <w:pPr>
              <w:ind w:left="100"/>
              <w:spacing w:after="0"/>
              <w:rPr>
                <w:sz w:val="20"/>
                <w:szCs w:val="20"/>
                <w:color w:val="auto"/>
              </w:rPr>
            </w:pPr>
            <w:r>
              <w:rPr>
                <w:rFonts w:ascii="Arial" w:cs="Arial" w:eastAsia="Arial" w:hAnsi="Arial"/>
                <w:sz w:val="17"/>
                <w:szCs w:val="17"/>
                <w:color w:val="auto"/>
              </w:rPr>
              <w:t>NBCUniversal’s studios had a strong movie slate that included Despicable Me 4 and Wicked, and we continued</w:t>
            </w:r>
          </w:p>
        </w:tc>
      </w:tr>
      <w:tr>
        <w:trPr>
          <w:trHeight w:val="189"/>
        </w:trPr>
        <w:tc>
          <w:tcPr>
            <w:tcW w:w="2500" w:type="dxa"/>
            <w:vAlign w:val="bottom"/>
            <w:shd w:val="clear" w:color="auto" w:fill="D8ECF7"/>
          </w:tcPr>
          <w:p>
            <w:pPr>
              <w:spacing w:after="0"/>
              <w:rPr>
                <w:sz w:val="16"/>
                <w:szCs w:val="16"/>
                <w:color w:val="auto"/>
              </w:rPr>
            </w:pPr>
          </w:p>
        </w:tc>
        <w:tc>
          <w:tcPr>
            <w:tcW w:w="8740" w:type="dxa"/>
            <w:vAlign w:val="bottom"/>
            <w:shd w:val="clear" w:color="auto" w:fill="D8ECF7"/>
          </w:tcPr>
          <w:p>
            <w:pPr>
              <w:ind w:left="100"/>
              <w:spacing w:after="0" w:line="189" w:lineRule="exact"/>
              <w:rPr>
                <w:sz w:val="20"/>
                <w:szCs w:val="20"/>
                <w:color w:val="auto"/>
              </w:rPr>
            </w:pPr>
            <w:r>
              <w:rPr>
                <w:rFonts w:ascii="Arial" w:cs="Arial" w:eastAsia="Arial" w:hAnsi="Arial"/>
                <w:sz w:val="17"/>
                <w:szCs w:val="17"/>
                <w:color w:val="auto"/>
              </w:rPr>
              <w:t>on track toward the construction of Epic Universe, which will open in May 2025. NBC Sports delivered its most-</w:t>
            </w:r>
          </w:p>
        </w:tc>
      </w:tr>
      <w:tr>
        <w:trPr>
          <w:trHeight w:val="189"/>
        </w:trPr>
        <w:tc>
          <w:tcPr>
            <w:tcW w:w="2500" w:type="dxa"/>
            <w:vAlign w:val="bottom"/>
            <w:shd w:val="clear" w:color="auto" w:fill="D8ECF7"/>
          </w:tcPr>
          <w:p>
            <w:pPr>
              <w:spacing w:after="0"/>
              <w:rPr>
                <w:sz w:val="16"/>
                <w:szCs w:val="16"/>
                <w:color w:val="auto"/>
              </w:rPr>
            </w:pPr>
          </w:p>
        </w:tc>
        <w:tc>
          <w:tcPr>
            <w:tcW w:w="8740" w:type="dxa"/>
            <w:vAlign w:val="bottom"/>
            <w:shd w:val="clear" w:color="auto" w:fill="D8ECF7"/>
          </w:tcPr>
          <w:p>
            <w:pPr>
              <w:ind w:left="100"/>
              <w:spacing w:after="0" w:line="189" w:lineRule="exact"/>
              <w:rPr>
                <w:sz w:val="20"/>
                <w:szCs w:val="20"/>
                <w:color w:val="auto"/>
              </w:rPr>
            </w:pPr>
            <w:r>
              <w:rPr>
                <w:rFonts w:ascii="Arial" w:cs="Arial" w:eastAsia="Arial" w:hAnsi="Arial"/>
                <w:sz w:val="17"/>
                <w:szCs w:val="17"/>
                <w:color w:val="auto"/>
              </w:rPr>
              <w:t>watched year since 2016, highlighted by the Paris Olympics and Peacock’s first ever live streamed NFL playoff</w:t>
            </w:r>
          </w:p>
        </w:tc>
      </w:tr>
      <w:tr>
        <w:trPr>
          <w:trHeight w:val="259"/>
        </w:trPr>
        <w:tc>
          <w:tcPr>
            <w:tcW w:w="2500" w:type="dxa"/>
            <w:vAlign w:val="bottom"/>
            <w:tcBorders>
              <w:bottom w:val="single" w:sz="8" w:color="D8ECF7"/>
            </w:tcBorders>
            <w:shd w:val="clear" w:color="auto" w:fill="D8ECF7"/>
          </w:tcPr>
          <w:p>
            <w:pPr>
              <w:spacing w:after="0"/>
              <w:rPr>
                <w:sz w:val="22"/>
                <w:szCs w:val="22"/>
                <w:color w:val="auto"/>
              </w:rPr>
            </w:pPr>
          </w:p>
        </w:tc>
        <w:tc>
          <w:tcPr>
            <w:tcW w:w="8740" w:type="dxa"/>
            <w:vAlign w:val="bottom"/>
            <w:tcBorders>
              <w:bottom w:val="single" w:sz="8" w:color="D8ECF7"/>
            </w:tcBorders>
            <w:shd w:val="clear" w:color="auto" w:fill="D8ECF7"/>
          </w:tcPr>
          <w:p>
            <w:pPr>
              <w:ind w:left="100"/>
              <w:spacing w:after="0"/>
              <w:rPr>
                <w:sz w:val="20"/>
                <w:szCs w:val="20"/>
                <w:color w:val="auto"/>
              </w:rPr>
            </w:pPr>
            <w:r>
              <w:rPr>
                <w:rFonts w:ascii="Arial" w:cs="Arial" w:eastAsia="Arial" w:hAnsi="Arial"/>
                <w:sz w:val="17"/>
                <w:szCs w:val="17"/>
                <w:color w:val="auto"/>
              </w:rPr>
              <w:t>game.</w:t>
            </w:r>
          </w:p>
        </w:tc>
      </w:tr>
      <w:tr>
        <w:trPr>
          <w:trHeight w:val="20"/>
        </w:trPr>
        <w:tc>
          <w:tcPr>
            <w:tcW w:w="2500" w:type="dxa"/>
            <w:vAlign w:val="bottom"/>
            <w:shd w:val="clear" w:color="auto" w:fill="000000"/>
          </w:tcPr>
          <w:p>
            <w:pPr>
              <w:spacing w:after="0" w:line="20" w:lineRule="exact"/>
              <w:rPr>
                <w:sz w:val="1"/>
                <w:szCs w:val="1"/>
                <w:color w:val="auto"/>
              </w:rPr>
            </w:pPr>
          </w:p>
        </w:tc>
        <w:tc>
          <w:tcPr>
            <w:tcW w:w="874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left="400" w:hanging="392"/>
        <w:spacing w:after="0"/>
        <w:tabs>
          <w:tab w:leader="none" w:pos="400"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Stakeholder and Sustainability-Related Goals and Results</w:t>
      </w:r>
    </w:p>
    <w:p>
      <w:pPr>
        <w:spacing w:after="0" w:line="208"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Stakeholder and sustainability-related goals accounted for 15% of the 2024 target annual bonus, with potential payouts ranging from 0% to 22.5%. The following goals were set by the Compensation Committee and performance against those goals was considered by the Compensation Committee in determining that achievement for 2024 was 15%. Our stakeholder and sustainability goals are not reduced to a specific metric or set of metrics, but rather are primarily based on the Compensation Committee’s independent and holistic evaluation of the NEOs’ efforts, collectively and individually, to further progress the key stakeholder and sustainability initiatives described immediately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52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GOALS</w:t>
            </w:r>
          </w:p>
        </w:tc>
        <w:tc>
          <w:tcPr>
            <w:tcW w:w="872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2024 PERFORMANCE CONSIDERATIONS</w:t>
            </w:r>
          </w:p>
        </w:tc>
      </w:tr>
      <w:tr>
        <w:trPr>
          <w:trHeight w:val="230"/>
        </w:trPr>
        <w:tc>
          <w:tcPr>
            <w:tcW w:w="2520" w:type="dxa"/>
            <w:vAlign w:val="bottom"/>
            <w:shd w:val="clear" w:color="auto" w:fill="D8ECF7"/>
          </w:tcPr>
          <w:p>
            <w:pPr>
              <w:ind w:left="80"/>
              <w:spacing w:after="0"/>
              <w:rPr>
                <w:sz w:val="20"/>
                <w:szCs w:val="20"/>
                <w:color w:val="auto"/>
              </w:rPr>
            </w:pPr>
            <w:r>
              <w:rPr>
                <w:rFonts w:ascii="Arial" w:cs="Arial" w:eastAsia="Arial" w:hAnsi="Arial"/>
                <w:sz w:val="17"/>
                <w:szCs w:val="17"/>
                <w:b w:val="1"/>
                <w:bCs w:val="1"/>
                <w:color w:val="auto"/>
              </w:rPr>
              <w:t>Advancing Digital</w:t>
            </w:r>
          </w:p>
        </w:tc>
        <w:tc>
          <w:tcPr>
            <w:tcW w:w="8720" w:type="dxa"/>
            <w:vAlign w:val="bottom"/>
            <w:shd w:val="clear" w:color="auto" w:fill="D8ECF7"/>
          </w:tcPr>
          <w:p>
            <w:pPr>
              <w:ind w:left="80"/>
              <w:spacing w:after="0"/>
              <w:rPr>
                <w:sz w:val="20"/>
                <w:szCs w:val="20"/>
                <w:color w:val="auto"/>
              </w:rPr>
            </w:pPr>
            <w:r>
              <w:rPr>
                <w:rFonts w:ascii="Arial" w:cs="Arial" w:eastAsia="Arial" w:hAnsi="Arial"/>
                <w:sz w:val="17"/>
                <w:szCs w:val="17"/>
                <w:color w:val="auto"/>
              </w:rPr>
              <w:t>We continued our strong leadership in advancing digital opportunity in 2024 by extending our network to new</w:t>
            </w:r>
          </w:p>
        </w:tc>
      </w:tr>
      <w:tr>
        <w:trPr>
          <w:trHeight w:val="189"/>
        </w:trPr>
        <w:tc>
          <w:tcPr>
            <w:tcW w:w="2520" w:type="dxa"/>
            <w:vAlign w:val="bottom"/>
            <w:shd w:val="clear" w:color="auto" w:fill="D8ECF7"/>
          </w:tcPr>
          <w:p>
            <w:pPr>
              <w:ind w:left="80"/>
              <w:spacing w:after="0" w:line="189" w:lineRule="exact"/>
              <w:rPr>
                <w:sz w:val="20"/>
                <w:szCs w:val="20"/>
                <w:color w:val="auto"/>
              </w:rPr>
            </w:pPr>
            <w:r>
              <w:rPr>
                <w:rFonts w:ascii="Arial" w:cs="Arial" w:eastAsia="Arial" w:hAnsi="Arial"/>
                <w:sz w:val="17"/>
                <w:szCs w:val="17"/>
                <w:b w:val="1"/>
                <w:bCs w:val="1"/>
                <w:color w:val="auto"/>
              </w:rPr>
              <w:t>Opportunity</w:t>
            </w:r>
          </w:p>
        </w:tc>
        <w:tc>
          <w:tcPr>
            <w:tcW w:w="8720" w:type="dxa"/>
            <w:vAlign w:val="bottom"/>
            <w:shd w:val="clear" w:color="auto" w:fill="D8ECF7"/>
          </w:tcPr>
          <w:p>
            <w:pPr>
              <w:ind w:left="80"/>
              <w:spacing w:after="0" w:line="189" w:lineRule="exact"/>
              <w:rPr>
                <w:sz w:val="20"/>
                <w:szCs w:val="20"/>
                <w:color w:val="auto"/>
              </w:rPr>
            </w:pPr>
            <w:r>
              <w:rPr>
                <w:rFonts w:ascii="Arial" w:cs="Arial" w:eastAsia="Arial" w:hAnsi="Arial"/>
                <w:sz w:val="17"/>
                <w:szCs w:val="17"/>
                <w:color w:val="auto"/>
              </w:rPr>
              <w:t>areas where reliable, high-speed internet services had been unavailable and participating in federal, state and</w:t>
            </w:r>
          </w:p>
        </w:tc>
      </w:tr>
      <w:tr>
        <w:trPr>
          <w:trHeight w:val="189"/>
        </w:trPr>
        <w:tc>
          <w:tcPr>
            <w:tcW w:w="2520" w:type="dxa"/>
            <w:vAlign w:val="bottom"/>
            <w:shd w:val="clear" w:color="auto" w:fill="D8ECF7"/>
          </w:tcPr>
          <w:p>
            <w:pPr>
              <w:spacing w:after="0"/>
              <w:rPr>
                <w:sz w:val="16"/>
                <w:szCs w:val="16"/>
                <w:color w:val="auto"/>
              </w:rPr>
            </w:pPr>
          </w:p>
        </w:tc>
        <w:tc>
          <w:tcPr>
            <w:tcW w:w="8720" w:type="dxa"/>
            <w:vAlign w:val="bottom"/>
            <w:shd w:val="clear" w:color="auto" w:fill="D8ECF7"/>
          </w:tcPr>
          <w:p>
            <w:pPr>
              <w:ind w:left="80"/>
              <w:spacing w:after="0" w:line="189" w:lineRule="exact"/>
              <w:rPr>
                <w:sz w:val="20"/>
                <w:szCs w:val="20"/>
                <w:color w:val="auto"/>
              </w:rPr>
            </w:pPr>
            <w:r>
              <w:rPr>
                <w:rFonts w:ascii="Arial" w:cs="Arial" w:eastAsia="Arial" w:hAnsi="Arial"/>
                <w:sz w:val="17"/>
                <w:szCs w:val="17"/>
                <w:color w:val="auto"/>
              </w:rPr>
              <w:t>local programs designed to expand broadband to unserved and underserved Americans. We also expanded</w:t>
            </w:r>
          </w:p>
        </w:tc>
      </w:tr>
      <w:tr>
        <w:trPr>
          <w:trHeight w:val="189"/>
        </w:trPr>
        <w:tc>
          <w:tcPr>
            <w:tcW w:w="2520" w:type="dxa"/>
            <w:vAlign w:val="bottom"/>
            <w:shd w:val="clear" w:color="auto" w:fill="D8ECF7"/>
          </w:tcPr>
          <w:p>
            <w:pPr>
              <w:spacing w:after="0"/>
              <w:rPr>
                <w:sz w:val="16"/>
                <w:szCs w:val="16"/>
                <w:color w:val="auto"/>
              </w:rPr>
            </w:pPr>
          </w:p>
        </w:tc>
        <w:tc>
          <w:tcPr>
            <w:tcW w:w="8720" w:type="dxa"/>
            <w:vAlign w:val="bottom"/>
            <w:shd w:val="clear" w:color="auto" w:fill="D8ECF7"/>
          </w:tcPr>
          <w:p>
            <w:pPr>
              <w:ind w:left="80"/>
              <w:spacing w:after="0" w:line="189" w:lineRule="exact"/>
              <w:rPr>
                <w:sz w:val="20"/>
                <w:szCs w:val="20"/>
                <w:color w:val="auto"/>
              </w:rPr>
            </w:pPr>
            <w:r>
              <w:rPr>
                <w:rFonts w:ascii="Arial" w:cs="Arial" w:eastAsia="Arial" w:hAnsi="Arial"/>
                <w:sz w:val="17"/>
                <w:szCs w:val="17"/>
                <w:color w:val="auto"/>
              </w:rPr>
              <w:t>connectivity options to support customers impacted by the end of the federal government’s Affordable</w:t>
            </w:r>
          </w:p>
        </w:tc>
      </w:tr>
      <w:tr>
        <w:trPr>
          <w:trHeight w:val="189"/>
        </w:trPr>
        <w:tc>
          <w:tcPr>
            <w:tcW w:w="2520" w:type="dxa"/>
            <w:vAlign w:val="bottom"/>
            <w:shd w:val="clear" w:color="auto" w:fill="D8ECF7"/>
          </w:tcPr>
          <w:p>
            <w:pPr>
              <w:spacing w:after="0"/>
              <w:rPr>
                <w:sz w:val="16"/>
                <w:szCs w:val="16"/>
                <w:color w:val="auto"/>
              </w:rPr>
            </w:pPr>
          </w:p>
        </w:tc>
        <w:tc>
          <w:tcPr>
            <w:tcW w:w="8720" w:type="dxa"/>
            <w:vAlign w:val="bottom"/>
            <w:shd w:val="clear" w:color="auto" w:fill="D8ECF7"/>
          </w:tcPr>
          <w:p>
            <w:pPr>
              <w:ind w:left="80"/>
              <w:spacing w:after="0" w:line="189" w:lineRule="exact"/>
              <w:rPr>
                <w:sz w:val="20"/>
                <w:szCs w:val="20"/>
                <w:color w:val="auto"/>
              </w:rPr>
            </w:pPr>
            <w:r>
              <w:rPr>
                <w:rFonts w:ascii="Arial" w:cs="Arial" w:eastAsia="Arial" w:hAnsi="Arial"/>
                <w:sz w:val="17"/>
                <w:szCs w:val="17"/>
                <w:color w:val="auto"/>
              </w:rPr>
              <w:t>Connectivity Program in 2024, which had enabled qualifying lower-income customers to apply a financial subsidy</w:t>
            </w:r>
          </w:p>
        </w:tc>
      </w:tr>
      <w:tr>
        <w:trPr>
          <w:trHeight w:val="189"/>
        </w:trPr>
        <w:tc>
          <w:tcPr>
            <w:tcW w:w="2520" w:type="dxa"/>
            <w:vAlign w:val="bottom"/>
            <w:shd w:val="clear" w:color="auto" w:fill="D8ECF7"/>
          </w:tcPr>
          <w:p>
            <w:pPr>
              <w:spacing w:after="0"/>
              <w:rPr>
                <w:sz w:val="16"/>
                <w:szCs w:val="16"/>
                <w:color w:val="auto"/>
              </w:rPr>
            </w:pPr>
          </w:p>
        </w:tc>
        <w:tc>
          <w:tcPr>
            <w:tcW w:w="8720" w:type="dxa"/>
            <w:vAlign w:val="bottom"/>
            <w:shd w:val="clear" w:color="auto" w:fill="D8ECF7"/>
          </w:tcPr>
          <w:p>
            <w:pPr>
              <w:ind w:left="80"/>
              <w:spacing w:after="0" w:line="189" w:lineRule="exact"/>
              <w:rPr>
                <w:sz w:val="20"/>
                <w:szCs w:val="20"/>
                <w:color w:val="auto"/>
              </w:rPr>
            </w:pPr>
            <w:r>
              <w:rPr>
                <w:rFonts w:ascii="Arial" w:cs="Arial" w:eastAsia="Arial" w:hAnsi="Arial"/>
                <w:sz w:val="17"/>
                <w:szCs w:val="17"/>
                <w:color w:val="auto"/>
              </w:rPr>
              <w:t>to broadband services. In addition, we continued our direct investment in community-based initiatives and</w:t>
            </w:r>
          </w:p>
        </w:tc>
      </w:tr>
      <w:tr>
        <w:trPr>
          <w:trHeight w:val="189"/>
        </w:trPr>
        <w:tc>
          <w:tcPr>
            <w:tcW w:w="2520" w:type="dxa"/>
            <w:vAlign w:val="bottom"/>
            <w:shd w:val="clear" w:color="auto" w:fill="D8ECF7"/>
          </w:tcPr>
          <w:p>
            <w:pPr>
              <w:spacing w:after="0"/>
              <w:rPr>
                <w:sz w:val="16"/>
                <w:szCs w:val="16"/>
                <w:color w:val="auto"/>
              </w:rPr>
            </w:pPr>
          </w:p>
        </w:tc>
        <w:tc>
          <w:tcPr>
            <w:tcW w:w="8720" w:type="dxa"/>
            <w:vAlign w:val="bottom"/>
            <w:shd w:val="clear" w:color="auto" w:fill="D8ECF7"/>
          </w:tcPr>
          <w:p>
            <w:pPr>
              <w:ind w:left="80"/>
              <w:spacing w:after="0" w:line="189" w:lineRule="exact"/>
              <w:rPr>
                <w:sz w:val="20"/>
                <w:szCs w:val="20"/>
                <w:color w:val="auto"/>
              </w:rPr>
            </w:pPr>
            <w:r>
              <w:rPr>
                <w:rFonts w:ascii="Arial" w:cs="Arial" w:eastAsia="Arial" w:hAnsi="Arial"/>
                <w:sz w:val="17"/>
                <w:szCs w:val="17"/>
                <w:color w:val="auto"/>
              </w:rPr>
              <w:t>programs to launch, support and scale digital navigator programs across the country. Digital navigators are</w:t>
            </w:r>
          </w:p>
        </w:tc>
      </w:tr>
      <w:tr>
        <w:trPr>
          <w:trHeight w:val="189"/>
        </w:trPr>
        <w:tc>
          <w:tcPr>
            <w:tcW w:w="2520" w:type="dxa"/>
            <w:vAlign w:val="bottom"/>
            <w:shd w:val="clear" w:color="auto" w:fill="D8ECF7"/>
          </w:tcPr>
          <w:p>
            <w:pPr>
              <w:spacing w:after="0"/>
              <w:rPr>
                <w:sz w:val="16"/>
                <w:szCs w:val="16"/>
                <w:color w:val="auto"/>
              </w:rPr>
            </w:pPr>
          </w:p>
        </w:tc>
        <w:tc>
          <w:tcPr>
            <w:tcW w:w="8720" w:type="dxa"/>
            <w:vAlign w:val="bottom"/>
            <w:shd w:val="clear" w:color="auto" w:fill="D8ECF7"/>
          </w:tcPr>
          <w:p>
            <w:pPr>
              <w:ind w:left="80"/>
              <w:spacing w:after="0" w:line="189" w:lineRule="exact"/>
              <w:rPr>
                <w:sz w:val="20"/>
                <w:szCs w:val="20"/>
                <w:color w:val="auto"/>
              </w:rPr>
            </w:pPr>
            <w:r>
              <w:rPr>
                <w:rFonts w:ascii="Arial" w:cs="Arial" w:eastAsia="Arial" w:hAnsi="Arial"/>
                <w:sz w:val="17"/>
                <w:szCs w:val="17"/>
                <w:color w:val="auto"/>
              </w:rPr>
              <w:t>trusted individuals affiliated with local nonprofits, educational institutions and governmental organizations who are</w:t>
            </w:r>
          </w:p>
        </w:tc>
      </w:tr>
      <w:tr>
        <w:trPr>
          <w:trHeight w:val="284"/>
        </w:trPr>
        <w:tc>
          <w:tcPr>
            <w:tcW w:w="2520" w:type="dxa"/>
            <w:vAlign w:val="bottom"/>
            <w:tcBorders>
              <w:bottom w:val="single" w:sz="8" w:color="D8ECF7"/>
            </w:tcBorders>
            <w:shd w:val="clear" w:color="auto" w:fill="D8ECF7"/>
          </w:tcPr>
          <w:p>
            <w:pPr>
              <w:spacing w:after="0"/>
              <w:rPr>
                <w:sz w:val="24"/>
                <w:szCs w:val="24"/>
                <w:color w:val="auto"/>
              </w:rPr>
            </w:pPr>
          </w:p>
        </w:tc>
        <w:tc>
          <w:tcPr>
            <w:tcW w:w="8720" w:type="dxa"/>
            <w:vAlign w:val="bottom"/>
            <w:tcBorders>
              <w:bottom w:val="single" w:sz="8" w:color="D8ECF7"/>
            </w:tcBorders>
            <w:shd w:val="clear" w:color="auto" w:fill="D8ECF7"/>
          </w:tcPr>
          <w:p>
            <w:pPr>
              <w:ind w:left="80"/>
              <w:spacing w:after="0"/>
              <w:rPr>
                <w:sz w:val="20"/>
                <w:szCs w:val="20"/>
                <w:color w:val="auto"/>
              </w:rPr>
            </w:pPr>
            <w:r>
              <w:rPr>
                <w:rFonts w:ascii="Arial" w:cs="Arial" w:eastAsia="Arial" w:hAnsi="Arial"/>
                <w:sz w:val="17"/>
                <w:szCs w:val="17"/>
                <w:color w:val="auto"/>
              </w:rPr>
              <w:t>trained to help more people get online, secure a device and build digital skills.</w:t>
            </w:r>
          </w:p>
        </w:tc>
      </w:tr>
      <w:tr>
        <w:trPr>
          <w:trHeight w:val="228"/>
        </w:trPr>
        <w:tc>
          <w:tcPr>
            <w:tcW w:w="2520" w:type="dxa"/>
            <w:vAlign w:val="bottom"/>
            <w:tcBorders>
              <w:top w:val="single" w:sz="8" w:color="DCDDDE"/>
            </w:tcBorders>
          </w:tcPr>
          <w:p>
            <w:pPr>
              <w:ind w:left="80"/>
              <w:spacing w:after="0"/>
              <w:rPr>
                <w:sz w:val="20"/>
                <w:szCs w:val="20"/>
                <w:color w:val="auto"/>
              </w:rPr>
            </w:pPr>
            <w:r>
              <w:rPr>
                <w:rFonts w:ascii="Arial" w:cs="Arial" w:eastAsia="Arial" w:hAnsi="Arial"/>
                <w:sz w:val="17"/>
                <w:szCs w:val="17"/>
                <w:b w:val="1"/>
                <w:bCs w:val="1"/>
                <w:color w:val="auto"/>
              </w:rPr>
              <w:t>Company Culture</w:t>
            </w:r>
          </w:p>
        </w:tc>
        <w:tc>
          <w:tcPr>
            <w:tcW w:w="8720" w:type="dxa"/>
            <w:vAlign w:val="bottom"/>
            <w:tcBorders>
              <w:top w:val="single" w:sz="8" w:color="DCDDDE"/>
            </w:tcBorders>
          </w:tcPr>
          <w:p>
            <w:pPr>
              <w:ind w:left="80"/>
              <w:spacing w:after="0"/>
              <w:rPr>
                <w:sz w:val="20"/>
                <w:szCs w:val="20"/>
                <w:color w:val="auto"/>
              </w:rPr>
            </w:pPr>
            <w:r>
              <w:rPr>
                <w:rFonts w:ascii="Arial" w:cs="Arial" w:eastAsia="Arial" w:hAnsi="Arial"/>
                <w:sz w:val="17"/>
                <w:szCs w:val="17"/>
                <w:color w:val="auto"/>
              </w:rPr>
              <w:t>In 2024, we continued efforts around maintaining a workplace culture of respect and integrity that emphasizes</w:t>
            </w:r>
          </w:p>
        </w:tc>
      </w:tr>
      <w:tr>
        <w:trPr>
          <w:trHeight w:val="189"/>
        </w:trPr>
        <w:tc>
          <w:tcPr>
            <w:tcW w:w="2520" w:type="dxa"/>
            <w:vAlign w:val="bottom"/>
          </w:tcPr>
          <w:p>
            <w:pPr>
              <w:spacing w:after="0"/>
              <w:rPr>
                <w:sz w:val="16"/>
                <w:szCs w:val="16"/>
                <w:color w:val="auto"/>
              </w:rPr>
            </w:pPr>
          </w:p>
        </w:tc>
        <w:tc>
          <w:tcPr>
            <w:tcW w:w="8720" w:type="dxa"/>
            <w:vAlign w:val="bottom"/>
          </w:tcPr>
          <w:p>
            <w:pPr>
              <w:ind w:left="80"/>
              <w:spacing w:after="0" w:line="189" w:lineRule="exact"/>
              <w:rPr>
                <w:sz w:val="20"/>
                <w:szCs w:val="20"/>
                <w:color w:val="auto"/>
              </w:rPr>
            </w:pPr>
            <w:r>
              <w:rPr>
                <w:rFonts w:ascii="Arial" w:cs="Arial" w:eastAsia="Arial" w:hAnsi="Arial"/>
                <w:sz w:val="17"/>
                <w:szCs w:val="17"/>
                <w:color w:val="auto"/>
              </w:rPr>
              <w:t>respect for others and intolerance of harassment and discrimination and that helps grow our talent pipeline. Our</w:t>
            </w:r>
          </w:p>
        </w:tc>
      </w:tr>
      <w:tr>
        <w:trPr>
          <w:trHeight w:val="189"/>
        </w:trPr>
        <w:tc>
          <w:tcPr>
            <w:tcW w:w="2520" w:type="dxa"/>
            <w:vAlign w:val="bottom"/>
          </w:tcPr>
          <w:p>
            <w:pPr>
              <w:spacing w:after="0"/>
              <w:rPr>
                <w:sz w:val="16"/>
                <w:szCs w:val="16"/>
                <w:color w:val="auto"/>
              </w:rPr>
            </w:pPr>
          </w:p>
        </w:tc>
        <w:tc>
          <w:tcPr>
            <w:tcW w:w="8720" w:type="dxa"/>
            <w:vAlign w:val="bottom"/>
          </w:tcPr>
          <w:p>
            <w:pPr>
              <w:ind w:left="80"/>
              <w:spacing w:after="0" w:line="189" w:lineRule="exact"/>
              <w:rPr>
                <w:sz w:val="20"/>
                <w:szCs w:val="20"/>
                <w:color w:val="auto"/>
              </w:rPr>
            </w:pPr>
            <w:r>
              <w:rPr>
                <w:rFonts w:ascii="Arial" w:cs="Arial" w:eastAsia="Arial" w:hAnsi="Arial"/>
                <w:sz w:val="17"/>
                <w:szCs w:val="17"/>
                <w:color w:val="auto"/>
              </w:rPr>
              <w:t>annual employee engagement survey reflected strong results in categories covering integrity and respect and</w:t>
            </w:r>
          </w:p>
        </w:tc>
      </w:tr>
      <w:tr>
        <w:trPr>
          <w:trHeight w:val="225"/>
        </w:trPr>
        <w:tc>
          <w:tcPr>
            <w:tcW w:w="2520" w:type="dxa"/>
            <w:vAlign w:val="bottom"/>
          </w:tcPr>
          <w:p>
            <w:pPr>
              <w:spacing w:after="0"/>
              <w:rPr>
                <w:sz w:val="19"/>
                <w:szCs w:val="19"/>
                <w:color w:val="auto"/>
              </w:rPr>
            </w:pPr>
          </w:p>
        </w:tc>
        <w:tc>
          <w:tcPr>
            <w:tcW w:w="8720" w:type="dxa"/>
            <w:vAlign w:val="bottom"/>
          </w:tcPr>
          <w:p>
            <w:pPr>
              <w:ind w:left="80"/>
              <w:spacing w:after="0"/>
              <w:rPr>
                <w:sz w:val="20"/>
                <w:szCs w:val="20"/>
                <w:color w:val="auto"/>
              </w:rPr>
            </w:pPr>
            <w:r>
              <w:rPr>
                <w:rFonts w:ascii="Arial" w:cs="Arial" w:eastAsia="Arial" w:hAnsi="Arial"/>
                <w:sz w:val="17"/>
                <w:szCs w:val="17"/>
                <w:color w:val="auto"/>
              </w:rPr>
              <w:t>overall satisfaction of working at our company.</w:t>
            </w:r>
          </w:p>
        </w:tc>
      </w:tr>
      <w:tr>
        <w:trPr>
          <w:trHeight w:val="54"/>
        </w:trPr>
        <w:tc>
          <w:tcPr>
            <w:tcW w:w="2520" w:type="dxa"/>
            <w:vAlign w:val="bottom"/>
            <w:tcBorders>
              <w:bottom w:val="single" w:sz="8" w:color="DCDDDE"/>
            </w:tcBorders>
          </w:tcPr>
          <w:p>
            <w:pPr>
              <w:spacing w:after="0"/>
              <w:rPr>
                <w:sz w:val="4"/>
                <w:szCs w:val="4"/>
                <w:color w:val="auto"/>
              </w:rPr>
            </w:pPr>
          </w:p>
        </w:tc>
        <w:tc>
          <w:tcPr>
            <w:tcW w:w="8720" w:type="dxa"/>
            <w:vAlign w:val="bottom"/>
            <w:tcBorders>
              <w:bottom w:val="single" w:sz="8" w:color="DCDDDE"/>
            </w:tcBorders>
          </w:tcPr>
          <w:p>
            <w:pPr>
              <w:spacing w:after="0"/>
              <w:rPr>
                <w:sz w:val="4"/>
                <w:szCs w:val="4"/>
                <w:color w:val="auto"/>
              </w:rPr>
            </w:pPr>
          </w:p>
        </w:tc>
      </w:tr>
      <w:tr>
        <w:trPr>
          <w:trHeight w:val="228"/>
        </w:trPr>
        <w:tc>
          <w:tcPr>
            <w:tcW w:w="2520" w:type="dxa"/>
            <w:vAlign w:val="bottom"/>
            <w:shd w:val="clear" w:color="auto" w:fill="D8ECF7"/>
          </w:tcPr>
          <w:p>
            <w:pPr>
              <w:ind w:left="80"/>
              <w:spacing w:after="0"/>
              <w:rPr>
                <w:sz w:val="20"/>
                <w:szCs w:val="20"/>
                <w:color w:val="auto"/>
              </w:rPr>
            </w:pPr>
            <w:r>
              <w:rPr>
                <w:rFonts w:ascii="Arial" w:cs="Arial" w:eastAsia="Arial" w:hAnsi="Arial"/>
                <w:sz w:val="17"/>
                <w:szCs w:val="17"/>
                <w:b w:val="1"/>
                <w:bCs w:val="1"/>
                <w:color w:val="auto"/>
              </w:rPr>
              <w:t>Environmental Sustainability</w:t>
            </w:r>
          </w:p>
        </w:tc>
        <w:tc>
          <w:tcPr>
            <w:tcW w:w="8720" w:type="dxa"/>
            <w:vAlign w:val="bottom"/>
            <w:shd w:val="clear" w:color="auto" w:fill="D8ECF7"/>
          </w:tcPr>
          <w:p>
            <w:pPr>
              <w:ind w:left="80"/>
              <w:spacing w:after="0"/>
              <w:rPr>
                <w:sz w:val="20"/>
                <w:szCs w:val="20"/>
                <w:color w:val="auto"/>
              </w:rPr>
            </w:pPr>
            <w:r>
              <w:rPr>
                <w:rFonts w:ascii="Arial" w:cs="Arial" w:eastAsia="Arial" w:hAnsi="Arial"/>
                <w:sz w:val="17"/>
                <w:szCs w:val="17"/>
                <w:color w:val="auto"/>
              </w:rPr>
              <w:t>We continued to work toward our goal to be carbon neutral by 2035 for Scope 1 and 2 greenhouse gas emissions</w:t>
            </w:r>
          </w:p>
        </w:tc>
      </w:tr>
      <w:tr>
        <w:trPr>
          <w:trHeight w:val="189"/>
        </w:trPr>
        <w:tc>
          <w:tcPr>
            <w:tcW w:w="2520" w:type="dxa"/>
            <w:vAlign w:val="bottom"/>
            <w:shd w:val="clear" w:color="auto" w:fill="D8ECF7"/>
          </w:tcPr>
          <w:p>
            <w:pPr>
              <w:spacing w:after="0"/>
              <w:rPr>
                <w:sz w:val="16"/>
                <w:szCs w:val="16"/>
                <w:color w:val="auto"/>
              </w:rPr>
            </w:pPr>
          </w:p>
        </w:tc>
        <w:tc>
          <w:tcPr>
            <w:tcW w:w="8720" w:type="dxa"/>
            <w:vAlign w:val="bottom"/>
            <w:shd w:val="clear" w:color="auto" w:fill="D8ECF7"/>
          </w:tcPr>
          <w:p>
            <w:pPr>
              <w:ind w:left="80"/>
              <w:spacing w:after="0" w:line="189" w:lineRule="exact"/>
              <w:rPr>
                <w:sz w:val="20"/>
                <w:szCs w:val="20"/>
                <w:color w:val="auto"/>
              </w:rPr>
            </w:pPr>
            <w:r>
              <w:rPr>
                <w:rFonts w:ascii="Arial" w:cs="Arial" w:eastAsia="Arial" w:hAnsi="Arial"/>
                <w:sz w:val="17"/>
                <w:szCs w:val="17"/>
                <w:color w:val="auto"/>
              </w:rPr>
              <w:t>across our global operations, reducing such emissions by 31% from our 2019 base year through year-end 2023</w:t>
            </w:r>
          </w:p>
        </w:tc>
      </w:tr>
      <w:tr>
        <w:trPr>
          <w:trHeight w:val="189"/>
        </w:trPr>
        <w:tc>
          <w:tcPr>
            <w:tcW w:w="2520" w:type="dxa"/>
            <w:vAlign w:val="bottom"/>
            <w:shd w:val="clear" w:color="auto" w:fill="D8ECF7"/>
          </w:tcPr>
          <w:p>
            <w:pPr>
              <w:spacing w:after="0"/>
              <w:rPr>
                <w:sz w:val="16"/>
                <w:szCs w:val="16"/>
                <w:color w:val="auto"/>
              </w:rPr>
            </w:pPr>
          </w:p>
        </w:tc>
        <w:tc>
          <w:tcPr>
            <w:tcW w:w="8720" w:type="dxa"/>
            <w:vAlign w:val="bottom"/>
            <w:shd w:val="clear" w:color="auto" w:fill="D8ECF7"/>
          </w:tcPr>
          <w:p>
            <w:pPr>
              <w:ind w:left="80"/>
              <w:spacing w:after="0" w:line="189" w:lineRule="exact"/>
              <w:rPr>
                <w:sz w:val="20"/>
                <w:szCs w:val="20"/>
                <w:color w:val="auto"/>
              </w:rPr>
            </w:pPr>
            <w:r>
              <w:rPr>
                <w:rFonts w:ascii="Arial" w:cs="Arial" w:eastAsia="Arial" w:hAnsi="Arial"/>
                <w:sz w:val="17"/>
                <w:szCs w:val="17"/>
                <w:color w:val="auto"/>
              </w:rPr>
              <w:t>and submitting our near-term science-based greenhouse gas reduction targets to the Science-Based Targets</w:t>
            </w:r>
          </w:p>
        </w:tc>
      </w:tr>
      <w:tr>
        <w:trPr>
          <w:trHeight w:val="259"/>
        </w:trPr>
        <w:tc>
          <w:tcPr>
            <w:tcW w:w="2520" w:type="dxa"/>
            <w:vAlign w:val="bottom"/>
            <w:tcBorders>
              <w:bottom w:val="single" w:sz="8" w:color="D8ECF7"/>
            </w:tcBorders>
            <w:shd w:val="clear" w:color="auto" w:fill="D8ECF7"/>
          </w:tcPr>
          <w:p>
            <w:pPr>
              <w:spacing w:after="0"/>
              <w:rPr>
                <w:sz w:val="22"/>
                <w:szCs w:val="22"/>
                <w:color w:val="auto"/>
              </w:rPr>
            </w:pPr>
          </w:p>
        </w:tc>
        <w:tc>
          <w:tcPr>
            <w:tcW w:w="8720" w:type="dxa"/>
            <w:vAlign w:val="bottom"/>
            <w:tcBorders>
              <w:bottom w:val="single" w:sz="8" w:color="D8ECF7"/>
            </w:tcBorders>
            <w:shd w:val="clear" w:color="auto" w:fill="D8ECF7"/>
          </w:tcPr>
          <w:p>
            <w:pPr>
              <w:ind w:left="80"/>
              <w:spacing w:after="0"/>
              <w:rPr>
                <w:sz w:val="20"/>
                <w:szCs w:val="20"/>
                <w:color w:val="auto"/>
              </w:rPr>
            </w:pPr>
            <w:r>
              <w:rPr>
                <w:rFonts w:ascii="Arial" w:cs="Arial" w:eastAsia="Arial" w:hAnsi="Arial"/>
                <w:sz w:val="17"/>
                <w:szCs w:val="17"/>
                <w:color w:val="auto"/>
              </w:rPr>
              <w:t>initiative for validation.</w:t>
            </w:r>
          </w:p>
        </w:tc>
      </w:tr>
      <w:tr>
        <w:trPr>
          <w:trHeight w:val="20"/>
        </w:trPr>
        <w:tc>
          <w:tcPr>
            <w:tcW w:w="2520" w:type="dxa"/>
            <w:vAlign w:val="bottom"/>
            <w:shd w:val="clear" w:color="auto" w:fill="000000"/>
          </w:tcPr>
          <w:p>
            <w:pPr>
              <w:spacing w:after="0" w:line="20" w:lineRule="exact"/>
              <w:rPr>
                <w:sz w:val="1"/>
                <w:szCs w:val="1"/>
                <w:color w:val="auto"/>
              </w:rPr>
            </w:pPr>
          </w:p>
        </w:tc>
        <w:tc>
          <w:tcPr>
            <w:tcW w:w="8720" w:type="dxa"/>
            <w:vAlign w:val="bottom"/>
            <w:shd w:val="clear" w:color="auto" w:fill="000000"/>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2024 NEO Performance</w:t>
      </w:r>
    </w:p>
    <w:p>
      <w:pPr>
        <w:spacing w:after="0" w:line="208"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Compensation Committee also evaluated each NEO’s overall management and leadership of our company in connection with its determination of overall achievement of, and progress toward, our 2024 operational and stakeholder goals.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180" w:type="dxa"/>
            <w:vAlign w:val="bottom"/>
            <w:tcBorders>
              <w:top w:val="single" w:sz="8" w:color="auto"/>
            </w:tcBorders>
            <w:shd w:val="clear" w:color="auto" w:fill="D8ECF7"/>
          </w:tcPr>
          <w:p>
            <w:pPr>
              <w:ind w:left="80"/>
              <w:spacing w:after="0"/>
              <w:rPr>
                <w:sz w:val="20"/>
                <w:szCs w:val="20"/>
                <w:color w:val="auto"/>
              </w:rPr>
            </w:pPr>
            <w:r>
              <w:rPr>
                <w:rFonts w:ascii="Arial" w:cs="Arial" w:eastAsia="Arial" w:hAnsi="Arial"/>
                <w:sz w:val="17"/>
                <w:szCs w:val="17"/>
                <w:b w:val="1"/>
                <w:bCs w:val="1"/>
                <w:color w:val="auto"/>
              </w:rPr>
              <w:t>Brian L. Roberts</w:t>
            </w:r>
          </w:p>
        </w:tc>
        <w:tc>
          <w:tcPr>
            <w:tcW w:w="8900" w:type="dxa"/>
            <w:vAlign w:val="bottom"/>
            <w:tcBorders>
              <w:top w:val="single" w:sz="8" w:color="auto"/>
            </w:tcBorders>
            <w:shd w:val="clear" w:color="auto" w:fill="D8ECF7"/>
          </w:tcPr>
          <w:p>
            <w:pPr>
              <w:ind w:left="420"/>
              <w:spacing w:after="0"/>
              <w:rPr>
                <w:sz w:val="20"/>
                <w:szCs w:val="20"/>
                <w:color w:val="auto"/>
              </w:rPr>
            </w:pPr>
            <w:r>
              <w:rPr>
                <w:rFonts w:ascii="Arial" w:cs="Arial" w:eastAsia="Arial" w:hAnsi="Arial"/>
                <w:sz w:val="17"/>
                <w:szCs w:val="17"/>
                <w:color w:val="auto"/>
              </w:rPr>
              <w:t>Mr. Roberts provided invaluable long-term vision and stability as he continued to lead the execution of our</w:t>
            </w:r>
          </w:p>
        </w:tc>
        <w:tc>
          <w:tcPr>
            <w:tcW w:w="160" w:type="dxa"/>
            <w:vAlign w:val="bottom"/>
            <w:tcBorders>
              <w:top w:val="single" w:sz="8" w:color="auto"/>
            </w:tcBorders>
            <w:shd w:val="clear" w:color="auto" w:fill="D8ECF7"/>
          </w:tcPr>
          <w:p>
            <w:pPr>
              <w:spacing w:after="0"/>
              <w:rPr>
                <w:sz w:val="21"/>
                <w:szCs w:val="21"/>
                <w:color w:val="auto"/>
              </w:rPr>
            </w:pPr>
          </w:p>
        </w:tc>
      </w:tr>
      <w:tr>
        <w:trPr>
          <w:trHeight w:val="189"/>
        </w:trPr>
        <w:tc>
          <w:tcPr>
            <w:tcW w:w="2180" w:type="dxa"/>
            <w:vAlign w:val="bottom"/>
            <w:shd w:val="clear" w:color="auto" w:fill="D8ECF7"/>
          </w:tcPr>
          <w:p>
            <w:pPr>
              <w:spacing w:after="0"/>
              <w:rPr>
                <w:sz w:val="16"/>
                <w:szCs w:val="16"/>
                <w:color w:val="auto"/>
              </w:rPr>
            </w:pPr>
          </w:p>
        </w:tc>
        <w:tc>
          <w:tcPr>
            <w:tcW w:w="8900" w:type="dxa"/>
            <w:vAlign w:val="bottom"/>
            <w:shd w:val="clear" w:color="auto" w:fill="D8ECF7"/>
          </w:tcPr>
          <w:p>
            <w:pPr>
              <w:ind w:left="420"/>
              <w:spacing w:after="0" w:line="189" w:lineRule="exact"/>
              <w:rPr>
                <w:sz w:val="20"/>
                <w:szCs w:val="20"/>
                <w:color w:val="auto"/>
              </w:rPr>
            </w:pPr>
            <w:r>
              <w:rPr>
                <w:rFonts w:ascii="Arial" w:cs="Arial" w:eastAsia="Arial" w:hAnsi="Arial"/>
                <w:sz w:val="17"/>
                <w:szCs w:val="17"/>
                <w:color w:val="auto"/>
              </w:rPr>
              <w:t>company’s strategy worldwide, especially in light of competitive challenges. Under his leadership along with Mr.</w:t>
            </w:r>
          </w:p>
        </w:tc>
        <w:tc>
          <w:tcPr>
            <w:tcW w:w="160" w:type="dxa"/>
            <w:vAlign w:val="bottom"/>
            <w:shd w:val="clear" w:color="auto" w:fill="D8ECF7"/>
          </w:tcPr>
          <w:p>
            <w:pPr>
              <w:spacing w:after="0"/>
              <w:rPr>
                <w:sz w:val="16"/>
                <w:szCs w:val="16"/>
                <w:color w:val="auto"/>
              </w:rPr>
            </w:pPr>
          </w:p>
        </w:tc>
      </w:tr>
      <w:tr>
        <w:trPr>
          <w:trHeight w:val="189"/>
        </w:trPr>
        <w:tc>
          <w:tcPr>
            <w:tcW w:w="2180" w:type="dxa"/>
            <w:vAlign w:val="bottom"/>
            <w:shd w:val="clear" w:color="auto" w:fill="D8ECF7"/>
          </w:tcPr>
          <w:p>
            <w:pPr>
              <w:spacing w:after="0"/>
              <w:rPr>
                <w:sz w:val="16"/>
                <w:szCs w:val="16"/>
                <w:color w:val="auto"/>
              </w:rPr>
            </w:pPr>
          </w:p>
        </w:tc>
        <w:tc>
          <w:tcPr>
            <w:tcW w:w="8900" w:type="dxa"/>
            <w:vAlign w:val="bottom"/>
            <w:shd w:val="clear" w:color="auto" w:fill="D8ECF7"/>
          </w:tcPr>
          <w:p>
            <w:pPr>
              <w:ind w:left="420"/>
              <w:spacing w:after="0" w:line="189" w:lineRule="exact"/>
              <w:rPr>
                <w:sz w:val="20"/>
                <w:szCs w:val="20"/>
                <w:color w:val="auto"/>
              </w:rPr>
            </w:pPr>
            <w:r>
              <w:rPr>
                <w:rFonts w:ascii="Arial" w:cs="Arial" w:eastAsia="Arial" w:hAnsi="Arial"/>
                <w:sz w:val="17"/>
                <w:szCs w:val="17"/>
                <w:color w:val="auto"/>
              </w:rPr>
              <w:t>Cavanagh, we announced our intention to spin off a strong portfolio of cable television networks and</w:t>
            </w:r>
          </w:p>
        </w:tc>
        <w:tc>
          <w:tcPr>
            <w:tcW w:w="160" w:type="dxa"/>
            <w:vAlign w:val="bottom"/>
            <w:shd w:val="clear" w:color="auto" w:fill="D8ECF7"/>
          </w:tcPr>
          <w:p>
            <w:pPr>
              <w:spacing w:after="0"/>
              <w:rPr>
                <w:sz w:val="16"/>
                <w:szCs w:val="16"/>
                <w:color w:val="auto"/>
              </w:rPr>
            </w:pPr>
          </w:p>
        </w:tc>
      </w:tr>
      <w:tr>
        <w:trPr>
          <w:trHeight w:val="189"/>
        </w:trPr>
        <w:tc>
          <w:tcPr>
            <w:tcW w:w="2180" w:type="dxa"/>
            <w:vAlign w:val="bottom"/>
            <w:shd w:val="clear" w:color="auto" w:fill="D8ECF7"/>
          </w:tcPr>
          <w:p>
            <w:pPr>
              <w:spacing w:after="0"/>
              <w:rPr>
                <w:sz w:val="16"/>
                <w:szCs w:val="16"/>
                <w:color w:val="auto"/>
              </w:rPr>
            </w:pPr>
          </w:p>
        </w:tc>
        <w:tc>
          <w:tcPr>
            <w:tcW w:w="8900" w:type="dxa"/>
            <w:vAlign w:val="bottom"/>
            <w:shd w:val="clear" w:color="auto" w:fill="D8ECF7"/>
          </w:tcPr>
          <w:p>
            <w:pPr>
              <w:ind w:left="420"/>
              <w:spacing w:after="0" w:line="189" w:lineRule="exact"/>
              <w:rPr>
                <w:sz w:val="20"/>
                <w:szCs w:val="20"/>
                <w:color w:val="auto"/>
              </w:rPr>
            </w:pPr>
            <w:r>
              <w:rPr>
                <w:rFonts w:ascii="Arial" w:cs="Arial" w:eastAsia="Arial" w:hAnsi="Arial"/>
                <w:sz w:val="17"/>
                <w:szCs w:val="17"/>
                <w:color w:val="auto"/>
              </w:rPr>
              <w:t>complementary digital assets in a tax-free transaction expected to be completed in 2025. Mr. Roberts sets the</w:t>
            </w:r>
          </w:p>
        </w:tc>
        <w:tc>
          <w:tcPr>
            <w:tcW w:w="160" w:type="dxa"/>
            <w:vAlign w:val="bottom"/>
            <w:shd w:val="clear" w:color="auto" w:fill="D8ECF7"/>
          </w:tcPr>
          <w:p>
            <w:pPr>
              <w:spacing w:after="0"/>
              <w:rPr>
                <w:sz w:val="16"/>
                <w:szCs w:val="16"/>
                <w:color w:val="auto"/>
              </w:rPr>
            </w:pPr>
          </w:p>
        </w:tc>
      </w:tr>
      <w:tr>
        <w:trPr>
          <w:trHeight w:val="189"/>
        </w:trPr>
        <w:tc>
          <w:tcPr>
            <w:tcW w:w="2180" w:type="dxa"/>
            <w:vAlign w:val="bottom"/>
            <w:shd w:val="clear" w:color="auto" w:fill="D8ECF7"/>
          </w:tcPr>
          <w:p>
            <w:pPr>
              <w:spacing w:after="0"/>
              <w:rPr>
                <w:sz w:val="16"/>
                <w:szCs w:val="16"/>
                <w:color w:val="auto"/>
              </w:rPr>
            </w:pPr>
          </w:p>
        </w:tc>
        <w:tc>
          <w:tcPr>
            <w:tcW w:w="8900" w:type="dxa"/>
            <w:vAlign w:val="bottom"/>
            <w:shd w:val="clear" w:color="auto" w:fill="D8ECF7"/>
          </w:tcPr>
          <w:p>
            <w:pPr>
              <w:ind w:left="420"/>
              <w:spacing w:after="0" w:line="189" w:lineRule="exact"/>
              <w:rPr>
                <w:sz w:val="20"/>
                <w:szCs w:val="20"/>
                <w:color w:val="auto"/>
              </w:rPr>
            </w:pPr>
            <w:r>
              <w:rPr>
                <w:rFonts w:ascii="Arial" w:cs="Arial" w:eastAsia="Arial" w:hAnsi="Arial"/>
                <w:sz w:val="17"/>
                <w:szCs w:val="17"/>
                <w:color w:val="auto"/>
              </w:rPr>
              <w:t>tone for our businesses to execute at the highest level and to continue their strong collaboration. Mr. Roberts</w:t>
            </w:r>
          </w:p>
        </w:tc>
        <w:tc>
          <w:tcPr>
            <w:tcW w:w="160" w:type="dxa"/>
            <w:vAlign w:val="bottom"/>
            <w:shd w:val="clear" w:color="auto" w:fill="D8ECF7"/>
          </w:tcPr>
          <w:p>
            <w:pPr>
              <w:spacing w:after="0"/>
              <w:rPr>
                <w:sz w:val="16"/>
                <w:szCs w:val="16"/>
                <w:color w:val="auto"/>
              </w:rPr>
            </w:pPr>
          </w:p>
        </w:tc>
      </w:tr>
      <w:tr>
        <w:trPr>
          <w:trHeight w:val="189"/>
        </w:trPr>
        <w:tc>
          <w:tcPr>
            <w:tcW w:w="2180" w:type="dxa"/>
            <w:vAlign w:val="bottom"/>
            <w:shd w:val="clear" w:color="auto" w:fill="D8ECF7"/>
          </w:tcPr>
          <w:p>
            <w:pPr>
              <w:spacing w:after="0"/>
              <w:rPr>
                <w:sz w:val="16"/>
                <w:szCs w:val="16"/>
                <w:color w:val="auto"/>
              </w:rPr>
            </w:pPr>
          </w:p>
        </w:tc>
        <w:tc>
          <w:tcPr>
            <w:tcW w:w="8900" w:type="dxa"/>
            <w:vAlign w:val="bottom"/>
            <w:shd w:val="clear" w:color="auto" w:fill="D8ECF7"/>
          </w:tcPr>
          <w:p>
            <w:pPr>
              <w:ind w:left="420"/>
              <w:spacing w:after="0" w:line="189" w:lineRule="exact"/>
              <w:rPr>
                <w:sz w:val="20"/>
                <w:szCs w:val="20"/>
                <w:color w:val="auto"/>
              </w:rPr>
            </w:pPr>
            <w:r>
              <w:rPr>
                <w:rFonts w:ascii="Arial" w:cs="Arial" w:eastAsia="Arial" w:hAnsi="Arial"/>
                <w:sz w:val="17"/>
                <w:szCs w:val="17"/>
                <w:color w:val="auto"/>
              </w:rPr>
              <w:t>continues to thoughtfully develop key senior leadership talent and has continued our company’s commitment to</w:t>
            </w:r>
          </w:p>
        </w:tc>
        <w:tc>
          <w:tcPr>
            <w:tcW w:w="160" w:type="dxa"/>
            <w:vAlign w:val="bottom"/>
            <w:shd w:val="clear" w:color="auto" w:fill="D8ECF7"/>
          </w:tcPr>
          <w:p>
            <w:pPr>
              <w:spacing w:after="0"/>
              <w:rPr>
                <w:sz w:val="16"/>
                <w:szCs w:val="16"/>
                <w:color w:val="auto"/>
              </w:rPr>
            </w:pPr>
          </w:p>
        </w:tc>
      </w:tr>
      <w:tr>
        <w:trPr>
          <w:trHeight w:val="259"/>
        </w:trPr>
        <w:tc>
          <w:tcPr>
            <w:tcW w:w="2180" w:type="dxa"/>
            <w:vAlign w:val="bottom"/>
            <w:tcBorders>
              <w:bottom w:val="single" w:sz="8" w:color="D8ECF7"/>
            </w:tcBorders>
            <w:shd w:val="clear" w:color="auto" w:fill="D8ECF7"/>
          </w:tcPr>
          <w:p>
            <w:pPr>
              <w:spacing w:after="0"/>
              <w:rPr>
                <w:sz w:val="22"/>
                <w:szCs w:val="22"/>
                <w:color w:val="auto"/>
              </w:rPr>
            </w:pPr>
          </w:p>
        </w:tc>
        <w:tc>
          <w:tcPr>
            <w:tcW w:w="8900" w:type="dxa"/>
            <w:vAlign w:val="bottom"/>
            <w:tcBorders>
              <w:bottom w:val="single" w:sz="8" w:color="D8ECF7"/>
            </w:tcBorders>
            <w:shd w:val="clear" w:color="auto" w:fill="D8ECF7"/>
          </w:tcPr>
          <w:p>
            <w:pPr>
              <w:ind w:left="420"/>
              <w:spacing w:after="0"/>
              <w:rPr>
                <w:sz w:val="20"/>
                <w:szCs w:val="20"/>
                <w:color w:val="auto"/>
              </w:rPr>
            </w:pPr>
            <w:r>
              <w:rPr>
                <w:rFonts w:ascii="Arial" w:cs="Arial" w:eastAsia="Arial" w:hAnsi="Arial"/>
                <w:sz w:val="17"/>
                <w:szCs w:val="17"/>
                <w:color w:val="auto"/>
              </w:rPr>
              <w:t>advancing digital opportunity, a culture of integrity and respect and environmental sustainability.</w:t>
            </w:r>
          </w:p>
        </w:tc>
        <w:tc>
          <w:tcPr>
            <w:tcW w:w="160" w:type="dxa"/>
            <w:vAlign w:val="bottom"/>
            <w:tcBorders>
              <w:bottom w:val="single" w:sz="8" w:color="D8ECF7"/>
            </w:tcBorders>
            <w:shd w:val="clear" w:color="auto" w:fill="D8ECF7"/>
          </w:tcPr>
          <w:p>
            <w:pPr>
              <w:spacing w:after="0"/>
              <w:rPr>
                <w:sz w:val="22"/>
                <w:szCs w:val="22"/>
                <w:color w:val="auto"/>
              </w:rPr>
            </w:pPr>
          </w:p>
        </w:tc>
      </w:tr>
      <w:tr>
        <w:trPr>
          <w:trHeight w:val="234"/>
        </w:trPr>
        <w:tc>
          <w:tcPr>
            <w:tcW w:w="2180" w:type="dxa"/>
            <w:vAlign w:val="bottom"/>
          </w:tcPr>
          <w:p>
            <w:pPr>
              <w:ind w:left="80"/>
              <w:spacing w:after="0"/>
              <w:rPr>
                <w:sz w:val="20"/>
                <w:szCs w:val="20"/>
                <w:color w:val="auto"/>
              </w:rPr>
            </w:pPr>
            <w:r>
              <w:rPr>
                <w:rFonts w:ascii="Arial" w:cs="Arial" w:eastAsia="Arial" w:hAnsi="Arial"/>
                <w:sz w:val="17"/>
                <w:szCs w:val="17"/>
                <w:b w:val="1"/>
                <w:bCs w:val="1"/>
                <w:color w:val="auto"/>
              </w:rPr>
              <w:t>Michael J. Cavanagh</w:t>
            </w:r>
          </w:p>
        </w:tc>
        <w:tc>
          <w:tcPr>
            <w:tcW w:w="8900" w:type="dxa"/>
            <w:vAlign w:val="bottom"/>
          </w:tcPr>
          <w:p>
            <w:pPr>
              <w:ind w:left="420"/>
              <w:spacing w:after="0"/>
              <w:rPr>
                <w:sz w:val="20"/>
                <w:szCs w:val="20"/>
                <w:color w:val="auto"/>
              </w:rPr>
            </w:pPr>
            <w:r>
              <w:rPr>
                <w:rFonts w:ascii="Arial" w:cs="Arial" w:eastAsia="Arial" w:hAnsi="Arial"/>
                <w:sz w:val="17"/>
                <w:szCs w:val="17"/>
                <w:color w:val="auto"/>
              </w:rPr>
              <w:t>Alongside Mr. Roberts, Mr. Cavanagh led the successful execution of key decisions on critical strategic and</w:t>
            </w:r>
          </w:p>
        </w:tc>
        <w:tc>
          <w:tcPr>
            <w:tcW w:w="160" w:type="dxa"/>
            <w:vAlign w:val="bottom"/>
          </w:tcPr>
          <w:p>
            <w:pPr>
              <w:spacing w:after="0"/>
              <w:rPr>
                <w:sz w:val="20"/>
                <w:szCs w:val="20"/>
                <w:color w:val="auto"/>
              </w:rPr>
            </w:pPr>
          </w:p>
        </w:tc>
      </w:tr>
      <w:tr>
        <w:trPr>
          <w:trHeight w:val="189"/>
        </w:trPr>
        <w:tc>
          <w:tcPr>
            <w:tcW w:w="2180" w:type="dxa"/>
            <w:vAlign w:val="bottom"/>
          </w:tcPr>
          <w:p>
            <w:pPr>
              <w:spacing w:after="0"/>
              <w:rPr>
                <w:sz w:val="16"/>
                <w:szCs w:val="16"/>
                <w:color w:val="auto"/>
              </w:rPr>
            </w:pPr>
          </w:p>
        </w:tc>
        <w:tc>
          <w:tcPr>
            <w:tcW w:w="8900" w:type="dxa"/>
            <w:vAlign w:val="bottom"/>
          </w:tcPr>
          <w:p>
            <w:pPr>
              <w:ind w:left="420"/>
              <w:spacing w:after="0" w:line="189" w:lineRule="exact"/>
              <w:rPr>
                <w:sz w:val="20"/>
                <w:szCs w:val="20"/>
                <w:color w:val="auto"/>
              </w:rPr>
            </w:pPr>
            <w:r>
              <w:rPr>
                <w:rFonts w:ascii="Arial" w:cs="Arial" w:eastAsia="Arial" w:hAnsi="Arial"/>
                <w:sz w:val="17"/>
                <w:szCs w:val="17"/>
                <w:color w:val="auto"/>
              </w:rPr>
              <w:t>operational initiatives across all of our businesses, including the spin-off. He also provided strong leadership to</w:t>
            </w:r>
          </w:p>
        </w:tc>
        <w:tc>
          <w:tcPr>
            <w:tcW w:w="160" w:type="dxa"/>
            <w:vAlign w:val="bottom"/>
          </w:tcPr>
          <w:p>
            <w:pPr>
              <w:spacing w:after="0"/>
              <w:rPr>
                <w:sz w:val="16"/>
                <w:szCs w:val="16"/>
                <w:color w:val="auto"/>
              </w:rPr>
            </w:pPr>
          </w:p>
        </w:tc>
      </w:tr>
      <w:tr>
        <w:trPr>
          <w:trHeight w:val="189"/>
        </w:trPr>
        <w:tc>
          <w:tcPr>
            <w:tcW w:w="2180" w:type="dxa"/>
            <w:vAlign w:val="bottom"/>
          </w:tcPr>
          <w:p>
            <w:pPr>
              <w:spacing w:after="0"/>
              <w:rPr>
                <w:sz w:val="16"/>
                <w:szCs w:val="16"/>
                <w:color w:val="auto"/>
              </w:rPr>
            </w:pPr>
          </w:p>
        </w:tc>
        <w:tc>
          <w:tcPr>
            <w:tcW w:w="8900" w:type="dxa"/>
            <w:vAlign w:val="bottom"/>
          </w:tcPr>
          <w:p>
            <w:pPr>
              <w:ind w:left="420"/>
              <w:spacing w:after="0" w:line="189" w:lineRule="exact"/>
              <w:rPr>
                <w:sz w:val="20"/>
                <w:szCs w:val="20"/>
                <w:color w:val="auto"/>
              </w:rPr>
            </w:pPr>
            <w:r>
              <w:rPr>
                <w:rFonts w:ascii="Arial" w:cs="Arial" w:eastAsia="Arial" w:hAnsi="Arial"/>
                <w:sz w:val="17"/>
                <w:szCs w:val="17"/>
                <w:color w:val="auto"/>
              </w:rPr>
              <w:t>NBCUniversal, including the strategic vision to position the spun-off company and our remaining NBCUniversal</w:t>
            </w:r>
          </w:p>
        </w:tc>
        <w:tc>
          <w:tcPr>
            <w:tcW w:w="160" w:type="dxa"/>
            <w:vAlign w:val="bottom"/>
          </w:tcPr>
          <w:p>
            <w:pPr>
              <w:spacing w:after="0"/>
              <w:rPr>
                <w:sz w:val="16"/>
                <w:szCs w:val="16"/>
                <w:color w:val="auto"/>
              </w:rPr>
            </w:pPr>
          </w:p>
        </w:tc>
      </w:tr>
      <w:tr>
        <w:trPr>
          <w:trHeight w:val="189"/>
        </w:trPr>
        <w:tc>
          <w:tcPr>
            <w:tcW w:w="2180" w:type="dxa"/>
            <w:vAlign w:val="bottom"/>
          </w:tcPr>
          <w:p>
            <w:pPr>
              <w:spacing w:after="0"/>
              <w:rPr>
                <w:sz w:val="16"/>
                <w:szCs w:val="16"/>
                <w:color w:val="auto"/>
              </w:rPr>
            </w:pPr>
          </w:p>
        </w:tc>
        <w:tc>
          <w:tcPr>
            <w:tcW w:w="8900" w:type="dxa"/>
            <w:vAlign w:val="bottom"/>
          </w:tcPr>
          <w:p>
            <w:pPr>
              <w:ind w:left="420"/>
              <w:spacing w:after="0" w:line="189" w:lineRule="exact"/>
              <w:rPr>
                <w:sz w:val="20"/>
                <w:szCs w:val="20"/>
                <w:color w:val="auto"/>
              </w:rPr>
            </w:pPr>
            <w:r>
              <w:rPr>
                <w:rFonts w:ascii="Arial" w:cs="Arial" w:eastAsia="Arial" w:hAnsi="Arial"/>
                <w:sz w:val="17"/>
                <w:szCs w:val="17"/>
                <w:color w:val="auto"/>
              </w:rPr>
              <w:t>media businesses to compete better in the evolving media industry landscape. NBCUniversal’s businesses had</w:t>
            </w:r>
          </w:p>
        </w:tc>
        <w:tc>
          <w:tcPr>
            <w:tcW w:w="160" w:type="dxa"/>
            <w:vAlign w:val="bottom"/>
          </w:tcPr>
          <w:p>
            <w:pPr>
              <w:spacing w:after="0"/>
              <w:rPr>
                <w:sz w:val="16"/>
                <w:szCs w:val="16"/>
                <w:color w:val="auto"/>
              </w:rPr>
            </w:pPr>
          </w:p>
        </w:tc>
      </w:tr>
      <w:tr>
        <w:trPr>
          <w:trHeight w:val="189"/>
        </w:trPr>
        <w:tc>
          <w:tcPr>
            <w:tcW w:w="2180" w:type="dxa"/>
            <w:vAlign w:val="bottom"/>
          </w:tcPr>
          <w:p>
            <w:pPr>
              <w:spacing w:after="0"/>
              <w:rPr>
                <w:sz w:val="16"/>
                <w:szCs w:val="16"/>
                <w:color w:val="auto"/>
              </w:rPr>
            </w:pPr>
          </w:p>
        </w:tc>
        <w:tc>
          <w:tcPr>
            <w:tcW w:w="8900" w:type="dxa"/>
            <w:vAlign w:val="bottom"/>
          </w:tcPr>
          <w:p>
            <w:pPr>
              <w:ind w:left="420"/>
              <w:spacing w:after="0" w:line="189" w:lineRule="exact"/>
              <w:rPr>
                <w:sz w:val="20"/>
                <w:szCs w:val="20"/>
                <w:color w:val="auto"/>
              </w:rPr>
            </w:pPr>
            <w:r>
              <w:rPr>
                <w:rFonts w:ascii="Arial" w:cs="Arial" w:eastAsia="Arial" w:hAnsi="Arial"/>
                <w:sz w:val="17"/>
                <w:szCs w:val="17"/>
                <w:color w:val="auto"/>
              </w:rPr>
              <w:t>strong results, with Peacock growing revenue and mitigating its Adjusted EBITDA losses by nearly $1 billion and</w:t>
            </w:r>
          </w:p>
        </w:tc>
        <w:tc>
          <w:tcPr>
            <w:tcW w:w="160" w:type="dxa"/>
            <w:vAlign w:val="bottom"/>
          </w:tcPr>
          <w:p>
            <w:pPr>
              <w:spacing w:after="0"/>
              <w:rPr>
                <w:sz w:val="16"/>
                <w:szCs w:val="16"/>
                <w:color w:val="auto"/>
              </w:rPr>
            </w:pPr>
          </w:p>
        </w:tc>
      </w:tr>
      <w:tr>
        <w:trPr>
          <w:trHeight w:val="225"/>
        </w:trPr>
        <w:tc>
          <w:tcPr>
            <w:tcW w:w="218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7"/>
                <w:szCs w:val="17"/>
                <w:color w:val="auto"/>
              </w:rPr>
              <w:t>Universal Studios being the #2 film studio at the worldwide box office.</w:t>
            </w:r>
          </w:p>
        </w:tc>
        <w:tc>
          <w:tcPr>
            <w:tcW w:w="160" w:type="dxa"/>
            <w:vAlign w:val="bottom"/>
          </w:tcPr>
          <w:p>
            <w:pPr>
              <w:spacing w:after="0"/>
              <w:rPr>
                <w:sz w:val="19"/>
                <w:szCs w:val="19"/>
                <w:color w:val="auto"/>
              </w:rPr>
            </w:pPr>
          </w:p>
        </w:tc>
      </w:tr>
      <w:tr>
        <w:trPr>
          <w:trHeight w:val="424"/>
        </w:trPr>
        <w:tc>
          <w:tcPr>
            <w:tcW w:w="2180" w:type="dxa"/>
            <w:vAlign w:val="bottom"/>
          </w:tcPr>
          <w:p>
            <w:pPr>
              <w:spacing w:after="0"/>
              <w:rPr>
                <w:sz w:val="24"/>
                <w:szCs w:val="24"/>
                <w:color w:val="auto"/>
              </w:rPr>
            </w:pPr>
          </w:p>
        </w:tc>
        <w:tc>
          <w:tcPr>
            <w:tcW w:w="8900" w:type="dxa"/>
            <w:vAlign w:val="bottom"/>
          </w:tcPr>
          <w:p>
            <w:pPr>
              <w:ind w:left="736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w w:val="96"/>
              </w:rPr>
              <w:t>33</w:t>
            </w:r>
          </w:p>
        </w:tc>
      </w:tr>
      <w:tr>
        <w:trPr>
          <w:trHeight w:val="231"/>
        </w:trPr>
        <w:tc>
          <w:tcPr>
            <w:tcW w:w="2180" w:type="dxa"/>
            <w:vAlign w:val="bottom"/>
            <w:tcBorders>
              <w:bottom w:val="single" w:sz="8" w:color="A1A1A1"/>
            </w:tcBorders>
          </w:tcPr>
          <w:p>
            <w:pPr>
              <w:spacing w:after="0"/>
              <w:rPr>
                <w:sz w:val="20"/>
                <w:szCs w:val="20"/>
                <w:color w:val="auto"/>
              </w:rPr>
            </w:pPr>
          </w:p>
        </w:tc>
        <w:tc>
          <w:tcPr>
            <w:tcW w:w="8900" w:type="dxa"/>
            <w:vAlign w:val="bottom"/>
            <w:tcBorders>
              <w:bottom w:val="single" w:sz="8" w:color="A1A1A1"/>
            </w:tcBorders>
          </w:tcPr>
          <w:p>
            <w:pPr>
              <w:spacing w:after="0"/>
              <w:rPr>
                <w:sz w:val="20"/>
                <w:szCs w:val="20"/>
                <w:color w:val="auto"/>
              </w:rPr>
            </w:pPr>
          </w:p>
        </w:tc>
        <w:tc>
          <w:tcPr>
            <w:tcW w:w="16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shd w:val="clear" w:color="auto" w:fill="D8ECF7"/>
          </w:tcPr>
          <w:p>
            <w:pPr>
              <w:ind w:left="80"/>
              <w:spacing w:after="0"/>
              <w:rPr>
                <w:sz w:val="20"/>
                <w:szCs w:val="20"/>
                <w:color w:val="auto"/>
              </w:rPr>
            </w:pPr>
            <w:r>
              <w:rPr>
                <w:rFonts w:ascii="Arial" w:cs="Arial" w:eastAsia="Arial" w:hAnsi="Arial"/>
                <w:sz w:val="17"/>
                <w:szCs w:val="17"/>
                <w:b w:val="1"/>
                <w:bCs w:val="1"/>
                <w:color w:val="auto"/>
              </w:rPr>
              <w:t>Jason S. Armstrong</w:t>
            </w:r>
          </w:p>
        </w:tc>
        <w:tc>
          <w:tcPr>
            <w:tcW w:w="8900" w:type="dxa"/>
            <w:vAlign w:val="bottom"/>
            <w:shd w:val="clear" w:color="auto" w:fill="D8ECF7"/>
          </w:tcPr>
          <w:p>
            <w:pPr>
              <w:ind w:left="260"/>
              <w:spacing w:after="0"/>
              <w:rPr>
                <w:sz w:val="20"/>
                <w:szCs w:val="20"/>
                <w:color w:val="auto"/>
              </w:rPr>
            </w:pPr>
            <w:r>
              <w:rPr>
                <w:rFonts w:ascii="Arial" w:cs="Arial" w:eastAsia="Arial" w:hAnsi="Arial"/>
                <w:sz w:val="17"/>
                <w:szCs w:val="17"/>
                <w:color w:val="auto"/>
              </w:rPr>
              <w:t>Mr. Armstrong provided strong leadership of our finance, accounting, tax, investor relations and treasury</w:t>
            </w:r>
          </w:p>
        </w:tc>
      </w:tr>
      <w:tr>
        <w:trPr>
          <w:trHeight w:val="189"/>
        </w:trPr>
        <w:tc>
          <w:tcPr>
            <w:tcW w:w="2340" w:type="dxa"/>
            <w:vAlign w:val="bottom"/>
            <w:shd w:val="clear" w:color="auto" w:fill="D8ECF7"/>
          </w:tcPr>
          <w:p>
            <w:pPr>
              <w:spacing w:after="0"/>
              <w:rPr>
                <w:sz w:val="16"/>
                <w:szCs w:val="16"/>
                <w:color w:val="auto"/>
              </w:rPr>
            </w:pPr>
          </w:p>
        </w:tc>
        <w:tc>
          <w:tcPr>
            <w:tcW w:w="8900" w:type="dxa"/>
            <w:vAlign w:val="bottom"/>
            <w:shd w:val="clear" w:color="auto" w:fill="D8ECF7"/>
          </w:tcPr>
          <w:p>
            <w:pPr>
              <w:ind w:left="260"/>
              <w:spacing w:after="0" w:line="189" w:lineRule="exact"/>
              <w:rPr>
                <w:sz w:val="20"/>
                <w:szCs w:val="20"/>
                <w:color w:val="auto"/>
              </w:rPr>
            </w:pPr>
            <w:r>
              <w:rPr>
                <w:rFonts w:ascii="Arial" w:cs="Arial" w:eastAsia="Arial" w:hAnsi="Arial"/>
                <w:sz w:val="17"/>
                <w:szCs w:val="17"/>
                <w:color w:val="auto"/>
              </w:rPr>
              <w:t>functions. He led our overall long-range planning process, helping to ensure it supports our growth initiatives, and</w:t>
            </w:r>
          </w:p>
        </w:tc>
      </w:tr>
      <w:tr>
        <w:trPr>
          <w:trHeight w:val="189"/>
        </w:trPr>
        <w:tc>
          <w:tcPr>
            <w:tcW w:w="2340" w:type="dxa"/>
            <w:vAlign w:val="bottom"/>
            <w:shd w:val="clear" w:color="auto" w:fill="D8ECF7"/>
          </w:tcPr>
          <w:p>
            <w:pPr>
              <w:spacing w:after="0"/>
              <w:rPr>
                <w:sz w:val="16"/>
                <w:szCs w:val="16"/>
                <w:color w:val="auto"/>
              </w:rPr>
            </w:pPr>
          </w:p>
        </w:tc>
        <w:tc>
          <w:tcPr>
            <w:tcW w:w="8900" w:type="dxa"/>
            <w:vAlign w:val="bottom"/>
            <w:shd w:val="clear" w:color="auto" w:fill="D8ECF7"/>
          </w:tcPr>
          <w:p>
            <w:pPr>
              <w:ind w:left="260"/>
              <w:spacing w:after="0" w:line="189" w:lineRule="exact"/>
              <w:rPr>
                <w:sz w:val="20"/>
                <w:szCs w:val="20"/>
                <w:color w:val="auto"/>
              </w:rPr>
            </w:pPr>
            <w:r>
              <w:rPr>
                <w:rFonts w:ascii="Arial" w:cs="Arial" w:eastAsia="Arial" w:hAnsi="Arial"/>
                <w:sz w:val="17"/>
                <w:szCs w:val="17"/>
                <w:color w:val="auto"/>
              </w:rPr>
              <w:t>continued our company’s longstanding focus on capital allocation strategies and capital spending priorities,</w:t>
            </w:r>
          </w:p>
        </w:tc>
      </w:tr>
      <w:tr>
        <w:trPr>
          <w:trHeight w:val="189"/>
        </w:trPr>
        <w:tc>
          <w:tcPr>
            <w:tcW w:w="2340" w:type="dxa"/>
            <w:vAlign w:val="bottom"/>
            <w:shd w:val="clear" w:color="auto" w:fill="D8ECF7"/>
          </w:tcPr>
          <w:p>
            <w:pPr>
              <w:spacing w:after="0"/>
              <w:rPr>
                <w:sz w:val="16"/>
                <w:szCs w:val="16"/>
                <w:color w:val="auto"/>
              </w:rPr>
            </w:pPr>
          </w:p>
        </w:tc>
        <w:tc>
          <w:tcPr>
            <w:tcW w:w="8900" w:type="dxa"/>
            <w:vAlign w:val="bottom"/>
            <w:shd w:val="clear" w:color="auto" w:fill="D8ECF7"/>
          </w:tcPr>
          <w:p>
            <w:pPr>
              <w:ind w:left="260"/>
              <w:spacing w:after="0" w:line="189" w:lineRule="exact"/>
              <w:rPr>
                <w:sz w:val="20"/>
                <w:szCs w:val="20"/>
                <w:color w:val="auto"/>
              </w:rPr>
            </w:pPr>
            <w:r>
              <w:rPr>
                <w:rFonts w:ascii="Arial" w:cs="Arial" w:eastAsia="Arial" w:hAnsi="Arial"/>
                <w:sz w:val="17"/>
                <w:szCs w:val="17"/>
                <w:color w:val="auto"/>
              </w:rPr>
              <w:t>balance sheet strength and liquidity. Under his leadership, we continued to invest in our business priorities such</w:t>
            </w:r>
          </w:p>
        </w:tc>
      </w:tr>
      <w:tr>
        <w:trPr>
          <w:trHeight w:val="189"/>
        </w:trPr>
        <w:tc>
          <w:tcPr>
            <w:tcW w:w="2340" w:type="dxa"/>
            <w:vAlign w:val="bottom"/>
            <w:shd w:val="clear" w:color="auto" w:fill="D8ECF7"/>
          </w:tcPr>
          <w:p>
            <w:pPr>
              <w:spacing w:after="0"/>
              <w:rPr>
                <w:sz w:val="16"/>
                <w:szCs w:val="16"/>
                <w:color w:val="auto"/>
              </w:rPr>
            </w:pPr>
          </w:p>
        </w:tc>
        <w:tc>
          <w:tcPr>
            <w:tcW w:w="8900" w:type="dxa"/>
            <w:vAlign w:val="bottom"/>
            <w:shd w:val="clear" w:color="auto" w:fill="D8ECF7"/>
          </w:tcPr>
          <w:p>
            <w:pPr>
              <w:ind w:left="260"/>
              <w:spacing w:after="0" w:line="189" w:lineRule="exact"/>
              <w:rPr>
                <w:sz w:val="20"/>
                <w:szCs w:val="20"/>
                <w:color w:val="auto"/>
              </w:rPr>
            </w:pPr>
            <w:r>
              <w:rPr>
                <w:rFonts w:ascii="Arial" w:cs="Arial" w:eastAsia="Arial" w:hAnsi="Arial"/>
                <w:sz w:val="17"/>
                <w:szCs w:val="17"/>
                <w:color w:val="auto"/>
              </w:rPr>
              <w:t>as our broadband network upgrade and footprint expansion and construction of Epic Universe, while returning</w:t>
            </w:r>
          </w:p>
        </w:tc>
      </w:tr>
      <w:tr>
        <w:trPr>
          <w:trHeight w:val="284"/>
        </w:trPr>
        <w:tc>
          <w:tcPr>
            <w:tcW w:w="2340" w:type="dxa"/>
            <w:vAlign w:val="bottom"/>
            <w:tcBorders>
              <w:bottom w:val="single" w:sz="8" w:color="D8ECF7"/>
            </w:tcBorders>
            <w:shd w:val="clear" w:color="auto" w:fill="D8ECF7"/>
          </w:tcPr>
          <w:p>
            <w:pPr>
              <w:spacing w:after="0"/>
              <w:rPr>
                <w:sz w:val="24"/>
                <w:szCs w:val="24"/>
                <w:color w:val="auto"/>
              </w:rPr>
            </w:pPr>
          </w:p>
        </w:tc>
        <w:tc>
          <w:tcPr>
            <w:tcW w:w="8900" w:type="dxa"/>
            <w:vAlign w:val="bottom"/>
            <w:tcBorders>
              <w:bottom w:val="single" w:sz="8" w:color="D8ECF7"/>
            </w:tcBorders>
            <w:shd w:val="clear" w:color="auto" w:fill="D8ECF7"/>
          </w:tcPr>
          <w:p>
            <w:pPr>
              <w:ind w:left="260"/>
              <w:spacing w:after="0"/>
              <w:rPr>
                <w:sz w:val="20"/>
                <w:szCs w:val="20"/>
                <w:color w:val="auto"/>
              </w:rPr>
            </w:pPr>
            <w:r>
              <w:rPr>
                <w:rFonts w:ascii="Arial" w:cs="Arial" w:eastAsia="Arial" w:hAnsi="Arial"/>
                <w:sz w:val="17"/>
                <w:szCs w:val="17"/>
                <w:color w:val="auto"/>
              </w:rPr>
              <w:t>$13.5 billion to shareholders through a combination of dividends and our share repurchase program.</w:t>
            </w:r>
          </w:p>
        </w:tc>
      </w:tr>
      <w:tr>
        <w:trPr>
          <w:trHeight w:val="228"/>
        </w:trPr>
        <w:tc>
          <w:tcPr>
            <w:tcW w:w="2340" w:type="dxa"/>
            <w:vAlign w:val="bottom"/>
            <w:tcBorders>
              <w:top w:val="single" w:sz="8" w:color="DCDDDE"/>
            </w:tcBorders>
          </w:tcPr>
          <w:p>
            <w:pPr>
              <w:ind w:left="80"/>
              <w:spacing w:after="0"/>
              <w:rPr>
                <w:sz w:val="20"/>
                <w:szCs w:val="20"/>
                <w:color w:val="auto"/>
              </w:rPr>
            </w:pPr>
            <w:r>
              <w:rPr>
                <w:rFonts w:ascii="Arial" w:cs="Arial" w:eastAsia="Arial" w:hAnsi="Arial"/>
                <w:sz w:val="17"/>
                <w:szCs w:val="17"/>
                <w:b w:val="1"/>
                <w:bCs w:val="1"/>
                <w:color w:val="auto"/>
              </w:rPr>
              <w:t>Thomas J. Reid</w:t>
            </w:r>
          </w:p>
        </w:tc>
        <w:tc>
          <w:tcPr>
            <w:tcW w:w="8900" w:type="dxa"/>
            <w:vAlign w:val="bottom"/>
            <w:tcBorders>
              <w:top w:val="single" w:sz="8" w:color="DCDDDE"/>
            </w:tcBorders>
          </w:tcPr>
          <w:p>
            <w:pPr>
              <w:ind w:left="260"/>
              <w:spacing w:after="0"/>
              <w:rPr>
                <w:sz w:val="20"/>
                <w:szCs w:val="20"/>
                <w:color w:val="auto"/>
              </w:rPr>
            </w:pPr>
            <w:r>
              <w:rPr>
                <w:rFonts w:ascii="Arial" w:cs="Arial" w:eastAsia="Arial" w:hAnsi="Arial"/>
                <w:sz w:val="17"/>
                <w:szCs w:val="17"/>
                <w:color w:val="auto"/>
              </w:rPr>
              <w:t>Mr. Reid demonstrated strong leadership of our company’s global legal functions, providing expert counsel and</w:t>
            </w:r>
          </w:p>
        </w:tc>
      </w:tr>
      <w:tr>
        <w:trPr>
          <w:trHeight w:val="189"/>
        </w:trPr>
        <w:tc>
          <w:tcPr>
            <w:tcW w:w="2340" w:type="dxa"/>
            <w:vAlign w:val="bottom"/>
          </w:tcPr>
          <w:p>
            <w:pPr>
              <w:spacing w:after="0"/>
              <w:rPr>
                <w:sz w:val="16"/>
                <w:szCs w:val="16"/>
                <w:color w:val="auto"/>
              </w:rPr>
            </w:pPr>
          </w:p>
        </w:tc>
        <w:tc>
          <w:tcPr>
            <w:tcW w:w="8900" w:type="dxa"/>
            <w:vAlign w:val="bottom"/>
          </w:tcPr>
          <w:p>
            <w:pPr>
              <w:ind w:left="260"/>
              <w:spacing w:after="0" w:line="189" w:lineRule="exact"/>
              <w:rPr>
                <w:sz w:val="20"/>
                <w:szCs w:val="20"/>
                <w:color w:val="auto"/>
              </w:rPr>
            </w:pPr>
            <w:r>
              <w:rPr>
                <w:rFonts w:ascii="Arial" w:cs="Arial" w:eastAsia="Arial" w:hAnsi="Arial"/>
                <w:sz w:val="17"/>
                <w:szCs w:val="17"/>
                <w:color w:val="auto"/>
              </w:rPr>
              <w:t>sound judgment to our company on a wide variety of matters. Mr. Reid also provided valuable leadership of our</w:t>
            </w:r>
          </w:p>
        </w:tc>
      </w:tr>
      <w:tr>
        <w:trPr>
          <w:trHeight w:val="189"/>
        </w:trPr>
        <w:tc>
          <w:tcPr>
            <w:tcW w:w="2340" w:type="dxa"/>
            <w:vAlign w:val="bottom"/>
          </w:tcPr>
          <w:p>
            <w:pPr>
              <w:spacing w:after="0"/>
              <w:rPr>
                <w:sz w:val="16"/>
                <w:szCs w:val="16"/>
                <w:color w:val="auto"/>
              </w:rPr>
            </w:pPr>
          </w:p>
        </w:tc>
        <w:tc>
          <w:tcPr>
            <w:tcW w:w="8900" w:type="dxa"/>
            <w:vAlign w:val="bottom"/>
          </w:tcPr>
          <w:p>
            <w:pPr>
              <w:ind w:left="260"/>
              <w:spacing w:after="0" w:line="189" w:lineRule="exact"/>
              <w:rPr>
                <w:sz w:val="20"/>
                <w:szCs w:val="20"/>
                <w:color w:val="auto"/>
              </w:rPr>
            </w:pPr>
            <w:r>
              <w:rPr>
                <w:rFonts w:ascii="Arial" w:cs="Arial" w:eastAsia="Arial" w:hAnsi="Arial"/>
                <w:sz w:val="17"/>
                <w:szCs w:val="17"/>
                <w:color w:val="auto"/>
              </w:rPr>
              <w:t>government and regulatory affairs and political affairs functions as the changing political and regulatory</w:t>
            </w:r>
          </w:p>
        </w:tc>
      </w:tr>
      <w:tr>
        <w:trPr>
          <w:trHeight w:val="189"/>
        </w:trPr>
        <w:tc>
          <w:tcPr>
            <w:tcW w:w="2340" w:type="dxa"/>
            <w:vAlign w:val="bottom"/>
          </w:tcPr>
          <w:p>
            <w:pPr>
              <w:spacing w:after="0"/>
              <w:rPr>
                <w:sz w:val="16"/>
                <w:szCs w:val="16"/>
                <w:color w:val="auto"/>
              </w:rPr>
            </w:pPr>
          </w:p>
        </w:tc>
        <w:tc>
          <w:tcPr>
            <w:tcW w:w="8900" w:type="dxa"/>
            <w:vAlign w:val="bottom"/>
          </w:tcPr>
          <w:p>
            <w:pPr>
              <w:ind w:left="260"/>
              <w:spacing w:after="0" w:line="189" w:lineRule="exact"/>
              <w:rPr>
                <w:sz w:val="20"/>
                <w:szCs w:val="20"/>
                <w:color w:val="auto"/>
              </w:rPr>
            </w:pPr>
            <w:r>
              <w:rPr>
                <w:rFonts w:ascii="Arial" w:cs="Arial" w:eastAsia="Arial" w:hAnsi="Arial"/>
                <w:sz w:val="17"/>
                <w:szCs w:val="17"/>
                <w:color w:val="auto"/>
              </w:rPr>
              <w:t>environment affects our long term plans in our highly regulated businesses. He also led a multi-industry group in</w:t>
            </w:r>
          </w:p>
        </w:tc>
      </w:tr>
      <w:tr>
        <w:trPr>
          <w:trHeight w:val="189"/>
        </w:trPr>
        <w:tc>
          <w:tcPr>
            <w:tcW w:w="2340" w:type="dxa"/>
            <w:vAlign w:val="bottom"/>
          </w:tcPr>
          <w:p>
            <w:pPr>
              <w:spacing w:after="0"/>
              <w:rPr>
                <w:sz w:val="16"/>
                <w:szCs w:val="16"/>
                <w:color w:val="auto"/>
              </w:rPr>
            </w:pPr>
          </w:p>
        </w:tc>
        <w:tc>
          <w:tcPr>
            <w:tcW w:w="8900" w:type="dxa"/>
            <w:vAlign w:val="bottom"/>
          </w:tcPr>
          <w:p>
            <w:pPr>
              <w:ind w:left="260"/>
              <w:spacing w:after="0" w:line="189" w:lineRule="exact"/>
              <w:rPr>
                <w:sz w:val="20"/>
                <w:szCs w:val="20"/>
                <w:color w:val="auto"/>
              </w:rPr>
            </w:pPr>
            <w:r>
              <w:rPr>
                <w:rFonts w:ascii="Arial" w:cs="Arial" w:eastAsia="Arial" w:hAnsi="Arial"/>
                <w:sz w:val="17"/>
                <w:szCs w:val="17"/>
                <w:color w:val="auto"/>
              </w:rPr>
              <w:t>a successful legal challenge to the FCC’s reclassification of broadband as a “common carrier” service. Under his</w:t>
            </w:r>
          </w:p>
        </w:tc>
      </w:tr>
      <w:tr>
        <w:trPr>
          <w:trHeight w:val="189"/>
        </w:trPr>
        <w:tc>
          <w:tcPr>
            <w:tcW w:w="2340" w:type="dxa"/>
            <w:vAlign w:val="bottom"/>
          </w:tcPr>
          <w:p>
            <w:pPr>
              <w:spacing w:after="0"/>
              <w:rPr>
                <w:sz w:val="16"/>
                <w:szCs w:val="16"/>
                <w:color w:val="auto"/>
              </w:rPr>
            </w:pPr>
          </w:p>
        </w:tc>
        <w:tc>
          <w:tcPr>
            <w:tcW w:w="8900" w:type="dxa"/>
            <w:vAlign w:val="bottom"/>
          </w:tcPr>
          <w:p>
            <w:pPr>
              <w:ind w:left="260"/>
              <w:spacing w:after="0" w:line="189" w:lineRule="exact"/>
              <w:rPr>
                <w:sz w:val="20"/>
                <w:szCs w:val="20"/>
                <w:color w:val="auto"/>
              </w:rPr>
            </w:pPr>
            <w:r>
              <w:rPr>
                <w:rFonts w:ascii="Arial" w:cs="Arial" w:eastAsia="Arial" w:hAnsi="Arial"/>
                <w:sz w:val="17"/>
                <w:szCs w:val="17"/>
                <w:color w:val="auto"/>
              </w:rPr>
              <w:t>leadership, we also undertook various initiatives in connection with the implementation of the Infrastructure</w:t>
            </w:r>
          </w:p>
        </w:tc>
      </w:tr>
      <w:tr>
        <w:trPr>
          <w:trHeight w:val="189"/>
        </w:trPr>
        <w:tc>
          <w:tcPr>
            <w:tcW w:w="2340" w:type="dxa"/>
            <w:vAlign w:val="bottom"/>
          </w:tcPr>
          <w:p>
            <w:pPr>
              <w:spacing w:after="0"/>
              <w:rPr>
                <w:sz w:val="16"/>
                <w:szCs w:val="16"/>
                <w:color w:val="auto"/>
              </w:rPr>
            </w:pPr>
          </w:p>
        </w:tc>
        <w:tc>
          <w:tcPr>
            <w:tcW w:w="8900" w:type="dxa"/>
            <w:vAlign w:val="bottom"/>
          </w:tcPr>
          <w:p>
            <w:pPr>
              <w:ind w:left="260"/>
              <w:spacing w:after="0" w:line="189" w:lineRule="exact"/>
              <w:rPr>
                <w:sz w:val="20"/>
                <w:szCs w:val="20"/>
                <w:color w:val="auto"/>
              </w:rPr>
            </w:pPr>
            <w:r>
              <w:rPr>
                <w:rFonts w:ascii="Arial" w:cs="Arial" w:eastAsia="Arial" w:hAnsi="Arial"/>
                <w:sz w:val="17"/>
                <w:szCs w:val="17"/>
                <w:color w:val="auto"/>
              </w:rPr>
              <w:t>Investment and Jobs Act, which provides federal subsidies for broadband deployment in unserved and</w:t>
            </w:r>
          </w:p>
        </w:tc>
      </w:tr>
      <w:tr>
        <w:trPr>
          <w:trHeight w:val="189"/>
        </w:trPr>
        <w:tc>
          <w:tcPr>
            <w:tcW w:w="2340" w:type="dxa"/>
            <w:vAlign w:val="bottom"/>
          </w:tcPr>
          <w:p>
            <w:pPr>
              <w:spacing w:after="0"/>
              <w:rPr>
                <w:sz w:val="16"/>
                <w:szCs w:val="16"/>
                <w:color w:val="auto"/>
              </w:rPr>
            </w:pPr>
          </w:p>
        </w:tc>
        <w:tc>
          <w:tcPr>
            <w:tcW w:w="8900" w:type="dxa"/>
            <w:vAlign w:val="bottom"/>
          </w:tcPr>
          <w:p>
            <w:pPr>
              <w:ind w:left="260"/>
              <w:spacing w:after="0" w:line="189" w:lineRule="exact"/>
              <w:rPr>
                <w:sz w:val="20"/>
                <w:szCs w:val="20"/>
                <w:color w:val="auto"/>
              </w:rPr>
            </w:pPr>
            <w:r>
              <w:rPr>
                <w:rFonts w:ascii="Arial" w:cs="Arial" w:eastAsia="Arial" w:hAnsi="Arial"/>
                <w:sz w:val="17"/>
                <w:szCs w:val="17"/>
                <w:color w:val="auto"/>
              </w:rPr>
              <w:t>underserved areas and broadband affordability programs. He leads with, and continuously reinforces, his</w:t>
            </w:r>
          </w:p>
        </w:tc>
      </w:tr>
      <w:tr>
        <w:trPr>
          <w:trHeight w:val="225"/>
        </w:trPr>
        <w:tc>
          <w:tcPr>
            <w:tcW w:w="2340" w:type="dxa"/>
            <w:vAlign w:val="bottom"/>
          </w:tcPr>
          <w:p>
            <w:pPr>
              <w:spacing w:after="0"/>
              <w:rPr>
                <w:sz w:val="19"/>
                <w:szCs w:val="19"/>
                <w:color w:val="auto"/>
              </w:rPr>
            </w:pPr>
          </w:p>
        </w:tc>
        <w:tc>
          <w:tcPr>
            <w:tcW w:w="8900" w:type="dxa"/>
            <w:vAlign w:val="bottom"/>
          </w:tcPr>
          <w:p>
            <w:pPr>
              <w:ind w:left="260"/>
              <w:spacing w:after="0"/>
              <w:rPr>
                <w:sz w:val="20"/>
                <w:szCs w:val="20"/>
                <w:color w:val="auto"/>
              </w:rPr>
            </w:pPr>
            <w:r>
              <w:rPr>
                <w:rFonts w:ascii="Arial" w:cs="Arial" w:eastAsia="Arial" w:hAnsi="Arial"/>
                <w:sz w:val="17"/>
                <w:szCs w:val="17"/>
                <w:color w:val="auto"/>
              </w:rPr>
              <w:t>commitment to integrity and respect.</w:t>
            </w:r>
          </w:p>
        </w:tc>
      </w:tr>
      <w:tr>
        <w:trPr>
          <w:trHeight w:val="54"/>
        </w:trPr>
        <w:tc>
          <w:tcPr>
            <w:tcW w:w="2340" w:type="dxa"/>
            <w:vAlign w:val="bottom"/>
            <w:tcBorders>
              <w:bottom w:val="single" w:sz="8" w:color="DCDDDE"/>
            </w:tcBorders>
          </w:tcPr>
          <w:p>
            <w:pPr>
              <w:spacing w:after="0"/>
              <w:rPr>
                <w:sz w:val="4"/>
                <w:szCs w:val="4"/>
                <w:color w:val="auto"/>
              </w:rPr>
            </w:pPr>
          </w:p>
        </w:tc>
        <w:tc>
          <w:tcPr>
            <w:tcW w:w="8900" w:type="dxa"/>
            <w:vAlign w:val="bottom"/>
            <w:tcBorders>
              <w:bottom w:val="single" w:sz="8" w:color="DCDDDE"/>
            </w:tcBorders>
          </w:tcPr>
          <w:p>
            <w:pPr>
              <w:spacing w:after="0"/>
              <w:rPr>
                <w:sz w:val="4"/>
                <w:szCs w:val="4"/>
                <w:color w:val="auto"/>
              </w:rPr>
            </w:pPr>
          </w:p>
        </w:tc>
      </w:tr>
      <w:tr>
        <w:trPr>
          <w:trHeight w:val="228"/>
        </w:trPr>
        <w:tc>
          <w:tcPr>
            <w:tcW w:w="2340" w:type="dxa"/>
            <w:vAlign w:val="bottom"/>
            <w:shd w:val="clear" w:color="auto" w:fill="D8ECF7"/>
          </w:tcPr>
          <w:p>
            <w:pPr>
              <w:ind w:left="80"/>
              <w:spacing w:after="0"/>
              <w:rPr>
                <w:sz w:val="20"/>
                <w:szCs w:val="20"/>
                <w:color w:val="auto"/>
              </w:rPr>
            </w:pPr>
            <w:r>
              <w:rPr>
                <w:rFonts w:ascii="Arial" w:cs="Arial" w:eastAsia="Arial" w:hAnsi="Arial"/>
                <w:sz w:val="17"/>
                <w:szCs w:val="17"/>
                <w:b w:val="1"/>
                <w:bCs w:val="1"/>
                <w:color w:val="auto"/>
              </w:rPr>
              <w:t>Jennifer Khoury</w:t>
            </w:r>
          </w:p>
        </w:tc>
        <w:tc>
          <w:tcPr>
            <w:tcW w:w="8900" w:type="dxa"/>
            <w:vAlign w:val="bottom"/>
            <w:shd w:val="clear" w:color="auto" w:fill="D8ECF7"/>
          </w:tcPr>
          <w:p>
            <w:pPr>
              <w:ind w:left="260"/>
              <w:spacing w:after="0"/>
              <w:rPr>
                <w:sz w:val="20"/>
                <w:szCs w:val="20"/>
                <w:color w:val="auto"/>
              </w:rPr>
            </w:pPr>
            <w:r>
              <w:rPr>
                <w:rFonts w:ascii="Arial" w:cs="Arial" w:eastAsia="Arial" w:hAnsi="Arial"/>
                <w:sz w:val="17"/>
                <w:szCs w:val="17"/>
                <w:color w:val="auto"/>
              </w:rPr>
              <w:t>Ms. Khoury provided critical global communications leadership, successfully overseeing corporate marketing and</w:t>
            </w:r>
          </w:p>
        </w:tc>
      </w:tr>
      <w:tr>
        <w:trPr>
          <w:trHeight w:val="189"/>
        </w:trPr>
        <w:tc>
          <w:tcPr>
            <w:tcW w:w="2340" w:type="dxa"/>
            <w:vAlign w:val="bottom"/>
            <w:shd w:val="clear" w:color="auto" w:fill="D8ECF7"/>
          </w:tcPr>
          <w:p>
            <w:pPr>
              <w:spacing w:after="0"/>
              <w:rPr>
                <w:sz w:val="16"/>
                <w:szCs w:val="16"/>
                <w:color w:val="auto"/>
              </w:rPr>
            </w:pPr>
          </w:p>
        </w:tc>
        <w:tc>
          <w:tcPr>
            <w:tcW w:w="8900" w:type="dxa"/>
            <w:vAlign w:val="bottom"/>
            <w:shd w:val="clear" w:color="auto" w:fill="D8ECF7"/>
          </w:tcPr>
          <w:p>
            <w:pPr>
              <w:ind w:left="260"/>
              <w:spacing w:after="0" w:line="189" w:lineRule="exact"/>
              <w:rPr>
                <w:sz w:val="20"/>
                <w:szCs w:val="20"/>
                <w:color w:val="auto"/>
              </w:rPr>
            </w:pPr>
            <w:r>
              <w:rPr>
                <w:rFonts w:ascii="Arial" w:cs="Arial" w:eastAsia="Arial" w:hAnsi="Arial"/>
                <w:sz w:val="17"/>
                <w:szCs w:val="17"/>
                <w:color w:val="auto"/>
              </w:rPr>
              <w:t>brand advertising, as well as the external, internal, financial, government and digital communications functions for</w:t>
            </w:r>
          </w:p>
        </w:tc>
      </w:tr>
      <w:tr>
        <w:trPr>
          <w:trHeight w:val="189"/>
        </w:trPr>
        <w:tc>
          <w:tcPr>
            <w:tcW w:w="2340" w:type="dxa"/>
            <w:vAlign w:val="bottom"/>
            <w:shd w:val="clear" w:color="auto" w:fill="D8ECF7"/>
          </w:tcPr>
          <w:p>
            <w:pPr>
              <w:spacing w:after="0"/>
              <w:rPr>
                <w:sz w:val="16"/>
                <w:szCs w:val="16"/>
                <w:color w:val="auto"/>
              </w:rPr>
            </w:pPr>
          </w:p>
        </w:tc>
        <w:tc>
          <w:tcPr>
            <w:tcW w:w="8900" w:type="dxa"/>
            <w:vAlign w:val="bottom"/>
            <w:shd w:val="clear" w:color="auto" w:fill="D8ECF7"/>
          </w:tcPr>
          <w:p>
            <w:pPr>
              <w:ind w:left="260"/>
              <w:spacing w:after="0" w:line="189" w:lineRule="exact"/>
              <w:rPr>
                <w:sz w:val="20"/>
                <w:szCs w:val="20"/>
                <w:color w:val="auto"/>
              </w:rPr>
            </w:pPr>
            <w:r>
              <w:rPr>
                <w:rFonts w:ascii="Arial" w:cs="Arial" w:eastAsia="Arial" w:hAnsi="Arial"/>
                <w:sz w:val="17"/>
                <w:szCs w:val="17"/>
                <w:color w:val="auto"/>
              </w:rPr>
              <w:t>our company. Additionally, as our company navigated a complex and competitive landscape, Ms. Khoury served</w:t>
            </w:r>
          </w:p>
        </w:tc>
      </w:tr>
      <w:tr>
        <w:trPr>
          <w:trHeight w:val="189"/>
        </w:trPr>
        <w:tc>
          <w:tcPr>
            <w:tcW w:w="2340" w:type="dxa"/>
            <w:vAlign w:val="bottom"/>
            <w:shd w:val="clear" w:color="auto" w:fill="D8ECF7"/>
          </w:tcPr>
          <w:p>
            <w:pPr>
              <w:spacing w:after="0"/>
              <w:rPr>
                <w:sz w:val="16"/>
                <w:szCs w:val="16"/>
                <w:color w:val="auto"/>
              </w:rPr>
            </w:pPr>
          </w:p>
        </w:tc>
        <w:tc>
          <w:tcPr>
            <w:tcW w:w="8900" w:type="dxa"/>
            <w:vAlign w:val="bottom"/>
            <w:shd w:val="clear" w:color="auto" w:fill="D8ECF7"/>
          </w:tcPr>
          <w:p>
            <w:pPr>
              <w:ind w:left="260"/>
              <w:spacing w:after="0" w:line="189" w:lineRule="exact"/>
              <w:rPr>
                <w:sz w:val="20"/>
                <w:szCs w:val="20"/>
                <w:color w:val="auto"/>
              </w:rPr>
            </w:pPr>
            <w:r>
              <w:rPr>
                <w:rFonts w:ascii="Arial" w:cs="Arial" w:eastAsia="Arial" w:hAnsi="Arial"/>
                <w:sz w:val="17"/>
                <w:szCs w:val="17"/>
                <w:color w:val="auto"/>
              </w:rPr>
              <w:t>as a key advisor to our executive leadership teams across the Connectivity &amp; Platforms and Content &amp;</w:t>
            </w:r>
          </w:p>
        </w:tc>
      </w:tr>
      <w:tr>
        <w:trPr>
          <w:trHeight w:val="189"/>
        </w:trPr>
        <w:tc>
          <w:tcPr>
            <w:tcW w:w="2340" w:type="dxa"/>
            <w:vAlign w:val="bottom"/>
            <w:shd w:val="clear" w:color="auto" w:fill="D8ECF7"/>
          </w:tcPr>
          <w:p>
            <w:pPr>
              <w:spacing w:after="0"/>
              <w:rPr>
                <w:sz w:val="16"/>
                <w:szCs w:val="16"/>
                <w:color w:val="auto"/>
              </w:rPr>
            </w:pPr>
          </w:p>
        </w:tc>
        <w:tc>
          <w:tcPr>
            <w:tcW w:w="8900" w:type="dxa"/>
            <w:vAlign w:val="bottom"/>
            <w:shd w:val="clear" w:color="auto" w:fill="D8ECF7"/>
          </w:tcPr>
          <w:p>
            <w:pPr>
              <w:ind w:left="260"/>
              <w:spacing w:after="0" w:line="189" w:lineRule="exact"/>
              <w:rPr>
                <w:sz w:val="20"/>
                <w:szCs w:val="20"/>
                <w:color w:val="auto"/>
              </w:rPr>
            </w:pPr>
            <w:r>
              <w:rPr>
                <w:rFonts w:ascii="Arial" w:cs="Arial" w:eastAsia="Arial" w:hAnsi="Arial"/>
                <w:sz w:val="17"/>
                <w:szCs w:val="17"/>
                <w:color w:val="auto"/>
              </w:rPr>
              <w:t>Experiences businesses. She was also instrumental in driving communications for significant company moments</w:t>
            </w:r>
          </w:p>
        </w:tc>
      </w:tr>
      <w:tr>
        <w:trPr>
          <w:trHeight w:val="189"/>
        </w:trPr>
        <w:tc>
          <w:tcPr>
            <w:tcW w:w="2340" w:type="dxa"/>
            <w:vAlign w:val="bottom"/>
            <w:shd w:val="clear" w:color="auto" w:fill="D8ECF7"/>
          </w:tcPr>
          <w:p>
            <w:pPr>
              <w:spacing w:after="0"/>
              <w:rPr>
                <w:sz w:val="16"/>
                <w:szCs w:val="16"/>
                <w:color w:val="auto"/>
              </w:rPr>
            </w:pPr>
          </w:p>
        </w:tc>
        <w:tc>
          <w:tcPr>
            <w:tcW w:w="8900" w:type="dxa"/>
            <w:vAlign w:val="bottom"/>
            <w:shd w:val="clear" w:color="auto" w:fill="D8ECF7"/>
          </w:tcPr>
          <w:p>
            <w:pPr>
              <w:ind w:left="260"/>
              <w:spacing w:after="0" w:line="189" w:lineRule="exact"/>
              <w:rPr>
                <w:sz w:val="20"/>
                <w:szCs w:val="20"/>
                <w:color w:val="auto"/>
              </w:rPr>
            </w:pPr>
            <w:r>
              <w:rPr>
                <w:rFonts w:ascii="Arial" w:cs="Arial" w:eastAsia="Arial" w:hAnsi="Arial"/>
                <w:sz w:val="17"/>
                <w:szCs w:val="17"/>
                <w:color w:val="auto"/>
              </w:rPr>
              <w:t>that contributed to our business’ achievements, including the successful 2024 Paris Olympics and numerous</w:t>
            </w:r>
          </w:p>
        </w:tc>
      </w:tr>
      <w:tr>
        <w:trPr>
          <w:trHeight w:val="284"/>
        </w:trPr>
        <w:tc>
          <w:tcPr>
            <w:tcW w:w="2340" w:type="dxa"/>
            <w:vAlign w:val="bottom"/>
            <w:tcBorders>
              <w:bottom w:val="single" w:sz="8" w:color="D8ECF7"/>
            </w:tcBorders>
            <w:shd w:val="clear" w:color="auto" w:fill="D8ECF7"/>
          </w:tcPr>
          <w:p>
            <w:pPr>
              <w:spacing w:after="0"/>
              <w:rPr>
                <w:sz w:val="24"/>
                <w:szCs w:val="24"/>
                <w:color w:val="auto"/>
              </w:rPr>
            </w:pPr>
          </w:p>
        </w:tc>
        <w:tc>
          <w:tcPr>
            <w:tcW w:w="8900" w:type="dxa"/>
            <w:vAlign w:val="bottom"/>
            <w:tcBorders>
              <w:bottom w:val="single" w:sz="8" w:color="D8ECF7"/>
            </w:tcBorders>
            <w:shd w:val="clear" w:color="auto" w:fill="D8ECF7"/>
          </w:tcPr>
          <w:p>
            <w:pPr>
              <w:ind w:left="260"/>
              <w:spacing w:after="0"/>
              <w:rPr>
                <w:sz w:val="20"/>
                <w:szCs w:val="20"/>
                <w:color w:val="auto"/>
              </w:rPr>
            </w:pPr>
            <w:r>
              <w:rPr>
                <w:rFonts w:ascii="Arial" w:cs="Arial" w:eastAsia="Arial" w:hAnsi="Arial"/>
                <w:sz w:val="17"/>
                <w:szCs w:val="17"/>
                <w:color w:val="auto"/>
              </w:rPr>
              <w:t>product rollouts and initiatives that were instrumental in supporting our company’s growth priorities.</w:t>
            </w:r>
          </w:p>
        </w:tc>
      </w:tr>
      <w:tr>
        <w:trPr>
          <w:trHeight w:val="422"/>
        </w:trPr>
        <w:tc>
          <w:tcPr>
            <w:tcW w:w="234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00A0DD"/>
              </w:rPr>
              <w:t>2024 Bonus Achievement</w:t>
            </w:r>
          </w:p>
        </w:tc>
        <w:tc>
          <w:tcPr>
            <w:tcW w:w="8900" w:type="dxa"/>
            <w:vAlign w:val="bottom"/>
            <w:tcBorders>
              <w:top w:val="single" w:sz="8" w:color="auto"/>
            </w:tcBorders>
          </w:tcPr>
          <w:p>
            <w:pPr>
              <w:spacing w:after="0"/>
              <w:rPr>
                <w:sz w:val="24"/>
                <w:szCs w:val="24"/>
                <w:color w:val="auto"/>
              </w:rPr>
            </w:pPr>
          </w:p>
        </w:tc>
      </w:tr>
    </w:tbl>
    <w:p>
      <w:pPr>
        <w:spacing w:after="0" w:line="170"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As a result of our strong performance during 2024, and the NEOs’ performance described above, the Compensation Committee determined that the total achievement of the annual cash bonus was 109% of target. However, prior to any such determination, Messrs. Roberts and Cavanagh requested that they not receive more than 100% of their target bonuses. After considering this request, the Compensation Committee determined that bonus amounts for 2024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9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ROBERTS</w:t>
            </w: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CAVANAGH</w:t>
            </w:r>
          </w:p>
        </w:tc>
        <w:tc>
          <w:tcPr>
            <w:tcW w:w="1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ARMSTRONG</w:t>
            </w: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REID</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KHOURY</w:t>
            </w:r>
          </w:p>
        </w:tc>
      </w:tr>
      <w:tr>
        <w:trPr>
          <w:trHeight w:val="210"/>
        </w:trPr>
        <w:tc>
          <w:tcPr>
            <w:tcW w:w="394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Total Paid (% of Target)</w:t>
            </w:r>
          </w:p>
        </w:tc>
        <w:tc>
          <w:tcPr>
            <w:tcW w:w="302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100%</w:t>
            </w:r>
          </w:p>
        </w:tc>
        <w:tc>
          <w:tcPr>
            <w:tcW w:w="108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100%</w:t>
            </w:r>
          </w:p>
        </w:tc>
        <w:tc>
          <w:tcPr>
            <w:tcW w:w="126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109%</w:t>
            </w:r>
          </w:p>
        </w:tc>
        <w:tc>
          <w:tcPr>
            <w:tcW w:w="980" w:type="dxa"/>
            <w:vAlign w:val="bottom"/>
            <w:tcBorders>
              <w:bottom w:val="single" w:sz="8" w:color="DCDDDE"/>
            </w:tcBorders>
          </w:tcPr>
          <w:p>
            <w:pPr>
              <w:jc w:val="right"/>
              <w:ind w:right="24"/>
              <w:spacing w:after="0"/>
              <w:rPr>
                <w:sz w:val="20"/>
                <w:szCs w:val="20"/>
                <w:color w:val="auto"/>
              </w:rPr>
            </w:pPr>
            <w:r>
              <w:rPr>
                <w:rFonts w:ascii="Arial" w:cs="Arial" w:eastAsia="Arial" w:hAnsi="Arial"/>
                <w:sz w:val="15"/>
                <w:szCs w:val="15"/>
                <w:color w:val="auto"/>
              </w:rPr>
              <w:t>109%</w:t>
            </w:r>
          </w:p>
        </w:tc>
        <w:tc>
          <w:tcPr>
            <w:tcW w:w="96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109%</w:t>
            </w:r>
          </w:p>
        </w:tc>
      </w:tr>
      <w:tr>
        <w:trPr>
          <w:trHeight w:val="209"/>
        </w:trPr>
        <w:tc>
          <w:tcPr>
            <w:tcW w:w="394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Total Cash Bonus Paid</w:t>
            </w:r>
          </w:p>
        </w:tc>
        <w:tc>
          <w:tcPr>
            <w:tcW w:w="3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$7,500,003</w:t>
            </w: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$7,500,003</w:t>
            </w: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$4,351,616</w:t>
            </w: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$5,172,265</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$2,452,500</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00A0DD"/>
        </w:rPr>
        <w:t>Equity-Based Incentive Compensation</w:t>
      </w:r>
    </w:p>
    <w:p>
      <w:pPr>
        <w:spacing w:after="0" w:line="21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Compensation Committee believes that the structure of our equity-based compensation program reinforces our performance culture and incents long-term shareholder value creation. Our 2024 equity compensation program for NEOs continued to consist of a mix of both PSU awards and stock options, although the composition of PSUs and stock options changed from 60% PSUs and 40% stock options to 75% PSUs and 25% stock options. After taking into account feedback from our shareholders, advice from the Compensation Committee’s independent compensation consultant as well as practices at our peer group companies and the broader market, the Compensation Committee has decided that our 2025 annual equity compensation program for NEOs will consist entirely of PSUs.</w:t>
      </w:r>
    </w:p>
    <w:p>
      <w:pPr>
        <w:spacing w:after="0" w:line="186" w:lineRule="exact"/>
        <w:rPr>
          <w:sz w:val="20"/>
          <w:szCs w:val="20"/>
          <w:color w:val="auto"/>
        </w:rPr>
      </w:pPr>
    </w:p>
    <w:p>
      <w:pPr>
        <w:ind w:left="400" w:hanging="392"/>
        <w:spacing w:after="0"/>
        <w:tabs>
          <w:tab w:leader="none" w:pos="400"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reflects the key features of our annual equity compensation program for 2024.</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0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KEY FEATURES</w:t>
            </w:r>
          </w:p>
        </w:tc>
        <w:tc>
          <w:tcPr>
            <w:tcW w:w="884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2024 EQUITY COMPENSATION PROGRAM</w:t>
            </w:r>
          </w:p>
        </w:tc>
        <w:tc>
          <w:tcPr>
            <w:tcW w:w="0" w:type="dxa"/>
            <w:vAlign w:val="bottom"/>
          </w:tcPr>
          <w:p>
            <w:pPr>
              <w:spacing w:after="0"/>
              <w:rPr>
                <w:sz w:val="1"/>
                <w:szCs w:val="1"/>
                <w:color w:val="auto"/>
              </w:rPr>
            </w:pPr>
          </w:p>
        </w:tc>
      </w:tr>
      <w:tr>
        <w:trPr>
          <w:trHeight w:val="230"/>
        </w:trPr>
        <w:tc>
          <w:tcPr>
            <w:tcW w:w="2400" w:type="dxa"/>
            <w:vAlign w:val="bottom"/>
          </w:tcPr>
          <w:p>
            <w:pPr>
              <w:ind w:left="80"/>
              <w:spacing w:after="0"/>
              <w:rPr>
                <w:sz w:val="20"/>
                <w:szCs w:val="20"/>
                <w:color w:val="auto"/>
              </w:rPr>
            </w:pPr>
            <w:r>
              <w:rPr>
                <w:rFonts w:ascii="Arial" w:cs="Arial" w:eastAsia="Arial" w:hAnsi="Arial"/>
                <w:sz w:val="17"/>
                <w:szCs w:val="17"/>
                <w:b w:val="1"/>
                <w:bCs w:val="1"/>
                <w:color w:val="auto"/>
              </w:rPr>
              <w:t>PSUs</w:t>
            </w:r>
          </w:p>
        </w:tc>
        <w:tc>
          <w:tcPr>
            <w:tcW w:w="8840" w:type="dxa"/>
            <w:vAlign w:val="bottom"/>
          </w:tcPr>
          <w:p>
            <w:pPr>
              <w:ind w:left="20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Three-year cumulative performance period, with all performance goals measured over the three-year period.</w:t>
            </w:r>
          </w:p>
        </w:tc>
        <w:tc>
          <w:tcPr>
            <w:tcW w:w="0" w:type="dxa"/>
            <w:vAlign w:val="bottom"/>
          </w:tcPr>
          <w:p>
            <w:pPr>
              <w:spacing w:after="0"/>
              <w:rPr>
                <w:sz w:val="1"/>
                <w:szCs w:val="1"/>
                <w:color w:val="auto"/>
              </w:rPr>
            </w:pPr>
          </w:p>
        </w:tc>
      </w:tr>
      <w:tr>
        <w:trPr>
          <w:trHeight w:val="189"/>
        </w:trPr>
        <w:tc>
          <w:tcPr>
            <w:tcW w:w="2400" w:type="dxa"/>
            <w:vAlign w:val="bottom"/>
          </w:tcPr>
          <w:p>
            <w:pPr>
              <w:ind w:left="80"/>
              <w:spacing w:after="0" w:line="189" w:lineRule="exact"/>
              <w:rPr>
                <w:sz w:val="20"/>
                <w:szCs w:val="20"/>
                <w:color w:val="auto"/>
              </w:rPr>
            </w:pPr>
            <w:r>
              <w:rPr>
                <w:rFonts w:ascii="Arial" w:cs="Arial" w:eastAsia="Arial" w:hAnsi="Arial"/>
                <w:sz w:val="17"/>
                <w:szCs w:val="17"/>
                <w:color w:val="auto"/>
              </w:rPr>
              <w:t>(approximately 75% of long-</w:t>
            </w:r>
          </w:p>
        </w:tc>
        <w:tc>
          <w:tcPr>
            <w:tcW w:w="8840" w:type="dxa"/>
            <w:vAlign w:val="bottom"/>
            <w:vMerge w:val="restart"/>
          </w:tcPr>
          <w:p>
            <w:pPr>
              <w:ind w:left="20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Cliff-vests based on payout levels three years following grant.</w:t>
            </w:r>
          </w:p>
        </w:tc>
        <w:tc>
          <w:tcPr>
            <w:tcW w:w="0" w:type="dxa"/>
            <w:vAlign w:val="bottom"/>
          </w:tcPr>
          <w:p>
            <w:pPr>
              <w:spacing w:after="0"/>
              <w:rPr>
                <w:sz w:val="1"/>
                <w:szCs w:val="1"/>
                <w:color w:val="auto"/>
              </w:rPr>
            </w:pPr>
          </w:p>
        </w:tc>
      </w:tr>
      <w:tr>
        <w:trPr>
          <w:trHeight w:val="103"/>
        </w:trPr>
        <w:tc>
          <w:tcPr>
            <w:tcW w:w="2400" w:type="dxa"/>
            <w:vAlign w:val="bottom"/>
            <w:vMerge w:val="restart"/>
          </w:tcPr>
          <w:p>
            <w:pPr>
              <w:ind w:left="80"/>
              <w:spacing w:after="0"/>
              <w:rPr>
                <w:sz w:val="20"/>
                <w:szCs w:val="20"/>
                <w:color w:val="auto"/>
              </w:rPr>
            </w:pPr>
            <w:r>
              <w:rPr>
                <w:rFonts w:ascii="Arial" w:cs="Arial" w:eastAsia="Arial" w:hAnsi="Arial"/>
                <w:sz w:val="17"/>
                <w:szCs w:val="17"/>
                <w:color w:val="auto"/>
              </w:rPr>
              <w:t>term equity incentive award)</w:t>
            </w:r>
          </w:p>
        </w:tc>
        <w:tc>
          <w:tcPr>
            <w:tcW w:w="8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00" w:type="dxa"/>
            <w:vAlign w:val="bottom"/>
            <w:vMerge w:val="continue"/>
          </w:tcPr>
          <w:p>
            <w:pPr>
              <w:spacing w:after="0"/>
              <w:rPr>
                <w:sz w:val="10"/>
                <w:szCs w:val="10"/>
                <w:color w:val="auto"/>
              </w:rPr>
            </w:pPr>
          </w:p>
        </w:tc>
        <w:tc>
          <w:tcPr>
            <w:tcW w:w="8840" w:type="dxa"/>
            <w:vAlign w:val="bottom"/>
            <w:vMerge w:val="restart"/>
          </w:tcPr>
          <w:p>
            <w:pPr>
              <w:ind w:left="20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PSUs earned based on achievement of two primary performance metrics, each weighted 50%: (1) absolute</w:t>
            </w:r>
          </w:p>
        </w:tc>
        <w:tc>
          <w:tcPr>
            <w:tcW w:w="0" w:type="dxa"/>
            <w:vAlign w:val="bottom"/>
          </w:tcPr>
          <w:p>
            <w:pPr>
              <w:spacing w:after="0"/>
              <w:rPr>
                <w:sz w:val="1"/>
                <w:szCs w:val="1"/>
                <w:color w:val="auto"/>
              </w:rPr>
            </w:pPr>
          </w:p>
        </w:tc>
      </w:tr>
      <w:tr>
        <w:trPr>
          <w:trHeight w:val="113"/>
        </w:trPr>
        <w:tc>
          <w:tcPr>
            <w:tcW w:w="2400" w:type="dxa"/>
            <w:vAlign w:val="bottom"/>
          </w:tcPr>
          <w:p>
            <w:pPr>
              <w:spacing w:after="0"/>
              <w:rPr>
                <w:sz w:val="9"/>
                <w:szCs w:val="9"/>
                <w:color w:val="auto"/>
              </w:rPr>
            </w:pPr>
          </w:p>
        </w:tc>
        <w:tc>
          <w:tcPr>
            <w:tcW w:w="8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400" w:type="dxa"/>
            <w:vAlign w:val="bottom"/>
          </w:tcPr>
          <w:p>
            <w:pPr>
              <w:spacing w:after="0"/>
              <w:rPr>
                <w:sz w:val="19"/>
                <w:szCs w:val="19"/>
                <w:color w:val="auto"/>
              </w:rPr>
            </w:pPr>
          </w:p>
        </w:tc>
        <w:tc>
          <w:tcPr>
            <w:tcW w:w="8840" w:type="dxa"/>
            <w:vAlign w:val="bottom"/>
          </w:tcPr>
          <w:p>
            <w:pPr>
              <w:ind w:left="480"/>
              <w:spacing w:after="0"/>
              <w:rPr>
                <w:sz w:val="20"/>
                <w:szCs w:val="20"/>
                <w:color w:val="auto"/>
              </w:rPr>
            </w:pPr>
            <w:r>
              <w:rPr>
                <w:rFonts w:ascii="Arial" w:cs="Arial" w:eastAsia="Arial" w:hAnsi="Arial"/>
                <w:sz w:val="17"/>
                <w:szCs w:val="17"/>
                <w:color w:val="auto"/>
              </w:rPr>
              <w:t>ROIC and (2) relative Adjusted EPS growth compared to the S&amp;P100.</w:t>
            </w:r>
          </w:p>
        </w:tc>
        <w:tc>
          <w:tcPr>
            <w:tcW w:w="0" w:type="dxa"/>
            <w:vAlign w:val="bottom"/>
          </w:tcPr>
          <w:p>
            <w:pPr>
              <w:spacing w:after="0"/>
              <w:rPr>
                <w:sz w:val="1"/>
                <w:szCs w:val="1"/>
                <w:color w:val="auto"/>
              </w:rPr>
            </w:pPr>
          </w:p>
        </w:tc>
      </w:tr>
      <w:tr>
        <w:trPr>
          <w:trHeight w:val="221"/>
        </w:trPr>
        <w:tc>
          <w:tcPr>
            <w:tcW w:w="2400" w:type="dxa"/>
            <w:vAlign w:val="bottom"/>
          </w:tcPr>
          <w:p>
            <w:pPr>
              <w:spacing w:after="0"/>
              <w:rPr>
                <w:sz w:val="19"/>
                <w:szCs w:val="19"/>
                <w:color w:val="auto"/>
              </w:rPr>
            </w:pPr>
          </w:p>
        </w:tc>
        <w:tc>
          <w:tcPr>
            <w:tcW w:w="8840" w:type="dxa"/>
            <w:vAlign w:val="bottom"/>
          </w:tcPr>
          <w:p>
            <w:pPr>
              <w:ind w:left="20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Attainment of primary performance metrics is subject to a relative TSR modifier compared to the S&amp;P 100,</w:t>
            </w:r>
          </w:p>
        </w:tc>
        <w:tc>
          <w:tcPr>
            <w:tcW w:w="0" w:type="dxa"/>
            <w:vAlign w:val="bottom"/>
          </w:tcPr>
          <w:p>
            <w:pPr>
              <w:spacing w:after="0"/>
              <w:rPr>
                <w:sz w:val="1"/>
                <w:szCs w:val="1"/>
                <w:color w:val="auto"/>
              </w:rPr>
            </w:pPr>
          </w:p>
        </w:tc>
      </w:tr>
      <w:tr>
        <w:trPr>
          <w:trHeight w:val="225"/>
        </w:trPr>
        <w:tc>
          <w:tcPr>
            <w:tcW w:w="2400" w:type="dxa"/>
            <w:vAlign w:val="bottom"/>
          </w:tcPr>
          <w:p>
            <w:pPr>
              <w:spacing w:after="0"/>
              <w:rPr>
                <w:sz w:val="19"/>
                <w:szCs w:val="19"/>
                <w:color w:val="auto"/>
              </w:rPr>
            </w:pPr>
          </w:p>
        </w:tc>
        <w:tc>
          <w:tcPr>
            <w:tcW w:w="8840" w:type="dxa"/>
            <w:vAlign w:val="bottom"/>
          </w:tcPr>
          <w:p>
            <w:pPr>
              <w:ind w:left="480"/>
              <w:spacing w:after="0"/>
              <w:rPr>
                <w:sz w:val="20"/>
                <w:szCs w:val="20"/>
                <w:color w:val="auto"/>
              </w:rPr>
            </w:pPr>
            <w:r>
              <w:rPr>
                <w:rFonts w:ascii="Arial" w:cs="Arial" w:eastAsia="Arial" w:hAnsi="Arial"/>
                <w:sz w:val="17"/>
                <w:szCs w:val="17"/>
                <w:color w:val="auto"/>
              </w:rPr>
              <w:t>with no positive modifier applied if TSR is negative over the performance period.</w:t>
            </w:r>
          </w:p>
        </w:tc>
        <w:tc>
          <w:tcPr>
            <w:tcW w:w="0" w:type="dxa"/>
            <w:vAlign w:val="bottom"/>
          </w:tcPr>
          <w:p>
            <w:pPr>
              <w:spacing w:after="0"/>
              <w:rPr>
                <w:sz w:val="1"/>
                <w:szCs w:val="1"/>
                <w:color w:val="auto"/>
              </w:rPr>
            </w:pPr>
          </w:p>
        </w:tc>
      </w:tr>
      <w:tr>
        <w:trPr>
          <w:trHeight w:val="221"/>
        </w:trPr>
        <w:tc>
          <w:tcPr>
            <w:tcW w:w="2400" w:type="dxa"/>
            <w:vAlign w:val="bottom"/>
          </w:tcPr>
          <w:p>
            <w:pPr>
              <w:spacing w:after="0"/>
              <w:rPr>
                <w:sz w:val="19"/>
                <w:szCs w:val="19"/>
                <w:color w:val="auto"/>
              </w:rPr>
            </w:pPr>
          </w:p>
        </w:tc>
        <w:tc>
          <w:tcPr>
            <w:tcW w:w="8840" w:type="dxa"/>
            <w:vAlign w:val="bottom"/>
          </w:tcPr>
          <w:p>
            <w:pPr>
              <w:ind w:left="20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Potential payout of up to 250% of target, which rewards for outperformance against rigorous goals and</w:t>
            </w:r>
          </w:p>
        </w:tc>
        <w:tc>
          <w:tcPr>
            <w:tcW w:w="0" w:type="dxa"/>
            <w:vAlign w:val="bottom"/>
          </w:tcPr>
          <w:p>
            <w:pPr>
              <w:spacing w:after="0"/>
              <w:rPr>
                <w:sz w:val="1"/>
                <w:szCs w:val="1"/>
                <w:color w:val="auto"/>
              </w:rPr>
            </w:pPr>
          </w:p>
        </w:tc>
      </w:tr>
      <w:tr>
        <w:trPr>
          <w:trHeight w:val="225"/>
        </w:trPr>
        <w:tc>
          <w:tcPr>
            <w:tcW w:w="2400" w:type="dxa"/>
            <w:vAlign w:val="bottom"/>
          </w:tcPr>
          <w:p>
            <w:pPr>
              <w:spacing w:after="0"/>
              <w:rPr>
                <w:sz w:val="19"/>
                <w:szCs w:val="19"/>
                <w:color w:val="auto"/>
              </w:rPr>
            </w:pPr>
          </w:p>
        </w:tc>
        <w:tc>
          <w:tcPr>
            <w:tcW w:w="8840" w:type="dxa"/>
            <w:vAlign w:val="bottom"/>
          </w:tcPr>
          <w:p>
            <w:pPr>
              <w:ind w:left="480"/>
              <w:spacing w:after="0"/>
              <w:rPr>
                <w:sz w:val="20"/>
                <w:szCs w:val="20"/>
                <w:color w:val="auto"/>
              </w:rPr>
            </w:pPr>
            <w:r>
              <w:rPr>
                <w:rFonts w:ascii="Arial" w:cs="Arial" w:eastAsia="Arial" w:hAnsi="Arial"/>
                <w:sz w:val="17"/>
                <w:szCs w:val="17"/>
                <w:color w:val="auto"/>
              </w:rPr>
              <w:t>significant returns to our investors.</w:t>
            </w:r>
          </w:p>
        </w:tc>
        <w:tc>
          <w:tcPr>
            <w:tcW w:w="0" w:type="dxa"/>
            <w:vAlign w:val="bottom"/>
          </w:tcPr>
          <w:p>
            <w:pPr>
              <w:spacing w:after="0"/>
              <w:rPr>
                <w:sz w:val="1"/>
                <w:szCs w:val="1"/>
                <w:color w:val="auto"/>
              </w:rPr>
            </w:pPr>
          </w:p>
        </w:tc>
      </w:tr>
      <w:tr>
        <w:trPr>
          <w:trHeight w:val="54"/>
        </w:trPr>
        <w:tc>
          <w:tcPr>
            <w:tcW w:w="2400" w:type="dxa"/>
            <w:vAlign w:val="bottom"/>
            <w:tcBorders>
              <w:bottom w:val="single" w:sz="8" w:color="DCDDDE"/>
            </w:tcBorders>
          </w:tcPr>
          <w:p>
            <w:pPr>
              <w:spacing w:after="0"/>
              <w:rPr>
                <w:sz w:val="4"/>
                <w:szCs w:val="4"/>
                <w:color w:val="auto"/>
              </w:rPr>
            </w:pPr>
          </w:p>
        </w:tc>
        <w:tc>
          <w:tcPr>
            <w:tcW w:w="8840" w:type="dxa"/>
            <w:vAlign w:val="bottom"/>
            <w:tcBorders>
              <w:bottom w:val="single" w:sz="8" w:color="DCDDDE"/>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400" w:type="dxa"/>
            <w:vAlign w:val="bottom"/>
          </w:tcPr>
          <w:p>
            <w:pPr>
              <w:ind w:left="80"/>
              <w:spacing w:after="0"/>
              <w:rPr>
                <w:sz w:val="20"/>
                <w:szCs w:val="20"/>
                <w:color w:val="auto"/>
              </w:rPr>
            </w:pPr>
            <w:r>
              <w:rPr>
                <w:rFonts w:ascii="Arial" w:cs="Arial" w:eastAsia="Arial" w:hAnsi="Arial"/>
                <w:sz w:val="17"/>
                <w:szCs w:val="17"/>
                <w:b w:val="1"/>
                <w:bCs w:val="1"/>
                <w:color w:val="auto"/>
              </w:rPr>
              <w:t>Stock Options</w:t>
            </w:r>
          </w:p>
        </w:tc>
        <w:tc>
          <w:tcPr>
            <w:tcW w:w="8840" w:type="dxa"/>
            <w:vAlign w:val="bottom"/>
          </w:tcPr>
          <w:p>
            <w:pPr>
              <w:ind w:left="20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Stock options vest ratably over a five-year period to reinforce a long-term focus.</w:t>
            </w:r>
          </w:p>
        </w:tc>
        <w:tc>
          <w:tcPr>
            <w:tcW w:w="0" w:type="dxa"/>
            <w:vAlign w:val="bottom"/>
          </w:tcPr>
          <w:p>
            <w:pPr>
              <w:spacing w:after="0"/>
              <w:rPr>
                <w:sz w:val="1"/>
                <w:szCs w:val="1"/>
                <w:color w:val="auto"/>
              </w:rPr>
            </w:pPr>
          </w:p>
        </w:tc>
      </w:tr>
      <w:tr>
        <w:trPr>
          <w:trHeight w:val="189"/>
        </w:trPr>
        <w:tc>
          <w:tcPr>
            <w:tcW w:w="2400" w:type="dxa"/>
            <w:vAlign w:val="bottom"/>
          </w:tcPr>
          <w:p>
            <w:pPr>
              <w:ind w:left="80"/>
              <w:spacing w:after="0" w:line="189" w:lineRule="exact"/>
              <w:rPr>
                <w:sz w:val="20"/>
                <w:szCs w:val="20"/>
                <w:color w:val="auto"/>
              </w:rPr>
            </w:pPr>
            <w:r>
              <w:rPr>
                <w:rFonts w:ascii="Arial" w:cs="Arial" w:eastAsia="Arial" w:hAnsi="Arial"/>
                <w:sz w:val="17"/>
                <w:szCs w:val="17"/>
                <w:color w:val="auto"/>
              </w:rPr>
              <w:t>(approximately 25% of long-</w:t>
            </w:r>
          </w:p>
        </w:tc>
        <w:tc>
          <w:tcPr>
            <w:tcW w:w="8840" w:type="dxa"/>
            <w:vAlign w:val="bottom"/>
            <w:vMerge w:val="restart"/>
          </w:tcPr>
          <w:p>
            <w:pPr>
              <w:ind w:left="20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Stock price must appreciate for stock options to deliver any value.</w:t>
            </w:r>
          </w:p>
        </w:tc>
        <w:tc>
          <w:tcPr>
            <w:tcW w:w="0" w:type="dxa"/>
            <w:vAlign w:val="bottom"/>
          </w:tcPr>
          <w:p>
            <w:pPr>
              <w:spacing w:after="0"/>
              <w:rPr>
                <w:sz w:val="1"/>
                <w:szCs w:val="1"/>
                <w:color w:val="auto"/>
              </w:rPr>
            </w:pPr>
          </w:p>
        </w:tc>
      </w:tr>
      <w:tr>
        <w:trPr>
          <w:trHeight w:val="103"/>
        </w:trPr>
        <w:tc>
          <w:tcPr>
            <w:tcW w:w="2400" w:type="dxa"/>
            <w:vAlign w:val="bottom"/>
            <w:vMerge w:val="restart"/>
          </w:tcPr>
          <w:p>
            <w:pPr>
              <w:ind w:left="80"/>
              <w:spacing w:after="0"/>
              <w:rPr>
                <w:sz w:val="20"/>
                <w:szCs w:val="20"/>
                <w:color w:val="auto"/>
              </w:rPr>
            </w:pPr>
            <w:r>
              <w:rPr>
                <w:rFonts w:ascii="Arial" w:cs="Arial" w:eastAsia="Arial" w:hAnsi="Arial"/>
                <w:sz w:val="17"/>
                <w:szCs w:val="17"/>
                <w:color w:val="auto"/>
              </w:rPr>
              <w:t>term equity incentive award)</w:t>
            </w:r>
          </w:p>
        </w:tc>
        <w:tc>
          <w:tcPr>
            <w:tcW w:w="8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00" w:type="dxa"/>
            <w:vAlign w:val="bottom"/>
            <w:vMerge w:val="continue"/>
          </w:tcPr>
          <w:p>
            <w:pPr>
              <w:spacing w:after="0"/>
              <w:rPr>
                <w:sz w:val="10"/>
                <w:szCs w:val="10"/>
                <w:color w:val="auto"/>
              </w:rPr>
            </w:pPr>
          </w:p>
        </w:tc>
        <w:tc>
          <w:tcPr>
            <w:tcW w:w="8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400" w:type="dxa"/>
            <w:vAlign w:val="bottom"/>
            <w:tcBorders>
              <w:bottom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believe that our PSU structure ties a meaningful portion of each NEO’s compensation to our long-term financial performance and closely aligns the interests of our NEOs with shareholders, with the ROIC and relative Adjusted EPS growth metrics serving as meaningful inputs to value creation and the relative TSR modifier providing an output measure of value creation. The combination of these performance metrics, together with the financial metrics (revenue, Adjusted EBITDA and Free Cash Flow), operating performance goals and the evaluation of stakeholder and sustainability initiatives under our annual cash bonus program, provide company-specific performance goals that are directly linked with our NEOs’ management of our company, while also satisfying shareholder return expectations.</w:t>
      </w:r>
    </w:p>
    <w:p>
      <w:pPr>
        <w:spacing w:after="0" w:line="182"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In determining the total value of equity-based compensation, the Compensation Committee considers, among other things, the overall performance mix of an NEO’s total direct compensation and the value of awards made to other executives, as well as the value of equity-based compensation awarded to comparable NEOs at our peer companies.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PSUs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2024 PSU Awards</w:t>
      </w:r>
    </w:p>
    <w:p>
      <w:pPr>
        <w:spacing w:after="0" w:line="208"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PSUs granted in 2024 have two equally weighted primary performance metrics that are each measured over a cumulative three-year performance period beginning January 1 in the year of grant:</w:t>
      </w:r>
    </w:p>
    <w:p>
      <w:pPr>
        <w:spacing w:after="0" w:line="159" w:lineRule="exact"/>
        <w:rPr>
          <w:sz w:val="20"/>
          <w:szCs w:val="20"/>
          <w:color w:val="auto"/>
        </w:rPr>
      </w:pPr>
    </w:p>
    <w:p>
      <w:pPr>
        <w:ind w:left="260" w:right="420" w:hanging="252"/>
        <w:spacing w:after="0" w:line="267" w:lineRule="auto"/>
        <w:tabs>
          <w:tab w:leader="none" w:pos="260" w:val="left"/>
        </w:tabs>
        <w:numPr>
          <w:ilvl w:val="0"/>
          <w:numId w:val="69"/>
        </w:numPr>
        <w:rPr>
          <w:rFonts w:ascii="Arial" w:cs="Arial" w:eastAsia="Arial" w:hAnsi="Arial"/>
          <w:sz w:val="17"/>
          <w:szCs w:val="17"/>
          <w:color w:val="00A0DD"/>
        </w:rPr>
      </w:pPr>
      <w:r>
        <w:rPr>
          <w:rFonts w:ascii="Arial" w:cs="Arial" w:eastAsia="Arial" w:hAnsi="Arial"/>
          <w:sz w:val="17"/>
          <w:szCs w:val="17"/>
          <w:b w:val="1"/>
          <w:bCs w:val="1"/>
          <w:color w:val="00A0DD"/>
        </w:rPr>
        <w:t xml:space="preserve">ROIC: </w:t>
      </w:r>
      <w:r>
        <w:rPr>
          <w:rFonts w:ascii="Arial" w:cs="Arial" w:eastAsia="Arial" w:hAnsi="Arial"/>
          <w:sz w:val="17"/>
          <w:szCs w:val="17"/>
          <w:color w:val="000000"/>
        </w:rPr>
        <w:t>measured on an absolute basis for each year during the three-year period and averaged to yield an average ROIC for the cumulative</w:t>
      </w:r>
      <w:r>
        <w:rPr>
          <w:rFonts w:ascii="Arial" w:cs="Arial" w:eastAsia="Arial" w:hAnsi="Arial"/>
          <w:sz w:val="17"/>
          <w:szCs w:val="17"/>
          <w:b w:val="1"/>
          <w:bCs w:val="1"/>
          <w:color w:val="00A0DD"/>
        </w:rPr>
        <w:t xml:space="preserve"> </w:t>
      </w:r>
      <w:r>
        <w:rPr>
          <w:rFonts w:ascii="Arial" w:cs="Arial" w:eastAsia="Arial" w:hAnsi="Arial"/>
          <w:sz w:val="17"/>
          <w:szCs w:val="17"/>
          <w:color w:val="000000"/>
        </w:rPr>
        <w:t>three-year period.</w:t>
      </w:r>
    </w:p>
    <w:p>
      <w:pPr>
        <w:spacing w:after="0" w:line="10" w:lineRule="exact"/>
        <w:rPr>
          <w:rFonts w:ascii="Arial" w:cs="Arial" w:eastAsia="Arial" w:hAnsi="Arial"/>
          <w:sz w:val="17"/>
          <w:szCs w:val="17"/>
          <w:color w:val="00A0DD"/>
        </w:rPr>
      </w:pPr>
    </w:p>
    <w:p>
      <w:pPr>
        <w:ind w:left="260" w:right="940" w:hanging="252"/>
        <w:spacing w:after="0" w:line="267" w:lineRule="auto"/>
        <w:tabs>
          <w:tab w:leader="none" w:pos="260" w:val="left"/>
        </w:tabs>
        <w:numPr>
          <w:ilvl w:val="0"/>
          <w:numId w:val="69"/>
        </w:numPr>
        <w:rPr>
          <w:rFonts w:ascii="Arial" w:cs="Arial" w:eastAsia="Arial" w:hAnsi="Arial"/>
          <w:sz w:val="17"/>
          <w:szCs w:val="17"/>
          <w:color w:val="00A0DD"/>
        </w:rPr>
      </w:pPr>
      <w:r>
        <w:rPr>
          <w:rFonts w:ascii="Arial" w:cs="Arial" w:eastAsia="Arial" w:hAnsi="Arial"/>
          <w:sz w:val="17"/>
          <w:szCs w:val="17"/>
          <w:b w:val="1"/>
          <w:bCs w:val="1"/>
          <w:color w:val="00A0DD"/>
        </w:rPr>
        <w:t xml:space="preserve">Relative Adjusted EPS Growth: </w:t>
      </w:r>
      <w:r>
        <w:rPr>
          <w:rFonts w:ascii="Arial" w:cs="Arial" w:eastAsia="Arial" w:hAnsi="Arial"/>
          <w:sz w:val="17"/>
          <w:szCs w:val="17"/>
          <w:color w:val="000000"/>
        </w:rPr>
        <w:t>compound annual growth rate measured on a relative basis at the end of the cumulative three-year</w:t>
      </w:r>
      <w:r>
        <w:rPr>
          <w:rFonts w:ascii="Arial" w:cs="Arial" w:eastAsia="Arial" w:hAnsi="Arial"/>
          <w:sz w:val="17"/>
          <w:szCs w:val="17"/>
          <w:b w:val="1"/>
          <w:bCs w:val="1"/>
          <w:color w:val="00A0DD"/>
        </w:rPr>
        <w:t xml:space="preserve"> </w:t>
      </w:r>
      <w:r>
        <w:rPr>
          <w:rFonts w:ascii="Arial" w:cs="Arial" w:eastAsia="Arial" w:hAnsi="Arial"/>
          <w:sz w:val="17"/>
          <w:szCs w:val="17"/>
          <w:color w:val="000000"/>
        </w:rPr>
        <w:t>performance period against the companies comprising the S&amp;P 100 Index.</w:t>
      </w:r>
    </w:p>
    <w:p>
      <w:pPr>
        <w:spacing w:after="0" w:line="159"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The ultimate payout of the PSUs will then be subject to a relative TSR performance modifier of +/- 25% based on the percentile ranking of our TSR over the three-year performance period relative to that of the companies comprising the S&amp;P 100 Index (“Relative TSR Modifier”). The Relative TSR Modifier is -25% if our TSR ranking is at or below the 25th percentile. The Relative TSR Modifier is +25% if our TSR ranking is at or above the 75th percentile. The Relative TSR Modifier applies on an interpolated basis for performance between the 25th – 75th percentiles. We also apply an “absolute TSR cap” such that no positive modifier will be applied if absolute TSR is negative over the performance period (regardless of our relative TSR performance) to better align our NEO’s pay outcomes with shareholders’ returns. We believe this modifier more directly links our equity compensation program to shareholder returns by rewarding our executives for sustained market outperformance, as well as regulating payouts for underperformance, even if financial metrics are achieved at or above target.</w:t>
      </w:r>
    </w:p>
    <w:p>
      <w:pPr>
        <w:spacing w:after="0" w:line="184"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The maximum payout under the PSU awards granted in 2024 is 250% of target (inclusive of the TSR modifier), which provides additional incentive for outperformance and is in recognition of the fact that a significant portion of our NEOs’ compensation is delivered in the form of at-risk PSU awards, the value of which may only be realized by our NEOs upon achievement of financial and shareholder return performance measures over a three-year period.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Earned PSUs will cliff-vest on the third anniversary of the date of grant, generally subject to continued employment through such date.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35</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Target values that the Compensation Committee approved for 2024 PSUs, which comprised 75% of the annual equity grant, are set forth below. These values are lower than the accounting values required to be set forth in the Summary Compensation Table as a result of certain assumptions and valuation methodologies required under applicable accounting standards.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60" w:type="dxa"/>
            <w:vAlign w:val="bottom"/>
          </w:tcPr>
          <w:p>
            <w:pPr>
              <w:spacing w:after="0"/>
              <w:rPr>
                <w:sz w:val="14"/>
                <w:szCs w:val="14"/>
                <w:color w:val="auto"/>
              </w:rPr>
            </w:pPr>
          </w:p>
        </w:tc>
        <w:tc>
          <w:tcPr>
            <w:tcW w:w="5480" w:type="dxa"/>
            <w:vAlign w:val="bottom"/>
          </w:tcPr>
          <w:p>
            <w:pPr>
              <w:jc w:val="right"/>
              <w:ind w:right="4"/>
              <w:spacing w:after="0"/>
              <w:rPr>
                <w:sz w:val="20"/>
                <w:szCs w:val="20"/>
                <w:color w:val="auto"/>
              </w:rPr>
            </w:pPr>
            <w:r>
              <w:rPr>
                <w:rFonts w:ascii="Arial" w:cs="Arial" w:eastAsia="Arial" w:hAnsi="Arial"/>
                <w:sz w:val="15"/>
                <w:szCs w:val="15"/>
                <w:b w:val="1"/>
                <w:bCs w:val="1"/>
                <w:color w:val="auto"/>
              </w:rPr>
              <w:t>PSUs</w:t>
            </w:r>
          </w:p>
        </w:tc>
      </w:tr>
      <w:tr>
        <w:trPr>
          <w:trHeight w:val="208"/>
        </w:trPr>
        <w:tc>
          <w:tcPr>
            <w:tcW w:w="57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NAME</w:t>
            </w:r>
          </w:p>
        </w:tc>
        <w:tc>
          <w:tcPr>
            <w:tcW w:w="5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r>
      <w:tr>
        <w:trPr>
          <w:trHeight w:val="210"/>
        </w:trPr>
        <w:tc>
          <w:tcPr>
            <w:tcW w:w="57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Mr. Roberts</w:t>
            </w:r>
          </w:p>
        </w:tc>
        <w:tc>
          <w:tcPr>
            <w:tcW w:w="54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17,250,000</w:t>
            </w:r>
          </w:p>
        </w:tc>
      </w:tr>
      <w:tr>
        <w:trPr>
          <w:trHeight w:val="209"/>
        </w:trPr>
        <w:tc>
          <w:tcPr>
            <w:tcW w:w="57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Mr. Cavanagh</w:t>
            </w:r>
          </w:p>
        </w:tc>
        <w:tc>
          <w:tcPr>
            <w:tcW w:w="54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13,125,000</w:t>
            </w:r>
          </w:p>
        </w:tc>
      </w:tr>
      <w:tr>
        <w:trPr>
          <w:trHeight w:val="209"/>
        </w:trPr>
        <w:tc>
          <w:tcPr>
            <w:tcW w:w="57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Mr. Armstrong</w:t>
            </w:r>
          </w:p>
        </w:tc>
        <w:tc>
          <w:tcPr>
            <w:tcW w:w="54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6,375,000</w:t>
            </w:r>
          </w:p>
        </w:tc>
      </w:tr>
      <w:tr>
        <w:trPr>
          <w:trHeight w:val="210"/>
        </w:trPr>
        <w:tc>
          <w:tcPr>
            <w:tcW w:w="57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Mr. Reid</w:t>
            </w:r>
          </w:p>
        </w:tc>
        <w:tc>
          <w:tcPr>
            <w:tcW w:w="54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5,137,500</w:t>
            </w:r>
          </w:p>
        </w:tc>
      </w:tr>
      <w:tr>
        <w:trPr>
          <w:trHeight w:val="209"/>
        </w:trPr>
        <w:tc>
          <w:tcPr>
            <w:tcW w:w="57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Ms. Khoury</w:t>
            </w:r>
          </w:p>
        </w:tc>
        <w:tc>
          <w:tcPr>
            <w:tcW w:w="5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1,125,000</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on PSUs granted in 2024, see “Grants of Plan-Based Awards” table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Prior PSU Award Vestings</w:t>
      </w:r>
    </w:p>
    <w:p>
      <w:pPr>
        <w:spacing w:after="0" w:line="208" w:lineRule="exact"/>
        <w:rPr>
          <w:sz w:val="20"/>
          <w:szCs w:val="20"/>
          <w:color w:val="auto"/>
        </w:rPr>
      </w:pPr>
    </w:p>
    <w:p>
      <w:pPr>
        <w:ind w:right="520"/>
        <w:spacing w:after="0" w:line="267" w:lineRule="auto"/>
        <w:rPr>
          <w:sz w:val="20"/>
          <w:szCs w:val="20"/>
          <w:color w:val="auto"/>
        </w:rPr>
      </w:pPr>
      <w:r>
        <w:rPr>
          <w:rFonts w:ascii="Arial" w:cs="Arial" w:eastAsia="Arial" w:hAnsi="Arial"/>
          <w:sz w:val="17"/>
          <w:szCs w:val="17"/>
          <w:color w:val="auto"/>
        </w:rPr>
        <w:t>The three-year performance period for PSUs granted to Messrs. Roberts, Cavanagh and Reid in 2022 concluded on December 31, 2024. The performance achieved resulted in a total payout of 143% of the target number of PSUs.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80" w:type="dxa"/>
            <w:vAlign w:val="bottom"/>
          </w:tcPr>
          <w:p>
            <w:pPr>
              <w:ind w:left="960"/>
              <w:spacing w:after="0"/>
              <w:rPr>
                <w:sz w:val="20"/>
                <w:szCs w:val="20"/>
                <w:color w:val="auto"/>
              </w:rPr>
            </w:pPr>
            <w:r>
              <w:rPr>
                <w:rFonts w:ascii="Arial" w:cs="Arial" w:eastAsia="Arial" w:hAnsi="Arial"/>
                <w:sz w:val="15"/>
                <w:szCs w:val="15"/>
                <w:b w:val="1"/>
                <w:bCs w:val="1"/>
                <w:color w:val="auto"/>
              </w:rPr>
              <w:t>PERFORMANCE METRIC</w:t>
            </w:r>
          </w:p>
        </w:tc>
        <w:tc>
          <w:tcPr>
            <w:tcW w:w="7560" w:type="dxa"/>
            <w:vAlign w:val="bottom"/>
            <w:tcBorders>
              <w:bottom w:val="single" w:sz="8" w:color="auto"/>
            </w:tcBorders>
            <w:gridSpan w:val="2"/>
          </w:tcPr>
          <w:p>
            <w:pPr>
              <w:ind w:left="2460"/>
              <w:spacing w:after="0"/>
              <w:rPr>
                <w:sz w:val="20"/>
                <w:szCs w:val="20"/>
                <w:color w:val="auto"/>
              </w:rPr>
            </w:pPr>
            <w:r>
              <w:rPr>
                <w:rFonts w:ascii="Arial" w:cs="Arial" w:eastAsia="Arial" w:hAnsi="Arial"/>
                <w:sz w:val="15"/>
                <w:szCs w:val="15"/>
                <w:b w:val="1"/>
                <w:bCs w:val="1"/>
                <w:color w:val="auto"/>
              </w:rPr>
              <w:t>PERFORMANCE PERIOD: 2022-2024</w:t>
            </w:r>
          </w:p>
        </w:tc>
      </w:tr>
      <w:tr>
        <w:trPr>
          <w:trHeight w:val="210"/>
        </w:trPr>
        <w:tc>
          <w:tcPr>
            <w:tcW w:w="36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rPr>
              <w:t>Actual Achievement</w:t>
            </w:r>
          </w:p>
        </w:tc>
        <w:tc>
          <w:tcPr>
            <w:tcW w:w="3780" w:type="dxa"/>
            <w:vAlign w:val="bottom"/>
            <w:tcBorders>
              <w:bottom w:val="single" w:sz="8" w:color="auto"/>
            </w:tcBorders>
          </w:tcPr>
          <w:p>
            <w:pPr>
              <w:jc w:val="center"/>
              <w:ind w:left="24"/>
              <w:spacing w:after="0"/>
              <w:rPr>
                <w:sz w:val="20"/>
                <w:szCs w:val="20"/>
                <w:color w:val="auto"/>
              </w:rPr>
            </w:pPr>
            <w:r>
              <w:rPr>
                <w:rFonts w:ascii="Arial" w:cs="Arial" w:eastAsia="Arial" w:hAnsi="Arial"/>
                <w:sz w:val="15"/>
                <w:szCs w:val="15"/>
                <w:b w:val="1"/>
                <w:bCs w:val="1"/>
                <w:color w:val="auto"/>
              </w:rPr>
              <w:t>Payout (% of Target)</w:t>
            </w:r>
          </w:p>
        </w:tc>
      </w:tr>
      <w:tr>
        <w:trPr>
          <w:trHeight w:val="209"/>
        </w:trPr>
        <w:tc>
          <w:tcPr>
            <w:tcW w:w="368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ROIC (50%)</w:t>
            </w:r>
          </w:p>
        </w:tc>
        <w:tc>
          <w:tcPr>
            <w:tcW w:w="3780" w:type="dxa"/>
            <w:vAlign w:val="bottom"/>
            <w:tcBorders>
              <w:bottom w:val="single" w:sz="8" w:color="DCDDDE"/>
            </w:tcBorders>
          </w:tcPr>
          <w:p>
            <w:pPr>
              <w:jc w:val="center"/>
              <w:ind w:right="44"/>
              <w:spacing w:after="0"/>
              <w:rPr>
                <w:sz w:val="20"/>
                <w:szCs w:val="20"/>
                <w:color w:val="auto"/>
              </w:rPr>
            </w:pPr>
            <w:r>
              <w:rPr>
                <w:rFonts w:ascii="Arial" w:cs="Arial" w:eastAsia="Arial" w:hAnsi="Arial"/>
                <w:sz w:val="15"/>
                <w:szCs w:val="15"/>
                <w:color w:val="auto"/>
                <w:w w:val="99"/>
              </w:rPr>
              <w:t>11%</w:t>
            </w:r>
          </w:p>
        </w:tc>
        <w:tc>
          <w:tcPr>
            <w:tcW w:w="3780" w:type="dxa"/>
            <w:vAlign w:val="bottom"/>
            <w:tcBorders>
              <w:bottom w:val="single" w:sz="8" w:color="DCDDDE"/>
            </w:tcBorders>
          </w:tcPr>
          <w:p>
            <w:pPr>
              <w:jc w:val="center"/>
              <w:ind w:left="24"/>
              <w:spacing w:after="0"/>
              <w:rPr>
                <w:sz w:val="20"/>
                <w:szCs w:val="20"/>
                <w:color w:val="auto"/>
              </w:rPr>
            </w:pPr>
            <w:r>
              <w:rPr>
                <w:rFonts w:ascii="Arial" w:cs="Arial" w:eastAsia="Arial" w:hAnsi="Arial"/>
                <w:sz w:val="15"/>
                <w:szCs w:val="15"/>
                <w:color w:val="auto"/>
              </w:rPr>
              <w:t>200%</w:t>
            </w:r>
          </w:p>
        </w:tc>
      </w:tr>
      <w:tr>
        <w:trPr>
          <w:trHeight w:val="210"/>
        </w:trPr>
        <w:tc>
          <w:tcPr>
            <w:tcW w:w="368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Relative Adjusted EPS Growth (50%)</w:t>
            </w:r>
          </w:p>
        </w:tc>
        <w:tc>
          <w:tcPr>
            <w:tcW w:w="378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color w:val="auto"/>
              </w:rPr>
              <w:t>70th percentile</w:t>
            </w:r>
          </w:p>
        </w:tc>
        <w:tc>
          <w:tcPr>
            <w:tcW w:w="3780" w:type="dxa"/>
            <w:vAlign w:val="bottom"/>
            <w:tcBorders>
              <w:bottom w:val="single" w:sz="8" w:color="auto"/>
            </w:tcBorders>
          </w:tcPr>
          <w:p>
            <w:pPr>
              <w:jc w:val="center"/>
              <w:ind w:left="24"/>
              <w:spacing w:after="0"/>
              <w:rPr>
                <w:sz w:val="20"/>
                <w:szCs w:val="20"/>
                <w:color w:val="auto"/>
              </w:rPr>
            </w:pPr>
            <w:r>
              <w:rPr>
                <w:rFonts w:ascii="Arial" w:cs="Arial" w:eastAsia="Arial" w:hAnsi="Arial"/>
                <w:sz w:val="15"/>
                <w:szCs w:val="15"/>
                <w:color w:val="auto"/>
              </w:rPr>
              <w:t>180%</w:t>
            </w:r>
          </w:p>
        </w:tc>
      </w:tr>
    </w:tbl>
    <w:p>
      <w:pPr>
        <w:spacing w:after="0" w:line="194"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The combined PSU payout percentage based on the above levels of ROIC and Relative Adjusted EPS Growth achievement was 190%. The Relative TSR Modifier was -25% based on a 19th percentile ranking relative to the S&amp;P 100 Index during the three-year performance period, which was then applied to the combined payout percentage. Details about the ROIC potential payout ranges are not disclosed due to competitive concerns.</w:t>
      </w:r>
    </w:p>
    <w:p>
      <w:pPr>
        <w:spacing w:after="0" w:line="177" w:lineRule="exact"/>
        <w:rPr>
          <w:sz w:val="20"/>
          <w:szCs w:val="20"/>
          <w:color w:val="auto"/>
        </w:rPr>
      </w:pPr>
    </w:p>
    <w:p>
      <w:pPr>
        <w:ind w:right="520"/>
        <w:spacing w:after="0" w:line="267" w:lineRule="auto"/>
        <w:rPr>
          <w:sz w:val="20"/>
          <w:szCs w:val="20"/>
          <w:color w:val="auto"/>
        </w:rPr>
      </w:pPr>
      <w:r>
        <w:rPr>
          <w:rFonts w:ascii="Arial" w:cs="Arial" w:eastAsia="Arial" w:hAnsi="Arial"/>
          <w:sz w:val="17"/>
          <w:szCs w:val="17"/>
          <w:color w:val="auto"/>
        </w:rPr>
        <w:t>Mr. Armstrong and Ms. Khoury were not awarded PSUs in prior years when they were not NEOs, and as such, only had time-based vesting of previously granted RSUs in 2024.</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Stock Options</w:t>
      </w:r>
    </w:p>
    <w:p>
      <w:pPr>
        <w:spacing w:after="0" w:line="201"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Approximately 25% of the target value of our NEOs’ 2024 equity awards was in the form of stock options, which vest 20% on each of the first five anniversaries of the grant date. While the stock options granted to our NEOs in 2024 do not have any express performance conditions, the value ultimately realized depends on the appreciation of our stock price from the date of grant, which further aligns our NEOs’ interests with those of our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auto"/>
        </w:rPr>
        <w:t>Procedures for Determining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A0DD"/>
        </w:rPr>
        <w:t>Compensation Committee’s Role, Process and Assessments</w:t>
      </w:r>
    </w:p>
    <w:p>
      <w:pPr>
        <w:spacing w:after="0" w:line="210"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 Compensation Committee approves the nature and amount of compensation paid to, and the employment and related agreements entered into with, our executive officers, and oversees broad-based cash bonus and equity-based plans, approving guidelines for grants of awards under these plans and determining and overseeing our compensation and benefits policies generally.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In 2024, the Compensation Committee reviewed for our NEOs:</w:t>
      </w:r>
    </w:p>
    <w:p>
      <w:pPr>
        <w:spacing w:after="0" w:line="210" w:lineRule="exact"/>
        <w:rPr>
          <w:sz w:val="20"/>
          <w:szCs w:val="20"/>
          <w:color w:val="auto"/>
        </w:rPr>
      </w:pPr>
    </w:p>
    <w:p>
      <w:pPr>
        <w:ind w:left="260" w:hanging="252"/>
        <w:spacing w:after="0"/>
        <w:tabs>
          <w:tab w:leader="none" w:pos="260" w:val="left"/>
        </w:tabs>
        <w:numPr>
          <w:ilvl w:val="0"/>
          <w:numId w:val="70"/>
        </w:numPr>
        <w:rPr>
          <w:rFonts w:ascii="Arial" w:cs="Arial" w:eastAsia="Arial" w:hAnsi="Arial"/>
          <w:sz w:val="17"/>
          <w:szCs w:val="17"/>
          <w:color w:val="00A0DD"/>
        </w:rPr>
      </w:pPr>
      <w:r>
        <w:rPr>
          <w:rFonts w:ascii="Arial" w:cs="Arial" w:eastAsia="Arial" w:hAnsi="Arial"/>
          <w:sz w:val="17"/>
          <w:szCs w:val="17"/>
          <w:color w:val="auto"/>
        </w:rPr>
        <w:t>Each element of our NEOs’ compensation for internal consistency.</w:t>
      </w:r>
    </w:p>
    <w:p>
      <w:pPr>
        <w:spacing w:after="0" w:line="61" w:lineRule="exact"/>
        <w:rPr>
          <w:rFonts w:ascii="Arial" w:cs="Arial" w:eastAsia="Arial" w:hAnsi="Arial"/>
          <w:sz w:val="17"/>
          <w:szCs w:val="17"/>
          <w:color w:val="00A0DD"/>
        </w:rPr>
      </w:pPr>
    </w:p>
    <w:p>
      <w:pPr>
        <w:ind w:left="260" w:hanging="252"/>
        <w:spacing w:after="0"/>
        <w:tabs>
          <w:tab w:leader="none" w:pos="260" w:val="left"/>
        </w:tabs>
        <w:numPr>
          <w:ilvl w:val="0"/>
          <w:numId w:val="70"/>
        </w:numPr>
        <w:rPr>
          <w:rFonts w:ascii="Arial" w:cs="Arial" w:eastAsia="Arial" w:hAnsi="Arial"/>
          <w:sz w:val="17"/>
          <w:szCs w:val="17"/>
          <w:color w:val="00A0DD"/>
        </w:rPr>
      </w:pPr>
      <w:r>
        <w:rPr>
          <w:rFonts w:ascii="Arial" w:cs="Arial" w:eastAsia="Arial" w:hAnsi="Arial"/>
          <w:sz w:val="17"/>
          <w:szCs w:val="17"/>
          <w:color w:val="auto"/>
        </w:rPr>
        <w:t>Various analyses provided by its independent compensation consultant, including:</w:t>
      </w:r>
    </w:p>
    <w:p>
      <w:pPr>
        <w:spacing w:after="0" w:line="61" w:lineRule="exact"/>
        <w:rPr>
          <w:rFonts w:ascii="Arial" w:cs="Arial" w:eastAsia="Arial" w:hAnsi="Arial"/>
          <w:sz w:val="17"/>
          <w:szCs w:val="17"/>
          <w:color w:val="00A0DD"/>
        </w:rPr>
      </w:pPr>
    </w:p>
    <w:p>
      <w:pPr>
        <w:ind w:left="520" w:hanging="256"/>
        <w:spacing w:after="0"/>
        <w:tabs>
          <w:tab w:leader="none" w:pos="520" w:val="left"/>
        </w:tabs>
        <w:numPr>
          <w:ilvl w:val="1"/>
          <w:numId w:val="70"/>
        </w:numPr>
        <w:rPr>
          <w:rFonts w:ascii="Arial" w:cs="Arial" w:eastAsia="Arial" w:hAnsi="Arial"/>
          <w:sz w:val="17"/>
          <w:szCs w:val="17"/>
          <w:color w:val="00A0DD"/>
        </w:rPr>
      </w:pPr>
      <w:r>
        <w:rPr>
          <w:rFonts w:ascii="Arial" w:cs="Arial" w:eastAsia="Arial" w:hAnsi="Arial"/>
          <w:sz w:val="17"/>
          <w:szCs w:val="17"/>
          <w:color w:val="auto"/>
        </w:rPr>
        <w:t>an assessment of the composition of our peer groups;</w:t>
      </w:r>
    </w:p>
    <w:p>
      <w:pPr>
        <w:spacing w:after="0" w:line="61" w:lineRule="exact"/>
        <w:rPr>
          <w:rFonts w:ascii="Arial" w:cs="Arial" w:eastAsia="Arial" w:hAnsi="Arial"/>
          <w:sz w:val="17"/>
          <w:szCs w:val="17"/>
          <w:color w:val="00A0DD"/>
        </w:rPr>
      </w:pPr>
    </w:p>
    <w:p>
      <w:pPr>
        <w:ind w:left="520" w:right="500" w:hanging="256"/>
        <w:spacing w:after="0" w:line="249" w:lineRule="auto"/>
        <w:tabs>
          <w:tab w:leader="none" w:pos="520" w:val="left"/>
        </w:tabs>
        <w:numPr>
          <w:ilvl w:val="1"/>
          <w:numId w:val="70"/>
        </w:numPr>
        <w:rPr>
          <w:rFonts w:ascii="Arial" w:cs="Arial" w:eastAsia="Arial" w:hAnsi="Arial"/>
          <w:sz w:val="17"/>
          <w:szCs w:val="17"/>
          <w:color w:val="00A0DD"/>
        </w:rPr>
      </w:pPr>
      <w:r>
        <w:rPr>
          <w:rFonts w:ascii="Arial" w:cs="Arial" w:eastAsia="Arial" w:hAnsi="Arial"/>
          <w:sz w:val="17"/>
          <w:szCs w:val="17"/>
          <w:color w:val="auto"/>
        </w:rPr>
        <w:t>a competitive pay assessment (comparing NEO compensation to that of executives holding comparable positions at our peer group companies as disclosed in proxy statements and to broad groups of companies in published surveys, and analyzing components of pay compared to those of our peer group companies (e.g., target pay levels, fixed vs. variable, components of long-term equity));</w:t>
      </w:r>
    </w:p>
    <w:p>
      <w:pPr>
        <w:spacing w:after="0" w:line="26" w:lineRule="exact"/>
        <w:rPr>
          <w:rFonts w:ascii="Arial" w:cs="Arial" w:eastAsia="Arial" w:hAnsi="Arial"/>
          <w:sz w:val="17"/>
          <w:szCs w:val="17"/>
          <w:color w:val="00A0DD"/>
        </w:rPr>
      </w:pPr>
    </w:p>
    <w:p>
      <w:pPr>
        <w:ind w:left="520" w:right="100" w:hanging="256"/>
        <w:spacing w:after="0" w:line="267" w:lineRule="auto"/>
        <w:tabs>
          <w:tab w:leader="none" w:pos="520" w:val="left"/>
        </w:tabs>
        <w:numPr>
          <w:ilvl w:val="1"/>
          <w:numId w:val="70"/>
        </w:numPr>
        <w:rPr>
          <w:rFonts w:ascii="Arial" w:cs="Arial" w:eastAsia="Arial" w:hAnsi="Arial"/>
          <w:sz w:val="17"/>
          <w:szCs w:val="17"/>
          <w:color w:val="00A0DD"/>
        </w:rPr>
      </w:pPr>
      <w:r>
        <w:rPr>
          <w:rFonts w:ascii="Arial" w:cs="Arial" w:eastAsia="Arial" w:hAnsi="Arial"/>
          <w:sz w:val="17"/>
          <w:szCs w:val="17"/>
          <w:color w:val="auto"/>
        </w:rPr>
        <w:t>a financial performance review (comparing our performance relative to our peer group companies with respect to growth in Adjusted EBITDA and revenue as well as TSR, based on financial data from a third-party source);</w:t>
      </w:r>
    </w:p>
    <w:p>
      <w:pPr>
        <w:spacing w:after="0" w:line="163" w:lineRule="exact"/>
        <w:rPr>
          <w:sz w:val="20"/>
          <w:szCs w:val="20"/>
          <w:color w:val="auto"/>
        </w:rPr>
      </w:pPr>
    </w:p>
    <w:p>
      <w:pPr>
        <w:ind w:left="400" w:hanging="392"/>
        <w:spacing w:after="0"/>
        <w:tabs>
          <w:tab w:leader="none" w:pos="40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ind w:left="500" w:right="280" w:hanging="249"/>
        <w:spacing w:after="0" w:line="267" w:lineRule="auto"/>
        <w:tabs>
          <w:tab w:leader="none" w:pos="500" w:val="left"/>
        </w:tabs>
        <w:numPr>
          <w:ilvl w:val="0"/>
          <w:numId w:val="72"/>
        </w:numPr>
        <w:rPr>
          <w:rFonts w:ascii="Arial" w:cs="Arial" w:eastAsia="Arial" w:hAnsi="Arial"/>
          <w:sz w:val="17"/>
          <w:szCs w:val="17"/>
          <w:color w:val="00A0DD"/>
        </w:rPr>
      </w:pPr>
      <w:r>
        <w:rPr>
          <w:rFonts w:ascii="Arial" w:cs="Arial" w:eastAsia="Arial" w:hAnsi="Arial"/>
          <w:sz w:val="17"/>
          <w:szCs w:val="17"/>
          <w:color w:val="auto"/>
        </w:rPr>
        <w:t>a compensation sharing analysis (analyzing the actual pay delivered to our NEOs as a percentage of our Adjusted EBITDA and Free Cash Flow as compared to our peer group companies);</w:t>
      </w:r>
    </w:p>
    <w:p>
      <w:pPr>
        <w:spacing w:after="0" w:line="10" w:lineRule="exact"/>
        <w:rPr>
          <w:rFonts w:ascii="Arial" w:cs="Arial" w:eastAsia="Arial" w:hAnsi="Arial"/>
          <w:sz w:val="17"/>
          <w:szCs w:val="17"/>
          <w:color w:val="00A0DD"/>
        </w:rPr>
      </w:pPr>
    </w:p>
    <w:p>
      <w:pPr>
        <w:ind w:left="500" w:hanging="249"/>
        <w:spacing w:after="0"/>
        <w:tabs>
          <w:tab w:leader="none" w:pos="500" w:val="left"/>
        </w:tabs>
        <w:numPr>
          <w:ilvl w:val="0"/>
          <w:numId w:val="72"/>
        </w:numPr>
        <w:rPr>
          <w:rFonts w:ascii="Arial" w:cs="Arial" w:eastAsia="Arial" w:hAnsi="Arial"/>
          <w:sz w:val="17"/>
          <w:szCs w:val="17"/>
          <w:color w:val="00A0DD"/>
        </w:rPr>
      </w:pPr>
      <w:r>
        <w:rPr>
          <w:rFonts w:ascii="Arial" w:cs="Arial" w:eastAsia="Arial" w:hAnsi="Arial"/>
          <w:sz w:val="17"/>
          <w:szCs w:val="17"/>
          <w:color w:val="auto"/>
        </w:rPr>
        <w:t>an incentive compensation design analysis (analyzing various annual bonus and long-term incentive design elements); and</w:t>
      </w:r>
    </w:p>
    <w:p>
      <w:pPr>
        <w:spacing w:after="0" w:line="61" w:lineRule="exact"/>
        <w:rPr>
          <w:rFonts w:ascii="Arial" w:cs="Arial" w:eastAsia="Arial" w:hAnsi="Arial"/>
          <w:sz w:val="17"/>
          <w:szCs w:val="17"/>
          <w:color w:val="00A0DD"/>
        </w:rPr>
      </w:pPr>
    </w:p>
    <w:p>
      <w:pPr>
        <w:ind w:left="500" w:right="120" w:hanging="249"/>
        <w:spacing w:after="0" w:line="267" w:lineRule="auto"/>
        <w:tabs>
          <w:tab w:leader="none" w:pos="500" w:val="left"/>
        </w:tabs>
        <w:numPr>
          <w:ilvl w:val="0"/>
          <w:numId w:val="72"/>
        </w:numPr>
        <w:rPr>
          <w:rFonts w:ascii="Arial" w:cs="Arial" w:eastAsia="Arial" w:hAnsi="Arial"/>
          <w:sz w:val="17"/>
          <w:szCs w:val="17"/>
          <w:color w:val="00A0DD"/>
        </w:rPr>
      </w:pPr>
      <w:r>
        <w:rPr>
          <w:rFonts w:ascii="Arial" w:cs="Arial" w:eastAsia="Arial" w:hAnsi="Arial"/>
          <w:sz w:val="17"/>
          <w:szCs w:val="17"/>
          <w:color w:val="auto"/>
        </w:rPr>
        <w:t>an analysis of equity dilution resulting from, and annual usage rates in, our equity-based compensation plans as compared to our peer group companies (i.e., overhang and burn rates).</w:t>
      </w:r>
    </w:p>
    <w:p>
      <w:pPr>
        <w:spacing w:after="0" w:line="159"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After taking into account the analyses above, the Compensation Committee evaluated our financial performance, as compared to our peers over time, as it related to our strongly competitive compensation philosophy.</w:t>
      </w:r>
    </w:p>
    <w:p>
      <w:pPr>
        <w:spacing w:after="0" w:line="159" w:lineRule="exact"/>
        <w:rPr>
          <w:sz w:val="20"/>
          <w:szCs w:val="20"/>
          <w:color w:val="auto"/>
        </w:rPr>
      </w:pPr>
    </w:p>
    <w:p>
      <w:pPr>
        <w:jc w:val="both"/>
        <w:ind w:left="260" w:right="100" w:hanging="252"/>
        <w:spacing w:after="0" w:line="244" w:lineRule="auto"/>
        <w:tabs>
          <w:tab w:leader="none" w:pos="260" w:val="left"/>
        </w:tabs>
        <w:numPr>
          <w:ilvl w:val="0"/>
          <w:numId w:val="73"/>
        </w:numPr>
        <w:rPr>
          <w:rFonts w:ascii="Arial" w:cs="Arial" w:eastAsia="Arial" w:hAnsi="Arial"/>
          <w:sz w:val="17"/>
          <w:szCs w:val="17"/>
          <w:color w:val="00A0DD"/>
        </w:rPr>
      </w:pPr>
      <w:r>
        <w:rPr>
          <w:rFonts w:ascii="Arial" w:cs="Arial" w:eastAsia="Arial" w:hAnsi="Arial"/>
          <w:sz w:val="17"/>
          <w:szCs w:val="17"/>
          <w:color w:val="auto"/>
        </w:rPr>
        <w:t>In addition, the Compensation Committee annually reviews the nature and mix of compensation elements, as well as compensation plan design and award terms, to ensure that our compensation program does not include inadvertent incentives for our NEOs to take inappropriate business risks by making decisions that may not be in the best interests of our shareholders. In conducting this review, the Compensation Committee also considers specific business risks identified through our ERM process.</w:t>
      </w:r>
    </w:p>
    <w:p>
      <w:pPr>
        <w:spacing w:after="0" w:line="28" w:lineRule="exact"/>
        <w:rPr>
          <w:rFonts w:ascii="Arial" w:cs="Arial" w:eastAsia="Arial" w:hAnsi="Arial"/>
          <w:sz w:val="17"/>
          <w:szCs w:val="17"/>
          <w:color w:val="00A0DD"/>
        </w:rPr>
      </w:pPr>
    </w:p>
    <w:p>
      <w:pPr>
        <w:ind w:left="260" w:right="40" w:hanging="252"/>
        <w:spacing w:after="0" w:line="238" w:lineRule="auto"/>
        <w:tabs>
          <w:tab w:leader="none" w:pos="260" w:val="left"/>
        </w:tabs>
        <w:numPr>
          <w:ilvl w:val="0"/>
          <w:numId w:val="73"/>
        </w:numPr>
        <w:rPr>
          <w:rFonts w:ascii="Arial" w:cs="Arial" w:eastAsia="Arial" w:hAnsi="Arial"/>
          <w:sz w:val="17"/>
          <w:szCs w:val="17"/>
          <w:color w:val="00A0DD"/>
        </w:rPr>
      </w:pPr>
      <w:r>
        <w:rPr>
          <w:rFonts w:ascii="Arial" w:cs="Arial" w:eastAsia="Arial" w:hAnsi="Arial"/>
          <w:sz w:val="17"/>
          <w:szCs w:val="17"/>
          <w:color w:val="auto"/>
        </w:rPr>
        <w:t>In determining individual compensation, the Compensation Committee annually evaluates Mr. Roberts’ performance, and Mr. Roberts discusses with the Compensation Committee the performance of our other NEOs. The Compensation Committee, among other things, assesses each NEO’s responsibilities and roles with respect to corporate policy-making, management and contribution to our overall performance, both in terms of financial results and progress on key initiatives, as well as the importance of retaining the NEO. This process helps inform compensation decisions and allows our Compensation Committee to employ a holistic evaluation that may include factors both within and outside of management’s control, balanced with individual and company performance and shareholder outcomes. See “Compensation Decisions” above for information on NEO performance and decisions made in respect of 2024.</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00A0DD"/>
        </w:rPr>
        <w:t>Role of Compensation Consultants</w:t>
      </w:r>
    </w:p>
    <w:p>
      <w:pPr>
        <w:spacing w:after="0" w:line="210"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The Compensation Committee has directly engaged Korn Ferry as its own independent compensation consultant. Korn Ferry provides research, analysis and input as to the form and amount of executive and director compensation, which generally includes market research utilizing information derived from proxy statements, surveys and its own consulting experience and insight, as well as the provision of other methodological standards and policies in accordance with its established procedures. This research, analysis and input has been provided to both our Compensation Committee and to management. The Compensation Committee collaborated with Korn Ferry to determine and approve the parameters used to conduct the assessment work, including items such as the composition of peer groups, the relevant market statistical reference points within the data (e.g., median) and the elements of compensation. Korn Ferry did not determine or recommend the form or amount of compensation of our NEOs for 2024.</w:t>
      </w:r>
    </w:p>
    <w:p>
      <w:pPr>
        <w:spacing w:after="0" w:line="18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2024, we paid Korn Ferry approximately $384,000 for services related to executive and director compensation and approximately $193,000 for leadership, succession, organizational strategy and talent consulting services and executive search services. As part of their job responsibilities, certain of our executive officers participate both in gathering and presenting facts related to compensation and benefits matters as requested by the Compensation Committee and in formulating and making recommendations to the Compensation Committee in these areas. These executives, together with our employees who work in the compensation area, also conduct research and consult with compensation consultants, legal counsel and other expert sources to keep abreast of developments in these areas. All decisions, however, regarding the compensation of our NEOs are made by the Compensation Committee and are reviewed by the Board, following reviews and discussions held in executive sessions. The Compensation Committee assessed Korn Ferry’s work as required under SEC rules and concluded that its work for the Compensation Committee in 2024 did not raise any conflicts of interest. The Compensation Committee reached this determination by reviewing the fees paid to Korn Ferry and evaluating its work under applicable SEC and Nasdaq rules on conflicts of interest.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00A0DD"/>
        </w:rPr>
        <w:t>Use of Competitive Data</w:t>
      </w:r>
    </w:p>
    <w:p>
      <w:pPr>
        <w:spacing w:after="0" w:line="210"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While peer group and various compensation survey analyses are considered important and valuable by the Compensation Committee, the Compensation Committee does not make any determination of, or change to, compensation in reaction to market data alone. Rather, it uses this information as one of several considerations to inform its decisions in determining compensation levels (and when to change compensation levels).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37</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Peer Group</w:t>
      </w:r>
    </w:p>
    <w:p>
      <w:pPr>
        <w:spacing w:after="0" w:line="201" w:lineRule="exact"/>
        <w:rPr>
          <w:sz w:val="20"/>
          <w:szCs w:val="20"/>
          <w:color w:val="auto"/>
        </w:rPr>
      </w:pPr>
    </w:p>
    <w:p>
      <w:pPr>
        <w:jc w:val="both"/>
        <w:ind w:right="200"/>
        <w:spacing w:after="0" w:line="249" w:lineRule="auto"/>
        <w:rPr>
          <w:sz w:val="20"/>
          <w:szCs w:val="20"/>
          <w:color w:val="auto"/>
        </w:rPr>
      </w:pPr>
      <w:r>
        <w:rPr>
          <w:rFonts w:ascii="Arial" w:cs="Arial" w:eastAsia="Arial" w:hAnsi="Arial"/>
          <w:sz w:val="17"/>
          <w:szCs w:val="17"/>
          <w:color w:val="auto"/>
        </w:rPr>
        <w:t>The Compensation Committee, advised by Korn Ferry, reviewed the criteria for selecting members of our peer groups and determined that Lumen Technologies, Inc. was no longer a suitable peer company for comparison. In all other respects, the composition of our core peer group for 2024 is unchanged from our 2023 core peer group.</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Below are the companies in our core peer group for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400" w:type="dxa"/>
            <w:vAlign w:val="bottom"/>
            <w:shd w:val="clear" w:color="auto" w:fill="E0F0FB"/>
          </w:tcPr>
          <w:p>
            <w:pPr>
              <w:ind w:left="220"/>
              <w:spacing w:after="0"/>
              <w:rPr>
                <w:sz w:val="20"/>
                <w:szCs w:val="20"/>
                <w:color w:val="auto"/>
              </w:rPr>
            </w:pPr>
            <w:r>
              <w:rPr>
                <w:rFonts w:ascii="Arial" w:cs="Arial" w:eastAsia="Arial" w:hAnsi="Arial"/>
                <w:sz w:val="17"/>
                <w:szCs w:val="17"/>
                <w:color w:val="00A0DD"/>
              </w:rPr>
              <w:t>●</w:t>
            </w:r>
          </w:p>
        </w:tc>
        <w:tc>
          <w:tcPr>
            <w:tcW w:w="3900" w:type="dxa"/>
            <w:vAlign w:val="bottom"/>
            <w:shd w:val="clear" w:color="auto" w:fill="E0F0FB"/>
          </w:tcPr>
          <w:p>
            <w:pPr>
              <w:ind w:left="80"/>
              <w:spacing w:after="0"/>
              <w:rPr>
                <w:sz w:val="20"/>
                <w:szCs w:val="20"/>
                <w:color w:val="auto"/>
              </w:rPr>
            </w:pPr>
            <w:r>
              <w:rPr>
                <w:rFonts w:ascii="Arial" w:cs="Arial" w:eastAsia="Arial" w:hAnsi="Arial"/>
                <w:sz w:val="17"/>
                <w:szCs w:val="17"/>
                <w:color w:val="auto"/>
              </w:rPr>
              <w:t>Alphabet Inc.</w:t>
            </w:r>
          </w:p>
        </w:tc>
        <w:tc>
          <w:tcPr>
            <w:tcW w:w="1720" w:type="dxa"/>
            <w:vAlign w:val="bottom"/>
            <w:shd w:val="clear" w:color="auto" w:fill="E0F0FB"/>
          </w:tcPr>
          <w:p>
            <w:pPr>
              <w:ind w:left="1540"/>
              <w:spacing w:after="0"/>
              <w:rPr>
                <w:sz w:val="20"/>
                <w:szCs w:val="20"/>
                <w:color w:val="auto"/>
              </w:rPr>
            </w:pPr>
            <w:r>
              <w:rPr>
                <w:rFonts w:ascii="Arial" w:cs="Arial" w:eastAsia="Arial" w:hAnsi="Arial"/>
                <w:sz w:val="17"/>
                <w:szCs w:val="17"/>
                <w:color w:val="00A0DD"/>
              </w:rPr>
              <w:t>●</w:t>
            </w:r>
          </w:p>
        </w:tc>
        <w:tc>
          <w:tcPr>
            <w:tcW w:w="5220" w:type="dxa"/>
            <w:vAlign w:val="bottom"/>
            <w:shd w:val="clear" w:color="auto" w:fill="E0F0FB"/>
          </w:tcPr>
          <w:p>
            <w:pPr>
              <w:ind w:left="80"/>
              <w:spacing w:after="0"/>
              <w:rPr>
                <w:sz w:val="20"/>
                <w:szCs w:val="20"/>
                <w:color w:val="auto"/>
              </w:rPr>
            </w:pPr>
            <w:r>
              <w:rPr>
                <w:rFonts w:ascii="Arial" w:cs="Arial" w:eastAsia="Arial" w:hAnsi="Arial"/>
                <w:sz w:val="17"/>
                <w:szCs w:val="17"/>
                <w:color w:val="auto"/>
              </w:rPr>
              <w:t>Paramount Global</w:t>
            </w:r>
          </w:p>
        </w:tc>
      </w:tr>
      <w:tr>
        <w:trPr>
          <w:trHeight w:val="256"/>
        </w:trPr>
        <w:tc>
          <w:tcPr>
            <w:tcW w:w="400" w:type="dxa"/>
            <w:vAlign w:val="bottom"/>
            <w:shd w:val="clear" w:color="auto" w:fill="E0F0FB"/>
          </w:tcPr>
          <w:p>
            <w:pPr>
              <w:ind w:left="220"/>
              <w:spacing w:after="0"/>
              <w:rPr>
                <w:sz w:val="20"/>
                <w:szCs w:val="20"/>
                <w:color w:val="auto"/>
              </w:rPr>
            </w:pPr>
            <w:r>
              <w:rPr>
                <w:rFonts w:ascii="Arial" w:cs="Arial" w:eastAsia="Arial" w:hAnsi="Arial"/>
                <w:sz w:val="17"/>
                <w:szCs w:val="17"/>
                <w:color w:val="00A0DD"/>
              </w:rPr>
              <w:t>●</w:t>
            </w:r>
          </w:p>
        </w:tc>
        <w:tc>
          <w:tcPr>
            <w:tcW w:w="3900" w:type="dxa"/>
            <w:vAlign w:val="bottom"/>
            <w:shd w:val="clear" w:color="auto" w:fill="E0F0FB"/>
          </w:tcPr>
          <w:p>
            <w:pPr>
              <w:ind w:left="80"/>
              <w:spacing w:after="0"/>
              <w:rPr>
                <w:sz w:val="20"/>
                <w:szCs w:val="20"/>
                <w:color w:val="auto"/>
              </w:rPr>
            </w:pPr>
            <w:r>
              <w:rPr>
                <w:rFonts w:ascii="Arial" w:cs="Arial" w:eastAsia="Arial" w:hAnsi="Arial"/>
                <w:sz w:val="17"/>
                <w:szCs w:val="17"/>
                <w:color w:val="auto"/>
              </w:rPr>
              <w:t>AT&amp;T Inc.</w:t>
            </w:r>
          </w:p>
        </w:tc>
        <w:tc>
          <w:tcPr>
            <w:tcW w:w="1720" w:type="dxa"/>
            <w:vAlign w:val="bottom"/>
            <w:shd w:val="clear" w:color="auto" w:fill="E0F0FB"/>
          </w:tcPr>
          <w:p>
            <w:pPr>
              <w:ind w:left="1540"/>
              <w:spacing w:after="0"/>
              <w:rPr>
                <w:sz w:val="20"/>
                <w:szCs w:val="20"/>
                <w:color w:val="auto"/>
              </w:rPr>
            </w:pPr>
            <w:r>
              <w:rPr>
                <w:rFonts w:ascii="Arial" w:cs="Arial" w:eastAsia="Arial" w:hAnsi="Arial"/>
                <w:sz w:val="17"/>
                <w:szCs w:val="17"/>
                <w:color w:val="00A0DD"/>
              </w:rPr>
              <w:t>●</w:t>
            </w:r>
          </w:p>
        </w:tc>
        <w:tc>
          <w:tcPr>
            <w:tcW w:w="5220" w:type="dxa"/>
            <w:vAlign w:val="bottom"/>
            <w:shd w:val="clear" w:color="auto" w:fill="E0F0FB"/>
          </w:tcPr>
          <w:p>
            <w:pPr>
              <w:ind w:left="80"/>
              <w:spacing w:after="0"/>
              <w:rPr>
                <w:sz w:val="20"/>
                <w:szCs w:val="20"/>
                <w:color w:val="auto"/>
              </w:rPr>
            </w:pPr>
            <w:r>
              <w:rPr>
                <w:rFonts w:ascii="Arial" w:cs="Arial" w:eastAsia="Arial" w:hAnsi="Arial"/>
                <w:sz w:val="17"/>
                <w:szCs w:val="17"/>
                <w:color w:val="auto"/>
              </w:rPr>
              <w:t>T-Mobile US, Inc.</w:t>
            </w:r>
          </w:p>
        </w:tc>
      </w:tr>
      <w:tr>
        <w:trPr>
          <w:trHeight w:val="257"/>
        </w:trPr>
        <w:tc>
          <w:tcPr>
            <w:tcW w:w="400" w:type="dxa"/>
            <w:vAlign w:val="bottom"/>
            <w:shd w:val="clear" w:color="auto" w:fill="E0F0FB"/>
          </w:tcPr>
          <w:p>
            <w:pPr>
              <w:ind w:left="220"/>
              <w:spacing w:after="0"/>
              <w:rPr>
                <w:sz w:val="20"/>
                <w:szCs w:val="20"/>
                <w:color w:val="auto"/>
              </w:rPr>
            </w:pPr>
            <w:r>
              <w:rPr>
                <w:rFonts w:ascii="Arial" w:cs="Arial" w:eastAsia="Arial" w:hAnsi="Arial"/>
                <w:sz w:val="17"/>
                <w:szCs w:val="17"/>
                <w:color w:val="00A0DD"/>
              </w:rPr>
              <w:t>●</w:t>
            </w:r>
          </w:p>
        </w:tc>
        <w:tc>
          <w:tcPr>
            <w:tcW w:w="3900" w:type="dxa"/>
            <w:vAlign w:val="bottom"/>
            <w:shd w:val="clear" w:color="auto" w:fill="E0F0FB"/>
          </w:tcPr>
          <w:p>
            <w:pPr>
              <w:ind w:left="80"/>
              <w:spacing w:after="0"/>
              <w:rPr>
                <w:sz w:val="20"/>
                <w:szCs w:val="20"/>
                <w:color w:val="auto"/>
              </w:rPr>
            </w:pPr>
            <w:r>
              <w:rPr>
                <w:rFonts w:ascii="Arial" w:cs="Arial" w:eastAsia="Arial" w:hAnsi="Arial"/>
                <w:sz w:val="17"/>
                <w:szCs w:val="17"/>
                <w:color w:val="auto"/>
              </w:rPr>
              <w:t>Charter Communications, Inc.</w:t>
            </w:r>
          </w:p>
        </w:tc>
        <w:tc>
          <w:tcPr>
            <w:tcW w:w="6940" w:type="dxa"/>
            <w:vAlign w:val="bottom"/>
            <w:gridSpan w:val="2"/>
            <w:shd w:val="clear" w:color="auto" w:fill="E0F0FB"/>
          </w:tcPr>
          <w:p>
            <w:pPr>
              <w:ind w:left="154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The Walt Disney Company</w:t>
            </w:r>
          </w:p>
        </w:tc>
      </w:tr>
      <w:tr>
        <w:trPr>
          <w:trHeight w:val="257"/>
        </w:trPr>
        <w:tc>
          <w:tcPr>
            <w:tcW w:w="400" w:type="dxa"/>
            <w:vAlign w:val="bottom"/>
            <w:shd w:val="clear" w:color="auto" w:fill="E0F0FB"/>
          </w:tcPr>
          <w:p>
            <w:pPr>
              <w:ind w:left="220"/>
              <w:spacing w:after="0"/>
              <w:rPr>
                <w:sz w:val="20"/>
                <w:szCs w:val="20"/>
                <w:color w:val="auto"/>
              </w:rPr>
            </w:pPr>
            <w:r>
              <w:rPr>
                <w:rFonts w:ascii="Arial" w:cs="Arial" w:eastAsia="Arial" w:hAnsi="Arial"/>
                <w:sz w:val="17"/>
                <w:szCs w:val="17"/>
                <w:color w:val="00A0DD"/>
              </w:rPr>
              <w:t>●</w:t>
            </w:r>
          </w:p>
        </w:tc>
        <w:tc>
          <w:tcPr>
            <w:tcW w:w="3900" w:type="dxa"/>
            <w:vAlign w:val="bottom"/>
            <w:shd w:val="clear" w:color="auto" w:fill="E0F0FB"/>
          </w:tcPr>
          <w:p>
            <w:pPr>
              <w:ind w:left="80"/>
              <w:spacing w:after="0"/>
              <w:rPr>
                <w:sz w:val="20"/>
                <w:szCs w:val="20"/>
                <w:color w:val="auto"/>
              </w:rPr>
            </w:pPr>
            <w:r>
              <w:rPr>
                <w:rFonts w:ascii="Arial" w:cs="Arial" w:eastAsia="Arial" w:hAnsi="Arial"/>
                <w:sz w:val="17"/>
                <w:szCs w:val="17"/>
                <w:color w:val="auto"/>
              </w:rPr>
              <w:t>Fox Corporation</w:t>
            </w:r>
          </w:p>
        </w:tc>
        <w:tc>
          <w:tcPr>
            <w:tcW w:w="1720" w:type="dxa"/>
            <w:vAlign w:val="bottom"/>
            <w:shd w:val="clear" w:color="auto" w:fill="E0F0FB"/>
          </w:tcPr>
          <w:p>
            <w:pPr>
              <w:ind w:left="1540"/>
              <w:spacing w:after="0"/>
              <w:rPr>
                <w:sz w:val="20"/>
                <w:szCs w:val="20"/>
                <w:color w:val="auto"/>
              </w:rPr>
            </w:pPr>
            <w:r>
              <w:rPr>
                <w:rFonts w:ascii="Arial" w:cs="Arial" w:eastAsia="Arial" w:hAnsi="Arial"/>
                <w:sz w:val="17"/>
                <w:szCs w:val="17"/>
                <w:color w:val="00A0DD"/>
              </w:rPr>
              <w:t>●</w:t>
            </w:r>
          </w:p>
        </w:tc>
        <w:tc>
          <w:tcPr>
            <w:tcW w:w="5220" w:type="dxa"/>
            <w:vAlign w:val="bottom"/>
            <w:shd w:val="clear" w:color="auto" w:fill="E0F0FB"/>
          </w:tcPr>
          <w:p>
            <w:pPr>
              <w:ind w:left="80"/>
              <w:spacing w:after="0"/>
              <w:rPr>
                <w:sz w:val="20"/>
                <w:szCs w:val="20"/>
                <w:color w:val="auto"/>
              </w:rPr>
            </w:pPr>
            <w:r>
              <w:rPr>
                <w:rFonts w:ascii="Arial" w:cs="Arial" w:eastAsia="Arial" w:hAnsi="Arial"/>
                <w:sz w:val="17"/>
                <w:szCs w:val="17"/>
                <w:color w:val="auto"/>
              </w:rPr>
              <w:t>Verizon Communications Inc.</w:t>
            </w:r>
          </w:p>
        </w:tc>
      </w:tr>
      <w:tr>
        <w:trPr>
          <w:trHeight w:val="257"/>
        </w:trPr>
        <w:tc>
          <w:tcPr>
            <w:tcW w:w="400" w:type="dxa"/>
            <w:vAlign w:val="bottom"/>
            <w:shd w:val="clear" w:color="auto" w:fill="E0F0FB"/>
          </w:tcPr>
          <w:p>
            <w:pPr>
              <w:ind w:left="220"/>
              <w:spacing w:after="0"/>
              <w:rPr>
                <w:sz w:val="20"/>
                <w:szCs w:val="20"/>
                <w:color w:val="auto"/>
              </w:rPr>
            </w:pPr>
            <w:r>
              <w:rPr>
                <w:rFonts w:ascii="Arial" w:cs="Arial" w:eastAsia="Arial" w:hAnsi="Arial"/>
                <w:sz w:val="17"/>
                <w:szCs w:val="17"/>
                <w:color w:val="00A0DD"/>
              </w:rPr>
              <w:t>●</w:t>
            </w:r>
          </w:p>
        </w:tc>
        <w:tc>
          <w:tcPr>
            <w:tcW w:w="3900" w:type="dxa"/>
            <w:vAlign w:val="bottom"/>
            <w:shd w:val="clear" w:color="auto" w:fill="E0F0FB"/>
          </w:tcPr>
          <w:p>
            <w:pPr>
              <w:ind w:left="80"/>
              <w:spacing w:after="0"/>
              <w:rPr>
                <w:sz w:val="20"/>
                <w:szCs w:val="20"/>
                <w:color w:val="auto"/>
              </w:rPr>
            </w:pPr>
            <w:r>
              <w:rPr>
                <w:rFonts w:ascii="Arial" w:cs="Arial" w:eastAsia="Arial" w:hAnsi="Arial"/>
                <w:sz w:val="17"/>
                <w:szCs w:val="17"/>
                <w:color w:val="auto"/>
              </w:rPr>
              <w:t>Meta Platforms, Inc.</w:t>
            </w:r>
          </w:p>
        </w:tc>
        <w:tc>
          <w:tcPr>
            <w:tcW w:w="6940" w:type="dxa"/>
            <w:vAlign w:val="bottom"/>
            <w:gridSpan w:val="2"/>
            <w:shd w:val="clear" w:color="auto" w:fill="E0F0FB"/>
          </w:tcPr>
          <w:p>
            <w:pPr>
              <w:ind w:left="154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Warner Bros. Discovery, Inc.</w:t>
            </w:r>
          </w:p>
        </w:tc>
      </w:tr>
      <w:tr>
        <w:trPr>
          <w:trHeight w:val="257"/>
        </w:trPr>
        <w:tc>
          <w:tcPr>
            <w:tcW w:w="400" w:type="dxa"/>
            <w:vAlign w:val="bottom"/>
            <w:shd w:val="clear" w:color="auto" w:fill="E0F0FB"/>
          </w:tcPr>
          <w:p>
            <w:pPr>
              <w:ind w:left="220"/>
              <w:spacing w:after="0"/>
              <w:rPr>
                <w:sz w:val="20"/>
                <w:szCs w:val="20"/>
                <w:color w:val="auto"/>
              </w:rPr>
            </w:pPr>
            <w:r>
              <w:rPr>
                <w:rFonts w:ascii="Arial" w:cs="Arial" w:eastAsia="Arial" w:hAnsi="Arial"/>
                <w:sz w:val="17"/>
                <w:szCs w:val="17"/>
                <w:color w:val="00A0DD"/>
              </w:rPr>
              <w:t>●</w:t>
            </w:r>
          </w:p>
        </w:tc>
        <w:tc>
          <w:tcPr>
            <w:tcW w:w="3900" w:type="dxa"/>
            <w:vAlign w:val="bottom"/>
            <w:shd w:val="clear" w:color="auto" w:fill="E0F0FB"/>
          </w:tcPr>
          <w:p>
            <w:pPr>
              <w:ind w:left="80"/>
              <w:spacing w:after="0"/>
              <w:rPr>
                <w:sz w:val="20"/>
                <w:szCs w:val="20"/>
                <w:color w:val="auto"/>
              </w:rPr>
            </w:pPr>
            <w:r>
              <w:rPr>
                <w:rFonts w:ascii="Arial" w:cs="Arial" w:eastAsia="Arial" w:hAnsi="Arial"/>
                <w:sz w:val="17"/>
                <w:szCs w:val="17"/>
                <w:color w:val="auto"/>
              </w:rPr>
              <w:t>Netflix, Inc.</w:t>
            </w:r>
          </w:p>
        </w:tc>
        <w:tc>
          <w:tcPr>
            <w:tcW w:w="1720" w:type="dxa"/>
            <w:vAlign w:val="bottom"/>
            <w:shd w:val="clear" w:color="auto" w:fill="E0F0FB"/>
          </w:tcPr>
          <w:p>
            <w:pPr>
              <w:spacing w:after="0"/>
              <w:rPr>
                <w:sz w:val="22"/>
                <w:szCs w:val="22"/>
                <w:color w:val="auto"/>
              </w:rPr>
            </w:pPr>
          </w:p>
        </w:tc>
        <w:tc>
          <w:tcPr>
            <w:tcW w:w="5220" w:type="dxa"/>
            <w:vAlign w:val="bottom"/>
            <w:shd w:val="clear" w:color="auto" w:fill="E0F0FB"/>
          </w:tcPr>
          <w:p>
            <w:pPr>
              <w:spacing w:after="0"/>
              <w:rPr>
                <w:sz w:val="22"/>
                <w:szCs w:val="22"/>
                <w:color w:val="auto"/>
              </w:rPr>
            </w:pPr>
          </w:p>
        </w:tc>
      </w:tr>
      <w:tr>
        <w:trPr>
          <w:trHeight w:val="202"/>
        </w:trPr>
        <w:tc>
          <w:tcPr>
            <w:tcW w:w="400" w:type="dxa"/>
            <w:vAlign w:val="bottom"/>
            <w:shd w:val="clear" w:color="auto" w:fill="E0F0FB"/>
          </w:tcPr>
          <w:p>
            <w:pPr>
              <w:spacing w:after="0"/>
              <w:rPr>
                <w:sz w:val="17"/>
                <w:szCs w:val="17"/>
                <w:color w:val="auto"/>
              </w:rPr>
            </w:pPr>
          </w:p>
        </w:tc>
        <w:tc>
          <w:tcPr>
            <w:tcW w:w="3900" w:type="dxa"/>
            <w:vAlign w:val="bottom"/>
            <w:shd w:val="clear" w:color="auto" w:fill="E0F0FB"/>
          </w:tcPr>
          <w:p>
            <w:pPr>
              <w:spacing w:after="0"/>
              <w:rPr>
                <w:sz w:val="17"/>
                <w:szCs w:val="17"/>
                <w:color w:val="auto"/>
              </w:rPr>
            </w:pPr>
          </w:p>
        </w:tc>
        <w:tc>
          <w:tcPr>
            <w:tcW w:w="1720" w:type="dxa"/>
            <w:vAlign w:val="bottom"/>
            <w:shd w:val="clear" w:color="auto" w:fill="E0F0FB"/>
          </w:tcPr>
          <w:p>
            <w:pPr>
              <w:spacing w:after="0"/>
              <w:rPr>
                <w:sz w:val="17"/>
                <w:szCs w:val="17"/>
                <w:color w:val="auto"/>
              </w:rPr>
            </w:pPr>
          </w:p>
        </w:tc>
        <w:tc>
          <w:tcPr>
            <w:tcW w:w="5220" w:type="dxa"/>
            <w:vAlign w:val="bottom"/>
            <w:shd w:val="clear" w:color="auto" w:fill="E0F0FB"/>
          </w:tcPr>
          <w:p>
            <w:pPr>
              <w:spacing w:after="0"/>
              <w:rPr>
                <w:sz w:val="17"/>
                <w:szCs w:val="17"/>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Our peer group analyses indicate that overall, our “pay at risk” practices are generally aligned with peer group practices.</w:t>
      </w:r>
    </w:p>
    <w:p>
      <w:pPr>
        <w:spacing w:after="0" w:line="210" w:lineRule="exact"/>
        <w:rPr>
          <w:sz w:val="20"/>
          <w:szCs w:val="20"/>
          <w:color w:val="auto"/>
        </w:rPr>
      </w:pPr>
    </w:p>
    <w:p>
      <w:pPr>
        <w:ind w:left="260" w:right="100" w:hanging="252"/>
        <w:spacing w:after="0" w:line="244" w:lineRule="auto"/>
        <w:tabs>
          <w:tab w:leader="none" w:pos="260" w:val="left"/>
        </w:tabs>
        <w:numPr>
          <w:ilvl w:val="0"/>
          <w:numId w:val="74"/>
        </w:numPr>
        <w:rPr>
          <w:rFonts w:ascii="Arial" w:cs="Arial" w:eastAsia="Arial" w:hAnsi="Arial"/>
          <w:sz w:val="17"/>
          <w:szCs w:val="17"/>
          <w:color w:val="00A0DD"/>
        </w:rPr>
      </w:pPr>
      <w:r>
        <w:rPr>
          <w:rFonts w:ascii="Arial" w:cs="Arial" w:eastAsia="Arial" w:hAnsi="Arial"/>
          <w:sz w:val="17"/>
          <w:szCs w:val="17"/>
          <w:color w:val="auto"/>
        </w:rPr>
        <w:t>Comparisons for (i) Mr. Roberts were made to peer chief executive officers for the peer group, (ii) Mr. Cavanagh were made by ordinal rank (i.e., the position in the Summary Compensation Table) and to chief executive officers for the media companies in the peer group, (iii) Mr. Armstrong were made to peer chief financial officers, (iv) Mr. Reid were made to peer chief legal officers and heads of government relations, and (v) Ms. Khoury were made by ordinal rank and to top communications officers based on survey data.</w:t>
      </w:r>
    </w:p>
    <w:p>
      <w:pPr>
        <w:spacing w:after="0" w:line="28" w:lineRule="exact"/>
        <w:rPr>
          <w:rFonts w:ascii="Arial" w:cs="Arial" w:eastAsia="Arial" w:hAnsi="Arial"/>
          <w:sz w:val="17"/>
          <w:szCs w:val="17"/>
          <w:color w:val="00A0DD"/>
        </w:rPr>
      </w:pPr>
    </w:p>
    <w:p>
      <w:pPr>
        <w:ind w:left="260" w:right="100" w:hanging="252"/>
        <w:spacing w:after="0" w:line="267" w:lineRule="auto"/>
        <w:tabs>
          <w:tab w:leader="none" w:pos="260" w:val="left"/>
        </w:tabs>
        <w:numPr>
          <w:ilvl w:val="0"/>
          <w:numId w:val="74"/>
        </w:numPr>
        <w:rPr>
          <w:rFonts w:ascii="Arial" w:cs="Arial" w:eastAsia="Arial" w:hAnsi="Arial"/>
          <w:sz w:val="17"/>
          <w:szCs w:val="17"/>
          <w:color w:val="00A0DD"/>
        </w:rPr>
      </w:pPr>
      <w:r>
        <w:rPr>
          <w:rFonts w:ascii="Arial" w:cs="Arial" w:eastAsia="Arial" w:hAnsi="Arial"/>
          <w:sz w:val="17"/>
          <w:szCs w:val="17"/>
          <w:color w:val="auto"/>
        </w:rPr>
        <w:t>As a supplemental reference point to further inform the Compensation Committee, comparisons were made to general industry peer groups with revenues similar in size to our business as a whole and our business units.</w:t>
      </w:r>
    </w:p>
    <w:p>
      <w:pPr>
        <w:spacing w:after="0" w:line="10" w:lineRule="exact"/>
        <w:rPr>
          <w:rFonts w:ascii="Arial" w:cs="Arial" w:eastAsia="Arial" w:hAnsi="Arial"/>
          <w:sz w:val="17"/>
          <w:szCs w:val="17"/>
          <w:color w:val="00A0DD"/>
        </w:rPr>
      </w:pPr>
    </w:p>
    <w:p>
      <w:pPr>
        <w:ind w:left="260" w:right="280" w:hanging="252"/>
        <w:spacing w:after="0" w:line="249" w:lineRule="auto"/>
        <w:tabs>
          <w:tab w:leader="none" w:pos="260" w:val="left"/>
        </w:tabs>
        <w:numPr>
          <w:ilvl w:val="0"/>
          <w:numId w:val="74"/>
        </w:numPr>
        <w:rPr>
          <w:rFonts w:ascii="Arial" w:cs="Arial" w:eastAsia="Arial" w:hAnsi="Arial"/>
          <w:sz w:val="17"/>
          <w:szCs w:val="17"/>
          <w:color w:val="00A0DD"/>
        </w:rPr>
      </w:pPr>
      <w:r>
        <w:rPr>
          <w:rFonts w:ascii="Arial" w:cs="Arial" w:eastAsia="Arial" w:hAnsi="Arial"/>
          <w:sz w:val="17"/>
          <w:szCs w:val="17"/>
          <w:color w:val="auto"/>
        </w:rPr>
        <w:t>The Compensation Committee does not determine an NEO’s target compensation solely based on a specific reference point within our peer group; instead, it reviews our peer group analyses, as well as the other analyses discussed in “Compensation Committee’s Role, Process and Assessments,” both to validate our compensation program design and to inform its judgment in determining target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auto"/>
        </w:rPr>
        <w:t>Other Compensation Policies and Considerations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A0DD"/>
        </w:rPr>
        <w:t>Executive Stock Ownership Policy</w:t>
      </w:r>
    </w:p>
    <w:p>
      <w:pPr>
        <w:spacing w:after="0" w:line="210" w:lineRule="exact"/>
        <w:rPr>
          <w:sz w:val="20"/>
          <w:szCs w:val="20"/>
          <w:color w:val="auto"/>
        </w:rPr>
      </w:pPr>
    </w:p>
    <w:p>
      <w:pPr>
        <w:ind w:right="680"/>
        <w:spacing w:after="0" w:line="267" w:lineRule="auto"/>
        <w:rPr>
          <w:sz w:val="20"/>
          <w:szCs w:val="20"/>
          <w:color w:val="auto"/>
        </w:rPr>
      </w:pPr>
      <w:r>
        <w:rPr>
          <w:rFonts w:ascii="Arial" w:cs="Arial" w:eastAsia="Arial" w:hAnsi="Arial"/>
          <w:sz w:val="17"/>
          <w:szCs w:val="17"/>
          <w:color w:val="auto"/>
        </w:rPr>
        <w:t>We have a stock ownership policy for members of our senior management, including our NEOs, that is designed to increase our executives’ ownership stake in our company and align their interests with those of our shareholders.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00" w:type="dxa"/>
            <w:vAlign w:val="bottom"/>
          </w:tcPr>
          <w:p>
            <w:pPr>
              <w:spacing w:after="0"/>
              <w:rPr>
                <w:sz w:val="15"/>
                <w:szCs w:val="15"/>
                <w:color w:val="auto"/>
              </w:rPr>
            </w:pPr>
          </w:p>
        </w:tc>
        <w:tc>
          <w:tcPr>
            <w:tcW w:w="4700" w:type="dxa"/>
            <w:vAlign w:val="bottom"/>
          </w:tcPr>
          <w:p>
            <w:pPr>
              <w:jc w:val="right"/>
              <w:ind w:right="44"/>
              <w:spacing w:after="0"/>
              <w:rPr>
                <w:sz w:val="20"/>
                <w:szCs w:val="20"/>
                <w:color w:val="auto"/>
              </w:rPr>
            </w:pPr>
            <w:r>
              <w:rPr>
                <w:rFonts w:ascii="Arial" w:cs="Arial" w:eastAsia="Arial" w:hAnsi="Arial"/>
                <w:sz w:val="15"/>
                <w:szCs w:val="15"/>
                <w:b w:val="1"/>
                <w:bCs w:val="1"/>
                <w:color w:val="auto"/>
              </w:rPr>
              <w:t>MULTIPLE OF BASE</w:t>
            </w:r>
          </w:p>
        </w:tc>
        <w:tc>
          <w:tcPr>
            <w:tcW w:w="18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COMPLIANCE STATUS</w:t>
            </w:r>
          </w:p>
        </w:tc>
        <w:tc>
          <w:tcPr>
            <w:tcW w:w="0" w:type="dxa"/>
            <w:vAlign w:val="bottom"/>
          </w:tcPr>
          <w:p>
            <w:pPr>
              <w:spacing w:after="0"/>
              <w:rPr>
                <w:sz w:val="1"/>
                <w:szCs w:val="1"/>
                <w:color w:val="auto"/>
              </w:rPr>
            </w:pPr>
          </w:p>
        </w:tc>
      </w:tr>
      <w:tr>
        <w:trPr>
          <w:trHeight w:val="208"/>
        </w:trPr>
        <w:tc>
          <w:tcPr>
            <w:tcW w:w="470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SALARY REQUIRED</w:t>
            </w:r>
          </w:p>
        </w:tc>
        <w:tc>
          <w:tcPr>
            <w:tcW w:w="1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Brian L. Roberts</w:t>
            </w:r>
          </w:p>
        </w:tc>
        <w:tc>
          <w:tcPr>
            <w:tcW w:w="470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10x</w:t>
            </w:r>
          </w:p>
        </w:tc>
        <w:tc>
          <w:tcPr>
            <w:tcW w:w="184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In compliance</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Michael J. Cavanagh</w:t>
            </w:r>
          </w:p>
        </w:tc>
        <w:tc>
          <w:tcPr>
            <w:tcW w:w="470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5x</w:t>
            </w:r>
          </w:p>
        </w:tc>
        <w:tc>
          <w:tcPr>
            <w:tcW w:w="184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In compliance</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Jason S. Armstrong</w:t>
            </w:r>
          </w:p>
        </w:tc>
        <w:tc>
          <w:tcPr>
            <w:tcW w:w="470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3x</w:t>
            </w:r>
          </w:p>
        </w:tc>
        <w:tc>
          <w:tcPr>
            <w:tcW w:w="184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In compliance</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Thomas J. Reid</w:t>
            </w:r>
          </w:p>
        </w:tc>
        <w:tc>
          <w:tcPr>
            <w:tcW w:w="470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3x</w:t>
            </w:r>
          </w:p>
        </w:tc>
        <w:tc>
          <w:tcPr>
            <w:tcW w:w="184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In compliance</w:t>
            </w:r>
          </w:p>
        </w:tc>
        <w:tc>
          <w:tcPr>
            <w:tcW w:w="0" w:type="dxa"/>
            <w:vAlign w:val="bottom"/>
          </w:tcPr>
          <w:p>
            <w:pPr>
              <w:spacing w:after="0"/>
              <w:rPr>
                <w:sz w:val="1"/>
                <w:szCs w:val="1"/>
                <w:color w:val="auto"/>
              </w:rPr>
            </w:pPr>
          </w:p>
        </w:tc>
      </w:tr>
      <w:tr>
        <w:trPr>
          <w:trHeight w:val="209"/>
        </w:trPr>
        <w:tc>
          <w:tcPr>
            <w:tcW w:w="47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Jennifer Khoury</w:t>
            </w:r>
          </w:p>
        </w:tc>
        <w:tc>
          <w:tcPr>
            <w:tcW w:w="4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3x</w:t>
            </w:r>
          </w:p>
        </w:tc>
        <w:tc>
          <w:tcPr>
            <w:tcW w:w="1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In compliance</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color w:val="auto"/>
        </w:rPr>
        <w:t>“Ownership” includes (i) stock owned directly or indirectly, (ii) shares credited under our employee stock purchase plan, which must be held for one year from the date credited, and (iii) 60% of deferred vested shares, shares deemed invested in Comcast’s stock fund under our deferred compensation plans and the pre-tax net number of shares deliverable upon the exercise of vested stock options. There is a phase-in period of six years after the year in which an executive first becomes subject to the policy (or to a higher base salary multiple) to allow the executive to meet the full stock ownership requirement. If an executive is subject to a phase-in period, we consider them to be in compliance with the policy if they meet the reduced stock ownership requirements under such phase-in. In determining compliance, the Compensation Committee may consider any noncompliance that occurs solely or primarily from a decline in the market price of our stock. If an executive is not in compliance, he or she is prohibited from selling our stock (unless a hardship exemption is granted).</w:t>
      </w:r>
    </w:p>
    <w:p>
      <w:pPr>
        <w:spacing w:after="0" w:line="188" w:lineRule="exact"/>
        <w:rPr>
          <w:sz w:val="20"/>
          <w:szCs w:val="20"/>
          <w:color w:val="auto"/>
        </w:rPr>
      </w:pPr>
    </w:p>
    <w:p>
      <w:pPr>
        <w:ind w:left="400" w:hanging="392"/>
        <w:spacing w:after="0"/>
        <w:tabs>
          <w:tab w:leader="none" w:pos="400" w:val="left"/>
        </w:tabs>
        <w:numPr>
          <w:ilvl w:val="0"/>
          <w:numId w:val="7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00A0DD"/>
        </w:rPr>
        <w:t>Insider Trading Policies and Prohibitions on Hedging and Pledging</w:t>
      </w:r>
    </w:p>
    <w:p>
      <w:pPr>
        <w:spacing w:after="0" w:line="210"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We have adopted insider trading policies governing the purchase, sale and other dispositions of our securities by directors, officers and employees, as well as by Comcast itself, that we believe are reasonably designed to promote compliance with insider trading laws, rules and regulations, and listing standards applicable to us.</w:t>
      </w:r>
    </w:p>
    <w:p>
      <w:pPr>
        <w:spacing w:after="0" w:line="175"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Our policies prohibit our executive officers, certain other high-level employees and directors from buying or selling any of our securities during specified blackout periods, and, when outside of those blackout periods, they may only buy or sell our securities with prior approval in accordance with internal procedures. This helps ensure that our executive officers and directors will not trade in our securities at a time when they are aware of material, nonpublic information.</w:t>
      </w:r>
    </w:p>
    <w:p>
      <w:pPr>
        <w:spacing w:after="0" w:line="177"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Our policies also prohibit our executive officers and directors from (i) using any strategies or products (including derivative securities, such as put or call options, or short-selling techniques) to hedge against potential changes in the value of our stock and (ii) holding our stock in margin accounts or pledging our stock as collateral for a loan.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00A0DD"/>
        </w:rPr>
        <w:t>No Automatic Payments in Connection with a Change in Control</w:t>
      </w:r>
    </w:p>
    <w:p>
      <w:pPr>
        <w:spacing w:after="0" w:line="210"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generally do not have any benefits, such as accelerated vesting of equity awards, that are “triggered” automatically as a result of a “change in control” (a “single trigger”) or the occurrence of one or more specified events (a “double trigger”) that may follow a change in control, such as termination of employment without cause. Instead, we believe it is in the best interests of our company for our Board and Compensation Committee, who are subject to fiduciary obligations to act in a manner they believe to be in the best interests of our company and shareholders, to retain the discretion to determine whether it is appropriate to accelerate the vesting of stock options and/or stock units or provide other benefits in connection with a particular change in control transaction.</w:t>
      </w:r>
    </w:p>
    <w:p>
      <w:pPr>
        <w:spacing w:after="0" w:line="182"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Mr. Roberts’ employment agreement provides that if his employment is terminated following a change in control, that termination will be treated as a termination without cause for the purpose of determining his benefits in those circumstances under his employment agreement. The Compensation Committee approved this provision as a fair and reasonable protection for our Chief Executive Officer in the event of a change in control.</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00A0DD"/>
        </w:rPr>
        <w:t>Payments in Connection with a Termination of Employment</w:t>
      </w:r>
    </w:p>
    <w:p>
      <w:pPr>
        <w:spacing w:after="0" w:line="210"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Payments to our NEOs upon a termination of employment are described under the “Potential Payments upon Termination or Change in Control” table below. These compensation arrangements are contained in each NEO’s employment or other agreements and are not a factor in the Compensation Committee’s determination of current year compensation elements. These arrangements were arrived at as a result of arm’s-length negotiations in connection with entering into each such agreement.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00A0DD"/>
        </w:rPr>
        <w:t>Recoupment (or “Clawback”) Policy</w:t>
      </w:r>
    </w:p>
    <w:p>
      <w:pPr>
        <w:spacing w:after="0" w:line="210" w:lineRule="exact"/>
        <w:rPr>
          <w:sz w:val="20"/>
          <w:szCs w:val="20"/>
          <w:color w:val="auto"/>
        </w:rPr>
      </w:pPr>
    </w:p>
    <w:p>
      <w:pPr>
        <w:ind w:right="420"/>
        <w:spacing w:after="0" w:line="249" w:lineRule="auto"/>
        <w:rPr>
          <w:sz w:val="20"/>
          <w:szCs w:val="20"/>
          <w:color w:val="auto"/>
        </w:rPr>
      </w:pPr>
      <w:r>
        <w:rPr>
          <w:rFonts w:ascii="Arial" w:cs="Arial" w:eastAsia="Arial" w:hAnsi="Arial"/>
          <w:sz w:val="17"/>
          <w:szCs w:val="17"/>
          <w:color w:val="auto"/>
        </w:rPr>
        <w:t>We have an incentive compensation recoupment (or “clawback”) policy that was adopted in accordance with applicable SEC and Nasdaq rules. Under this policy, the Compensation Committee will seek to recover incentive compensation paid to our executive officers in the event of an accounting restatement as defined, and to the extent required, under such rules.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00A0DD"/>
        </w:rPr>
        <w:t>Award Timing</w:t>
      </w:r>
    </w:p>
    <w:p>
      <w:pPr>
        <w:spacing w:after="0" w:line="210"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Our current practice is to grant annual equity incentive awards each year on the first business day in March. The value of these annual awards is approved by the Compensation Committee at a meeting prior to the grant date. Our off-cycle awards (for new hires, mid-year promotions, etc.) are granted in accordance with pre-established grant date schedules. During 2024, we did not grant stock options to our NEOs during any period beginning four business days before and ending one business day after the filing or furnishing of any periodic report on Form 10-Q or Form 10-K or current report on Form 8-K that disclosed material, nonpublic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00A0DD"/>
        </w:rPr>
        <w:t>Tax and Accounting Considerations</w:t>
      </w:r>
    </w:p>
    <w:p>
      <w:pPr>
        <w:spacing w:after="0" w:line="210"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Compensation Committee considers accounting and tax implications of our compensation and benefit programs, including with respect to the tax deductibility of our executive compensation. Section 162(m) of the Internal Revenue Code generally limits the tax deductibility of compensation paid by public companies to certain executive officers to $1 million. In the exercise of its business judgment and in accordance with its compensation philosophy, the Compensation Committee has previously awarded, and continues to have the flexibility to award, compensation that is not tax deductible if it determines that such award is in our shareholders’ best interests.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39</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addition, the Internal Revenue Code limits the amount that companies can deduct for the personal use of company-provided aircraft to the amount recognized as income by the executives who used the aircraft. In 2024, the total amount of our disallowed tax deduction resulting from the personal use of Company-provided aircraft by our NEOs and any guests was approximately $5.9 million.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00A0DD"/>
        </w:rPr>
        <w:t>Other Considerations</w:t>
      </w:r>
    </w:p>
    <w:p>
      <w:pPr>
        <w:spacing w:after="0" w:line="210"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Compensation Committee is aware that Mr. Roberts is our shareholder with the greatest beneficial voting power. The Compensation Committee maintains an objective stance toward Mr. Roberts’ compensation. The Compensation Committee uses the same methods, tools and processes to determine Mr. Roberts’ compensation as it does for our other NEOs.</w:t>
      </w:r>
    </w:p>
    <w:p>
      <w:pPr>
        <w:spacing w:after="0" w:line="163"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Compensation and Human Capital Committee Report</w:t>
      </w:r>
    </w:p>
    <w:p>
      <w:pPr>
        <w:spacing w:after="0" w:line="232"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We, the members of the Compensation Committee of the Board of Directors, have reviewed and discussed with management the Compensation Discussion and Analysis. Based on this review and discussion, we have recommended to the Board of Directors that the Compensation Discussion and Analysis be included in this proxy statement.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00A0E0"/>
        </w:rPr>
        <w:t>Members of the Compensation and Human Capital Committee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Edward D. Breen (Chair)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Thomas J. Baltimore, Jr.</w:t>
      </w:r>
    </w:p>
    <w:p>
      <w:pPr>
        <w:spacing w:after="0"/>
        <w:rPr>
          <w:sz w:val="20"/>
          <w:szCs w:val="20"/>
          <w:color w:val="auto"/>
        </w:rPr>
      </w:pPr>
      <w:r>
        <w:rPr>
          <w:rFonts w:ascii="Arial" w:cs="Arial" w:eastAsia="Arial" w:hAnsi="Arial"/>
          <w:sz w:val="17"/>
          <w:szCs w:val="17"/>
          <w:color w:val="auto"/>
        </w:rPr>
        <w:t>David C. Novak</w:t>
      </w:r>
    </w:p>
    <w:p>
      <w:pPr>
        <w:spacing w:after="0" w:line="182"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Executive Compensation Tables</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color w:val="auto"/>
        </w:rPr>
        <w:t>Summary Compensation Table</w:t>
      </w:r>
    </w:p>
    <w:p>
      <w:pPr>
        <w:spacing w:after="0" w:line="22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Our NEOs for 2024 are: Mr. Brian L. Roberts, Chairman of the Board and Chief Executive Officer, Mr. Jason S. Armstrong, our Chief Financial Officer, and our next three most highly compensated executive officers as of December 31, 2024 (Mr. Michael J. Cavanagh, Mr. Thomas J. Reid, and Ms. Jennifer Khoury).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STOCK</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OPTION</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NON-EQUITY</w:t>
            </w:r>
          </w:p>
        </w:tc>
        <w:tc>
          <w:tcPr>
            <w:tcW w:w="12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ALL OTHER</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6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INCENTIVE PLAN</w:t>
            </w:r>
          </w:p>
        </w:tc>
        <w:tc>
          <w:tcPr>
            <w:tcW w:w="12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040" w:type="dxa"/>
            <w:vAlign w:val="bottom"/>
          </w:tcPr>
          <w:p>
            <w:pPr>
              <w:ind w:left="80"/>
              <w:spacing w:after="0"/>
              <w:rPr>
                <w:sz w:val="20"/>
                <w:szCs w:val="20"/>
                <w:color w:val="auto"/>
              </w:rPr>
            </w:pPr>
            <w:r>
              <w:rPr>
                <w:rFonts w:ascii="Arial" w:cs="Arial" w:eastAsia="Arial" w:hAnsi="Arial"/>
                <w:sz w:val="13"/>
                <w:szCs w:val="13"/>
                <w:b w:val="1"/>
                <w:bCs w:val="1"/>
                <w:color w:val="auto"/>
              </w:rPr>
              <w:t>NAME AND</w:t>
            </w:r>
          </w:p>
        </w:tc>
        <w:tc>
          <w:tcPr>
            <w:tcW w:w="4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4"/>
              </w:rPr>
              <w:t>YEAR</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SALARY</w:t>
            </w:r>
          </w:p>
        </w:tc>
        <w:tc>
          <w:tcPr>
            <w:tcW w:w="840" w:type="dxa"/>
            <w:vAlign w:val="bottom"/>
          </w:tcPr>
          <w:p>
            <w:pPr>
              <w:jc w:val="right"/>
              <w:spacing w:after="0" w:line="168"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9"/>
                <w:szCs w:val="19"/>
                <w:b w:val="1"/>
                <w:bCs w:val="1"/>
                <w:color w:val="auto"/>
                <w:vertAlign w:val="superscript"/>
              </w:rPr>
              <w:t>(1)</w:t>
            </w:r>
          </w:p>
        </w:tc>
        <w:tc>
          <w:tcPr>
            <w:tcW w:w="840" w:type="dxa"/>
            <w:vAlign w:val="bottom"/>
          </w:tcPr>
          <w:p>
            <w:pPr>
              <w:jc w:val="right"/>
              <w:spacing w:after="0" w:line="168"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9"/>
                <w:szCs w:val="19"/>
                <w:b w:val="1"/>
                <w:bCs w:val="1"/>
                <w:color w:val="auto"/>
                <w:vertAlign w:val="superscript"/>
              </w:rPr>
              <w:t>(2)</w:t>
            </w:r>
          </w:p>
        </w:tc>
        <w:tc>
          <w:tcPr>
            <w:tcW w:w="1260" w:type="dxa"/>
            <w:vAlign w:val="bottom"/>
          </w:tcPr>
          <w:p>
            <w:pPr>
              <w:jc w:val="right"/>
              <w:spacing w:after="0" w:line="168"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9"/>
                <w:szCs w:val="19"/>
                <w:b w:val="1"/>
                <w:bCs w:val="1"/>
                <w:color w:val="auto"/>
                <w:vertAlign w:val="superscript"/>
              </w:rPr>
              <w:t>(3)</w:t>
            </w:r>
          </w:p>
        </w:tc>
        <w:tc>
          <w:tcPr>
            <w:tcW w:w="1260" w:type="dxa"/>
            <w:vAlign w:val="bottom"/>
          </w:tcPr>
          <w:p>
            <w:pPr>
              <w:jc w:val="right"/>
              <w:spacing w:after="0" w:line="168"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9"/>
                <w:szCs w:val="19"/>
                <w:b w:val="1"/>
                <w:bCs w:val="1"/>
                <w:color w:val="auto"/>
                <w:vertAlign w:val="superscript"/>
              </w:rPr>
              <w:t>(4)</w:t>
            </w:r>
          </w:p>
        </w:tc>
        <w:tc>
          <w:tcPr>
            <w:tcW w:w="840" w:type="dxa"/>
            <w:vAlign w:val="bottom"/>
          </w:tcPr>
          <w:p>
            <w:pPr>
              <w:jc w:val="right"/>
              <w:ind w:right="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50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PRINCIPAL POSITION</w:t>
            </w:r>
          </w:p>
        </w:tc>
        <w:tc>
          <w:tcPr>
            <w:tcW w:w="42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7"/>
        </w:trPr>
        <w:tc>
          <w:tcPr>
            <w:tcW w:w="5040" w:type="dxa"/>
            <w:vAlign w:val="bottom"/>
          </w:tcPr>
          <w:p>
            <w:pPr>
              <w:ind w:left="80"/>
              <w:spacing w:after="0"/>
              <w:rPr>
                <w:sz w:val="20"/>
                <w:szCs w:val="20"/>
                <w:color w:val="auto"/>
              </w:rPr>
            </w:pPr>
            <w:r>
              <w:rPr>
                <w:rFonts w:ascii="Arial" w:cs="Arial" w:eastAsia="Arial" w:hAnsi="Arial"/>
                <w:sz w:val="14"/>
                <w:szCs w:val="14"/>
                <w:b w:val="1"/>
                <w:bCs w:val="1"/>
                <w:color w:val="auto"/>
              </w:rPr>
              <w:t>Brian L. Roberts</w:t>
            </w:r>
          </w:p>
        </w:tc>
        <w:tc>
          <w:tcPr>
            <w:tcW w:w="420" w:type="dxa"/>
            <w:vAlign w:val="bottom"/>
          </w:tcPr>
          <w:p>
            <w:pPr>
              <w:jc w:val="right"/>
              <w:spacing w:after="0"/>
              <w:rPr>
                <w:sz w:val="20"/>
                <w:szCs w:val="20"/>
                <w:color w:val="auto"/>
              </w:rPr>
            </w:pPr>
            <w:r>
              <w:rPr>
                <w:rFonts w:ascii="Arial" w:cs="Arial" w:eastAsia="Arial" w:hAnsi="Arial"/>
                <w:sz w:val="14"/>
                <w:szCs w:val="14"/>
                <w:color w:val="auto"/>
              </w:rPr>
              <w:t>2024</w:t>
            </w:r>
          </w:p>
        </w:tc>
        <w:tc>
          <w:tcPr>
            <w:tcW w:w="740" w:type="dxa"/>
            <w:vAlign w:val="bottom"/>
          </w:tcPr>
          <w:p>
            <w:pPr>
              <w:jc w:val="right"/>
              <w:spacing w:after="0"/>
              <w:rPr>
                <w:sz w:val="20"/>
                <w:szCs w:val="20"/>
                <w:color w:val="auto"/>
              </w:rPr>
            </w:pPr>
            <w:r>
              <w:rPr>
                <w:rFonts w:ascii="Arial" w:cs="Arial" w:eastAsia="Arial" w:hAnsi="Arial"/>
                <w:sz w:val="14"/>
                <w:szCs w:val="14"/>
                <w:color w:val="auto"/>
              </w:rPr>
              <w:t>2,500,001</w:t>
            </w:r>
          </w:p>
        </w:tc>
        <w:tc>
          <w:tcPr>
            <w:tcW w:w="840" w:type="dxa"/>
            <w:vAlign w:val="bottom"/>
          </w:tcPr>
          <w:p>
            <w:pPr>
              <w:jc w:val="right"/>
              <w:spacing w:after="0"/>
              <w:rPr>
                <w:sz w:val="20"/>
                <w:szCs w:val="20"/>
                <w:color w:val="auto"/>
              </w:rPr>
            </w:pPr>
            <w:r>
              <w:rPr>
                <w:rFonts w:ascii="Arial" w:cs="Arial" w:eastAsia="Arial" w:hAnsi="Arial"/>
                <w:sz w:val="14"/>
                <w:szCs w:val="14"/>
                <w:color w:val="auto"/>
              </w:rPr>
              <w:t>17,911,098</w:t>
            </w:r>
          </w:p>
        </w:tc>
        <w:tc>
          <w:tcPr>
            <w:tcW w:w="840" w:type="dxa"/>
            <w:vAlign w:val="bottom"/>
          </w:tcPr>
          <w:p>
            <w:pPr>
              <w:jc w:val="right"/>
              <w:spacing w:after="0"/>
              <w:rPr>
                <w:sz w:val="20"/>
                <w:szCs w:val="20"/>
                <w:color w:val="auto"/>
              </w:rPr>
            </w:pPr>
            <w:r>
              <w:rPr>
                <w:rFonts w:ascii="Arial" w:cs="Arial" w:eastAsia="Arial" w:hAnsi="Arial"/>
                <w:sz w:val="14"/>
                <w:szCs w:val="14"/>
                <w:color w:val="auto"/>
              </w:rPr>
              <w:t>5,750,038</w:t>
            </w:r>
          </w:p>
        </w:tc>
        <w:tc>
          <w:tcPr>
            <w:tcW w:w="1260" w:type="dxa"/>
            <w:vAlign w:val="bottom"/>
          </w:tcPr>
          <w:p>
            <w:pPr>
              <w:jc w:val="right"/>
              <w:spacing w:after="0"/>
              <w:rPr>
                <w:sz w:val="20"/>
                <w:szCs w:val="20"/>
                <w:color w:val="auto"/>
              </w:rPr>
            </w:pPr>
            <w:r>
              <w:rPr>
                <w:rFonts w:ascii="Arial" w:cs="Arial" w:eastAsia="Arial" w:hAnsi="Arial"/>
                <w:sz w:val="14"/>
                <w:szCs w:val="14"/>
                <w:color w:val="auto"/>
              </w:rPr>
              <w:t>7,500,002</w:t>
            </w:r>
          </w:p>
        </w:tc>
        <w:tc>
          <w:tcPr>
            <w:tcW w:w="1260" w:type="dxa"/>
            <w:vAlign w:val="bottom"/>
          </w:tcPr>
          <w:p>
            <w:pPr>
              <w:jc w:val="right"/>
              <w:spacing w:after="0"/>
              <w:rPr>
                <w:sz w:val="20"/>
                <w:szCs w:val="20"/>
                <w:color w:val="auto"/>
              </w:rPr>
            </w:pPr>
            <w:r>
              <w:rPr>
                <w:rFonts w:ascii="Arial" w:cs="Arial" w:eastAsia="Arial" w:hAnsi="Arial"/>
                <w:sz w:val="14"/>
                <w:szCs w:val="14"/>
                <w:color w:val="auto"/>
              </w:rPr>
              <w:t>200,483</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33,861,622</w:t>
            </w:r>
          </w:p>
        </w:tc>
        <w:tc>
          <w:tcPr>
            <w:tcW w:w="0" w:type="dxa"/>
            <w:vAlign w:val="bottom"/>
          </w:tcPr>
          <w:p>
            <w:pPr>
              <w:spacing w:after="0"/>
              <w:rPr>
                <w:sz w:val="1"/>
                <w:szCs w:val="1"/>
                <w:color w:val="auto"/>
              </w:rPr>
            </w:pPr>
          </w:p>
        </w:tc>
      </w:tr>
      <w:tr>
        <w:trPr>
          <w:trHeight w:val="50"/>
        </w:trPr>
        <w:tc>
          <w:tcPr>
            <w:tcW w:w="5040" w:type="dxa"/>
            <w:vAlign w:val="bottom"/>
            <w:vMerge w:val="restart"/>
          </w:tcPr>
          <w:p>
            <w:pPr>
              <w:ind w:left="80"/>
              <w:spacing w:after="0"/>
              <w:rPr>
                <w:sz w:val="20"/>
                <w:szCs w:val="20"/>
                <w:color w:val="auto"/>
              </w:rPr>
            </w:pPr>
            <w:r>
              <w:rPr>
                <w:rFonts w:ascii="Arial" w:cs="Arial" w:eastAsia="Arial" w:hAnsi="Arial"/>
                <w:sz w:val="14"/>
                <w:szCs w:val="14"/>
                <w:color w:val="auto"/>
              </w:rPr>
              <w:t>Chairman of the Board &amp; Chief Executive Officer</w:t>
            </w:r>
          </w:p>
        </w:tc>
        <w:tc>
          <w:tcPr>
            <w:tcW w:w="420" w:type="dxa"/>
            <w:vAlign w:val="bottom"/>
            <w:tcBorders>
              <w:bottom w:val="single" w:sz="8" w:color="DCDDDE"/>
            </w:tcBorders>
          </w:tcPr>
          <w:p>
            <w:pPr>
              <w:spacing w:after="0"/>
              <w:rPr>
                <w:sz w:val="4"/>
                <w:szCs w:val="4"/>
                <w:color w:val="auto"/>
              </w:rPr>
            </w:pPr>
          </w:p>
        </w:tc>
        <w:tc>
          <w:tcPr>
            <w:tcW w:w="740" w:type="dxa"/>
            <w:vAlign w:val="bottom"/>
            <w:tcBorders>
              <w:bottom w:val="single" w:sz="8" w:color="DCDDDE"/>
            </w:tcBorders>
          </w:tcPr>
          <w:p>
            <w:pPr>
              <w:spacing w:after="0"/>
              <w:rPr>
                <w:sz w:val="4"/>
                <w:szCs w:val="4"/>
                <w:color w:val="auto"/>
              </w:rPr>
            </w:pPr>
          </w:p>
        </w:tc>
        <w:tc>
          <w:tcPr>
            <w:tcW w:w="840" w:type="dxa"/>
            <w:vAlign w:val="bottom"/>
            <w:tcBorders>
              <w:bottom w:val="single" w:sz="8" w:color="DCDDDE"/>
            </w:tcBorders>
          </w:tcPr>
          <w:p>
            <w:pPr>
              <w:spacing w:after="0"/>
              <w:rPr>
                <w:sz w:val="4"/>
                <w:szCs w:val="4"/>
                <w:color w:val="auto"/>
              </w:rPr>
            </w:pPr>
          </w:p>
        </w:tc>
        <w:tc>
          <w:tcPr>
            <w:tcW w:w="840" w:type="dxa"/>
            <w:vAlign w:val="bottom"/>
            <w:tcBorders>
              <w:bottom w:val="single" w:sz="8" w:color="DCDDDE"/>
            </w:tcBorders>
          </w:tcPr>
          <w:p>
            <w:pPr>
              <w:spacing w:after="0"/>
              <w:rPr>
                <w:sz w:val="4"/>
                <w:szCs w:val="4"/>
                <w:color w:val="auto"/>
              </w:rPr>
            </w:pPr>
          </w:p>
        </w:tc>
        <w:tc>
          <w:tcPr>
            <w:tcW w:w="1260" w:type="dxa"/>
            <w:vAlign w:val="bottom"/>
            <w:tcBorders>
              <w:bottom w:val="single" w:sz="8" w:color="DCDDDE"/>
            </w:tcBorders>
          </w:tcPr>
          <w:p>
            <w:pPr>
              <w:spacing w:after="0"/>
              <w:rPr>
                <w:sz w:val="4"/>
                <w:szCs w:val="4"/>
                <w:color w:val="auto"/>
              </w:rPr>
            </w:pPr>
          </w:p>
        </w:tc>
        <w:tc>
          <w:tcPr>
            <w:tcW w:w="1260" w:type="dxa"/>
            <w:vAlign w:val="bottom"/>
            <w:tcBorders>
              <w:bottom w:val="single" w:sz="8" w:color="DCDDDE"/>
            </w:tcBorders>
          </w:tcPr>
          <w:p>
            <w:pPr>
              <w:spacing w:after="0"/>
              <w:rPr>
                <w:sz w:val="4"/>
                <w:szCs w:val="4"/>
                <w:color w:val="auto"/>
              </w:rPr>
            </w:pPr>
          </w:p>
        </w:tc>
        <w:tc>
          <w:tcPr>
            <w:tcW w:w="840" w:type="dxa"/>
            <w:vAlign w:val="bottom"/>
            <w:tcBorders>
              <w:bottom w:val="single" w:sz="8" w:color="DCDDDE"/>
            </w:tcBorders>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5040" w:type="dxa"/>
            <w:vAlign w:val="bottom"/>
            <w:vMerge w:val="continue"/>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2023</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2,500,000</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15,024,591</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9,200,027</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8,550,000</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199,049</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35,473,666</w:t>
            </w:r>
          </w:p>
        </w:tc>
        <w:tc>
          <w:tcPr>
            <w:tcW w:w="0" w:type="dxa"/>
            <w:vAlign w:val="bottom"/>
          </w:tcPr>
          <w:p>
            <w:pPr>
              <w:spacing w:after="0"/>
              <w:rPr>
                <w:sz w:val="1"/>
                <w:szCs w:val="1"/>
                <w:color w:val="auto"/>
              </w:rPr>
            </w:pPr>
          </w:p>
        </w:tc>
      </w:tr>
      <w:tr>
        <w:trPr>
          <w:trHeight w:val="81"/>
        </w:trPr>
        <w:tc>
          <w:tcPr>
            <w:tcW w:w="50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5040" w:type="dxa"/>
            <w:vAlign w:val="bottom"/>
          </w:tcPr>
          <w:p>
            <w:pPr>
              <w:spacing w:after="0" w:line="20" w:lineRule="exact"/>
              <w:rPr>
                <w:sz w:val="1"/>
                <w:szCs w:val="1"/>
                <w:color w:val="auto"/>
              </w:rPr>
            </w:pPr>
          </w:p>
        </w:tc>
        <w:tc>
          <w:tcPr>
            <w:tcW w:w="420" w:type="dxa"/>
            <w:vAlign w:val="bottom"/>
            <w:tcBorders>
              <w:bottom w:val="single" w:sz="8" w:color="DCDDDE"/>
            </w:tcBorders>
          </w:tcPr>
          <w:p>
            <w:pPr>
              <w:spacing w:after="0" w:line="20" w:lineRule="exact"/>
              <w:rPr>
                <w:sz w:val="1"/>
                <w:szCs w:val="1"/>
                <w:color w:val="auto"/>
              </w:rPr>
            </w:pPr>
          </w:p>
        </w:tc>
        <w:tc>
          <w:tcPr>
            <w:tcW w:w="740" w:type="dxa"/>
            <w:vAlign w:val="bottom"/>
            <w:tcBorders>
              <w:bottom w:val="single" w:sz="8" w:color="DCDDDE"/>
            </w:tcBorders>
          </w:tcPr>
          <w:p>
            <w:pPr>
              <w:spacing w:after="0" w:line="20" w:lineRule="exact"/>
              <w:rPr>
                <w:sz w:val="1"/>
                <w:szCs w:val="1"/>
                <w:color w:val="auto"/>
              </w:rPr>
            </w:pPr>
          </w:p>
        </w:tc>
        <w:tc>
          <w:tcPr>
            <w:tcW w:w="840" w:type="dxa"/>
            <w:vAlign w:val="bottom"/>
            <w:tcBorders>
              <w:bottom w:val="single" w:sz="8" w:color="DCDDDE"/>
            </w:tcBorders>
          </w:tcPr>
          <w:p>
            <w:pPr>
              <w:spacing w:after="0" w:line="20" w:lineRule="exact"/>
              <w:rPr>
                <w:sz w:val="1"/>
                <w:szCs w:val="1"/>
                <w:color w:val="auto"/>
              </w:rPr>
            </w:pPr>
          </w:p>
        </w:tc>
        <w:tc>
          <w:tcPr>
            <w:tcW w:w="840" w:type="dxa"/>
            <w:vAlign w:val="bottom"/>
            <w:tcBorders>
              <w:bottom w:val="single" w:sz="8" w:color="DCDDDE"/>
            </w:tcBorders>
          </w:tcPr>
          <w:p>
            <w:pPr>
              <w:spacing w:after="0" w:line="20" w:lineRule="exact"/>
              <w:rPr>
                <w:sz w:val="1"/>
                <w:szCs w:val="1"/>
                <w:color w:val="auto"/>
              </w:rPr>
            </w:pPr>
          </w:p>
        </w:tc>
        <w:tc>
          <w:tcPr>
            <w:tcW w:w="1260" w:type="dxa"/>
            <w:vAlign w:val="bottom"/>
            <w:tcBorders>
              <w:bottom w:val="single" w:sz="8" w:color="DCDDDE"/>
            </w:tcBorders>
          </w:tcPr>
          <w:p>
            <w:pPr>
              <w:spacing w:after="0" w:line="20" w:lineRule="exact"/>
              <w:rPr>
                <w:sz w:val="1"/>
                <w:szCs w:val="1"/>
                <w:color w:val="auto"/>
              </w:rPr>
            </w:pPr>
          </w:p>
        </w:tc>
        <w:tc>
          <w:tcPr>
            <w:tcW w:w="1260" w:type="dxa"/>
            <w:vAlign w:val="bottom"/>
            <w:tcBorders>
              <w:bottom w:val="single" w:sz="8" w:color="DCDDDE"/>
            </w:tcBorders>
          </w:tcPr>
          <w:p>
            <w:pPr>
              <w:spacing w:after="0" w:line="20" w:lineRule="exact"/>
              <w:rPr>
                <w:sz w:val="1"/>
                <w:szCs w:val="1"/>
                <w:color w:val="auto"/>
              </w:rPr>
            </w:pPr>
          </w:p>
        </w:tc>
        <w:tc>
          <w:tcPr>
            <w:tcW w:w="840" w:type="dxa"/>
            <w:vAlign w:val="bottom"/>
            <w:tcBorders>
              <w:bottom w:val="single" w:sz="8" w:color="DCDDDE"/>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50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2,500,000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13,383,702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8,480,021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7,500,000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206,127</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32,069,850</w:t>
            </w:r>
          </w:p>
        </w:tc>
        <w:tc>
          <w:tcPr>
            <w:tcW w:w="0" w:type="dxa"/>
            <w:vAlign w:val="bottom"/>
          </w:tcPr>
          <w:p>
            <w:pPr>
              <w:spacing w:after="0"/>
              <w:rPr>
                <w:sz w:val="1"/>
                <w:szCs w:val="1"/>
                <w:color w:val="auto"/>
              </w:rPr>
            </w:pPr>
          </w:p>
        </w:tc>
      </w:tr>
      <w:tr>
        <w:trPr>
          <w:trHeight w:val="177"/>
        </w:trPr>
        <w:tc>
          <w:tcPr>
            <w:tcW w:w="5040" w:type="dxa"/>
            <w:vAlign w:val="bottom"/>
          </w:tcPr>
          <w:p>
            <w:pPr>
              <w:ind w:left="80"/>
              <w:spacing w:after="0"/>
              <w:rPr>
                <w:sz w:val="20"/>
                <w:szCs w:val="20"/>
                <w:color w:val="auto"/>
              </w:rPr>
            </w:pPr>
            <w:r>
              <w:rPr>
                <w:rFonts w:ascii="Arial" w:cs="Arial" w:eastAsia="Arial" w:hAnsi="Arial"/>
                <w:sz w:val="14"/>
                <w:szCs w:val="14"/>
                <w:b w:val="1"/>
                <w:bCs w:val="1"/>
                <w:color w:val="auto"/>
              </w:rPr>
              <w:t>Michael J. Cavanagh</w:t>
            </w:r>
          </w:p>
        </w:tc>
        <w:tc>
          <w:tcPr>
            <w:tcW w:w="420" w:type="dxa"/>
            <w:vAlign w:val="bottom"/>
          </w:tcPr>
          <w:p>
            <w:pPr>
              <w:jc w:val="right"/>
              <w:spacing w:after="0"/>
              <w:rPr>
                <w:sz w:val="20"/>
                <w:szCs w:val="20"/>
                <w:color w:val="auto"/>
              </w:rPr>
            </w:pPr>
            <w:r>
              <w:rPr>
                <w:rFonts w:ascii="Arial" w:cs="Arial" w:eastAsia="Arial" w:hAnsi="Arial"/>
                <w:sz w:val="14"/>
                <w:szCs w:val="14"/>
                <w:color w:val="auto"/>
              </w:rPr>
              <w:t>2024</w:t>
            </w:r>
          </w:p>
        </w:tc>
        <w:tc>
          <w:tcPr>
            <w:tcW w:w="740" w:type="dxa"/>
            <w:vAlign w:val="bottom"/>
          </w:tcPr>
          <w:p>
            <w:pPr>
              <w:jc w:val="right"/>
              <w:spacing w:after="0"/>
              <w:rPr>
                <w:sz w:val="20"/>
                <w:szCs w:val="20"/>
                <w:color w:val="auto"/>
              </w:rPr>
            </w:pPr>
            <w:r>
              <w:rPr>
                <w:rFonts w:ascii="Arial" w:cs="Arial" w:eastAsia="Arial" w:hAnsi="Arial"/>
                <w:sz w:val="14"/>
                <w:szCs w:val="14"/>
                <w:color w:val="auto"/>
              </w:rPr>
              <w:t>2,500,001</w:t>
            </w:r>
          </w:p>
        </w:tc>
        <w:tc>
          <w:tcPr>
            <w:tcW w:w="840" w:type="dxa"/>
            <w:vAlign w:val="bottom"/>
          </w:tcPr>
          <w:p>
            <w:pPr>
              <w:jc w:val="right"/>
              <w:spacing w:after="0"/>
              <w:rPr>
                <w:sz w:val="20"/>
                <w:szCs w:val="20"/>
                <w:color w:val="auto"/>
              </w:rPr>
            </w:pPr>
            <w:r>
              <w:rPr>
                <w:rFonts w:ascii="Arial" w:cs="Arial" w:eastAsia="Arial" w:hAnsi="Arial"/>
                <w:sz w:val="14"/>
                <w:szCs w:val="14"/>
                <w:color w:val="auto"/>
              </w:rPr>
              <w:t>13,627,970</w:t>
            </w:r>
          </w:p>
        </w:tc>
        <w:tc>
          <w:tcPr>
            <w:tcW w:w="840" w:type="dxa"/>
            <w:vAlign w:val="bottom"/>
          </w:tcPr>
          <w:p>
            <w:pPr>
              <w:jc w:val="right"/>
              <w:spacing w:after="0"/>
              <w:rPr>
                <w:sz w:val="20"/>
                <w:szCs w:val="20"/>
                <w:color w:val="auto"/>
              </w:rPr>
            </w:pPr>
            <w:r>
              <w:rPr>
                <w:rFonts w:ascii="Arial" w:cs="Arial" w:eastAsia="Arial" w:hAnsi="Arial"/>
                <w:sz w:val="14"/>
                <w:szCs w:val="14"/>
                <w:color w:val="auto"/>
              </w:rPr>
              <w:t>4,375,032</w:t>
            </w:r>
          </w:p>
        </w:tc>
        <w:tc>
          <w:tcPr>
            <w:tcW w:w="1260" w:type="dxa"/>
            <w:vAlign w:val="bottom"/>
          </w:tcPr>
          <w:p>
            <w:pPr>
              <w:jc w:val="right"/>
              <w:spacing w:after="0"/>
              <w:rPr>
                <w:sz w:val="20"/>
                <w:szCs w:val="20"/>
                <w:color w:val="auto"/>
              </w:rPr>
            </w:pPr>
            <w:r>
              <w:rPr>
                <w:rFonts w:ascii="Arial" w:cs="Arial" w:eastAsia="Arial" w:hAnsi="Arial"/>
                <w:sz w:val="14"/>
                <w:szCs w:val="14"/>
                <w:color w:val="auto"/>
              </w:rPr>
              <w:t>7,500,002</w:t>
            </w:r>
          </w:p>
        </w:tc>
        <w:tc>
          <w:tcPr>
            <w:tcW w:w="1260" w:type="dxa"/>
            <w:vAlign w:val="bottom"/>
          </w:tcPr>
          <w:p>
            <w:pPr>
              <w:jc w:val="right"/>
              <w:spacing w:after="0"/>
              <w:rPr>
                <w:sz w:val="20"/>
                <w:szCs w:val="20"/>
                <w:color w:val="auto"/>
              </w:rPr>
            </w:pPr>
            <w:r>
              <w:rPr>
                <w:rFonts w:ascii="Arial" w:cs="Arial" w:eastAsia="Arial" w:hAnsi="Arial"/>
                <w:sz w:val="14"/>
                <w:szCs w:val="14"/>
                <w:color w:val="auto"/>
              </w:rPr>
              <w:t>255,162</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28,258,168</w:t>
            </w:r>
          </w:p>
        </w:tc>
        <w:tc>
          <w:tcPr>
            <w:tcW w:w="0" w:type="dxa"/>
            <w:vAlign w:val="bottom"/>
          </w:tcPr>
          <w:p>
            <w:pPr>
              <w:spacing w:after="0"/>
              <w:rPr>
                <w:sz w:val="1"/>
                <w:szCs w:val="1"/>
                <w:color w:val="auto"/>
              </w:rPr>
            </w:pPr>
          </w:p>
        </w:tc>
      </w:tr>
      <w:tr>
        <w:trPr>
          <w:trHeight w:val="36"/>
        </w:trPr>
        <w:tc>
          <w:tcPr>
            <w:tcW w:w="5040" w:type="dxa"/>
            <w:vAlign w:val="bottom"/>
            <w:vMerge w:val="restart"/>
          </w:tcPr>
          <w:p>
            <w:pPr>
              <w:ind w:left="80"/>
              <w:spacing w:after="0"/>
              <w:rPr>
                <w:sz w:val="20"/>
                <w:szCs w:val="20"/>
                <w:color w:val="auto"/>
              </w:rPr>
            </w:pPr>
            <w:r>
              <w:rPr>
                <w:rFonts w:ascii="Arial" w:cs="Arial" w:eastAsia="Arial" w:hAnsi="Arial"/>
                <w:sz w:val="14"/>
                <w:szCs w:val="14"/>
                <w:color w:val="auto"/>
              </w:rPr>
              <w:t>President</w:t>
            </w:r>
          </w:p>
        </w:tc>
        <w:tc>
          <w:tcPr>
            <w:tcW w:w="420" w:type="dxa"/>
            <w:vAlign w:val="bottom"/>
            <w:tcBorders>
              <w:bottom w:val="single" w:sz="8" w:color="DCDDDE"/>
            </w:tcBorders>
          </w:tcPr>
          <w:p>
            <w:pPr>
              <w:spacing w:after="0"/>
              <w:rPr>
                <w:sz w:val="3"/>
                <w:szCs w:val="3"/>
                <w:color w:val="auto"/>
              </w:rPr>
            </w:pPr>
          </w:p>
        </w:tc>
        <w:tc>
          <w:tcPr>
            <w:tcW w:w="740" w:type="dxa"/>
            <w:vAlign w:val="bottom"/>
            <w:tcBorders>
              <w:bottom w:val="single" w:sz="8" w:color="DCDDDE"/>
            </w:tcBorders>
          </w:tcPr>
          <w:p>
            <w:pPr>
              <w:spacing w:after="0"/>
              <w:rPr>
                <w:sz w:val="3"/>
                <w:szCs w:val="3"/>
                <w:color w:val="auto"/>
              </w:rPr>
            </w:pPr>
          </w:p>
        </w:tc>
        <w:tc>
          <w:tcPr>
            <w:tcW w:w="840" w:type="dxa"/>
            <w:vAlign w:val="bottom"/>
            <w:tcBorders>
              <w:bottom w:val="single" w:sz="8" w:color="DCDDDE"/>
            </w:tcBorders>
          </w:tcPr>
          <w:p>
            <w:pPr>
              <w:spacing w:after="0"/>
              <w:rPr>
                <w:sz w:val="3"/>
                <w:szCs w:val="3"/>
                <w:color w:val="auto"/>
              </w:rPr>
            </w:pPr>
          </w:p>
        </w:tc>
        <w:tc>
          <w:tcPr>
            <w:tcW w:w="840" w:type="dxa"/>
            <w:vAlign w:val="bottom"/>
            <w:tcBorders>
              <w:bottom w:val="single" w:sz="8" w:color="DCDDDE"/>
            </w:tcBorders>
          </w:tcPr>
          <w:p>
            <w:pPr>
              <w:spacing w:after="0"/>
              <w:rPr>
                <w:sz w:val="3"/>
                <w:szCs w:val="3"/>
                <w:color w:val="auto"/>
              </w:rPr>
            </w:pPr>
          </w:p>
        </w:tc>
        <w:tc>
          <w:tcPr>
            <w:tcW w:w="1260" w:type="dxa"/>
            <w:vAlign w:val="bottom"/>
            <w:tcBorders>
              <w:bottom w:val="single" w:sz="8" w:color="DCDDDE"/>
            </w:tcBorders>
          </w:tcPr>
          <w:p>
            <w:pPr>
              <w:spacing w:after="0"/>
              <w:rPr>
                <w:sz w:val="3"/>
                <w:szCs w:val="3"/>
                <w:color w:val="auto"/>
              </w:rPr>
            </w:pPr>
          </w:p>
        </w:tc>
        <w:tc>
          <w:tcPr>
            <w:tcW w:w="1260" w:type="dxa"/>
            <w:vAlign w:val="bottom"/>
            <w:tcBorders>
              <w:bottom w:val="single" w:sz="8" w:color="DCDDDE"/>
            </w:tcBorders>
          </w:tcPr>
          <w:p>
            <w:pPr>
              <w:spacing w:after="0"/>
              <w:rPr>
                <w:sz w:val="3"/>
                <w:szCs w:val="3"/>
                <w:color w:val="auto"/>
              </w:rPr>
            </w:pPr>
          </w:p>
        </w:tc>
        <w:tc>
          <w:tcPr>
            <w:tcW w:w="840" w:type="dxa"/>
            <w:vAlign w:val="bottom"/>
            <w:tcBorders>
              <w:bottom w:val="single" w:sz="8" w:color="DCDDDE"/>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5040" w:type="dxa"/>
            <w:vAlign w:val="bottom"/>
            <w:vMerge w:val="continue"/>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2023</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2,463,846</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11,431,801</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7,000,032</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8,426,353</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258,030</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29,580,063</w:t>
            </w:r>
          </w:p>
        </w:tc>
        <w:tc>
          <w:tcPr>
            <w:tcW w:w="0" w:type="dxa"/>
            <w:vAlign w:val="bottom"/>
          </w:tcPr>
          <w:p>
            <w:pPr>
              <w:spacing w:after="0"/>
              <w:rPr>
                <w:sz w:val="1"/>
                <w:szCs w:val="1"/>
                <w:color w:val="auto"/>
              </w:rPr>
            </w:pPr>
          </w:p>
        </w:tc>
      </w:tr>
      <w:tr>
        <w:trPr>
          <w:trHeight w:val="77"/>
        </w:trPr>
        <w:tc>
          <w:tcPr>
            <w:tcW w:w="5040" w:type="dxa"/>
            <w:vAlign w:val="bottom"/>
          </w:tcPr>
          <w:p>
            <w:pPr>
              <w:spacing w:after="0"/>
              <w:rPr>
                <w:sz w:val="6"/>
                <w:szCs w:val="6"/>
                <w:color w:val="auto"/>
              </w:rPr>
            </w:pPr>
          </w:p>
        </w:tc>
        <w:tc>
          <w:tcPr>
            <w:tcW w:w="420" w:type="dxa"/>
            <w:vAlign w:val="bottom"/>
            <w:tcBorders>
              <w:bottom w:val="single" w:sz="8" w:color="DCDDDE"/>
            </w:tcBorders>
            <w:vMerge w:val="continue"/>
          </w:tcPr>
          <w:p>
            <w:pPr>
              <w:spacing w:after="0"/>
              <w:rPr>
                <w:sz w:val="6"/>
                <w:szCs w:val="6"/>
                <w:color w:val="auto"/>
              </w:rPr>
            </w:pPr>
          </w:p>
        </w:tc>
        <w:tc>
          <w:tcPr>
            <w:tcW w:w="740" w:type="dxa"/>
            <w:vAlign w:val="bottom"/>
            <w:tcBorders>
              <w:bottom w:val="single" w:sz="8" w:color="DCDDDE"/>
            </w:tcBorders>
            <w:vMerge w:val="continue"/>
          </w:tcPr>
          <w:p>
            <w:pPr>
              <w:spacing w:after="0"/>
              <w:rPr>
                <w:sz w:val="6"/>
                <w:szCs w:val="6"/>
                <w:color w:val="auto"/>
              </w:rPr>
            </w:pPr>
          </w:p>
        </w:tc>
        <w:tc>
          <w:tcPr>
            <w:tcW w:w="840" w:type="dxa"/>
            <w:vAlign w:val="bottom"/>
            <w:tcBorders>
              <w:bottom w:val="single" w:sz="8" w:color="DCDDDE"/>
            </w:tcBorders>
            <w:vMerge w:val="continue"/>
          </w:tcPr>
          <w:p>
            <w:pPr>
              <w:spacing w:after="0"/>
              <w:rPr>
                <w:sz w:val="6"/>
                <w:szCs w:val="6"/>
                <w:color w:val="auto"/>
              </w:rPr>
            </w:pPr>
          </w:p>
        </w:tc>
        <w:tc>
          <w:tcPr>
            <w:tcW w:w="840" w:type="dxa"/>
            <w:vAlign w:val="bottom"/>
            <w:tcBorders>
              <w:bottom w:val="single" w:sz="8" w:color="DCDDDE"/>
            </w:tcBorders>
            <w:vMerge w:val="continue"/>
          </w:tcPr>
          <w:p>
            <w:pPr>
              <w:spacing w:after="0"/>
              <w:rPr>
                <w:sz w:val="6"/>
                <w:szCs w:val="6"/>
                <w:color w:val="auto"/>
              </w:rPr>
            </w:pPr>
          </w:p>
        </w:tc>
        <w:tc>
          <w:tcPr>
            <w:tcW w:w="1260" w:type="dxa"/>
            <w:vAlign w:val="bottom"/>
            <w:tcBorders>
              <w:bottom w:val="single" w:sz="8" w:color="DCDDDE"/>
            </w:tcBorders>
            <w:vMerge w:val="continue"/>
          </w:tcPr>
          <w:p>
            <w:pPr>
              <w:spacing w:after="0"/>
              <w:rPr>
                <w:sz w:val="6"/>
                <w:szCs w:val="6"/>
                <w:color w:val="auto"/>
              </w:rPr>
            </w:pPr>
          </w:p>
        </w:tc>
        <w:tc>
          <w:tcPr>
            <w:tcW w:w="1260" w:type="dxa"/>
            <w:vAlign w:val="bottom"/>
            <w:tcBorders>
              <w:bottom w:val="single" w:sz="8" w:color="DCDDDE"/>
            </w:tcBorders>
            <w:vMerge w:val="continue"/>
          </w:tcPr>
          <w:p>
            <w:pPr>
              <w:spacing w:after="0"/>
              <w:rPr>
                <w:sz w:val="6"/>
                <w:szCs w:val="6"/>
                <w:color w:val="auto"/>
              </w:rPr>
            </w:pPr>
          </w:p>
        </w:tc>
        <w:tc>
          <w:tcPr>
            <w:tcW w:w="840" w:type="dxa"/>
            <w:vAlign w:val="bottom"/>
            <w:tcBorders>
              <w:bottom w:val="single" w:sz="8" w:color="DCDDDE"/>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5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2,300,000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9,974,568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21,120,030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6,900,000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187,124</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40,481,722</w:t>
            </w:r>
          </w:p>
        </w:tc>
        <w:tc>
          <w:tcPr>
            <w:tcW w:w="0" w:type="dxa"/>
            <w:vAlign w:val="bottom"/>
          </w:tcPr>
          <w:p>
            <w:pPr>
              <w:spacing w:after="0"/>
              <w:rPr>
                <w:sz w:val="1"/>
                <w:szCs w:val="1"/>
                <w:color w:val="auto"/>
              </w:rPr>
            </w:pPr>
          </w:p>
        </w:tc>
      </w:tr>
      <w:tr>
        <w:trPr>
          <w:trHeight w:val="177"/>
        </w:trPr>
        <w:tc>
          <w:tcPr>
            <w:tcW w:w="5040" w:type="dxa"/>
            <w:vAlign w:val="bottom"/>
          </w:tcPr>
          <w:p>
            <w:pPr>
              <w:ind w:left="80"/>
              <w:spacing w:after="0"/>
              <w:rPr>
                <w:sz w:val="20"/>
                <w:szCs w:val="20"/>
                <w:color w:val="auto"/>
              </w:rPr>
            </w:pPr>
            <w:r>
              <w:rPr>
                <w:rFonts w:ascii="Arial" w:cs="Arial" w:eastAsia="Arial" w:hAnsi="Arial"/>
                <w:sz w:val="14"/>
                <w:szCs w:val="14"/>
                <w:b w:val="1"/>
                <w:bCs w:val="1"/>
                <w:color w:val="auto"/>
              </w:rPr>
              <w:t>Jason S. Armstrong</w:t>
            </w:r>
          </w:p>
        </w:tc>
        <w:tc>
          <w:tcPr>
            <w:tcW w:w="420" w:type="dxa"/>
            <w:vAlign w:val="bottom"/>
          </w:tcPr>
          <w:p>
            <w:pPr>
              <w:jc w:val="right"/>
              <w:spacing w:after="0"/>
              <w:rPr>
                <w:sz w:val="20"/>
                <w:szCs w:val="20"/>
                <w:color w:val="auto"/>
              </w:rPr>
            </w:pPr>
            <w:r>
              <w:rPr>
                <w:rFonts w:ascii="Arial" w:cs="Arial" w:eastAsia="Arial" w:hAnsi="Arial"/>
                <w:sz w:val="14"/>
                <w:szCs w:val="14"/>
                <w:color w:val="auto"/>
              </w:rPr>
              <w:t>2024</w:t>
            </w:r>
          </w:p>
        </w:tc>
        <w:tc>
          <w:tcPr>
            <w:tcW w:w="740" w:type="dxa"/>
            <w:vAlign w:val="bottom"/>
          </w:tcPr>
          <w:p>
            <w:pPr>
              <w:jc w:val="right"/>
              <w:spacing w:after="0"/>
              <w:rPr>
                <w:sz w:val="20"/>
                <w:szCs w:val="20"/>
                <w:color w:val="auto"/>
              </w:rPr>
            </w:pPr>
            <w:r>
              <w:rPr>
                <w:rFonts w:ascii="Arial" w:cs="Arial" w:eastAsia="Arial" w:hAnsi="Arial"/>
                <w:sz w:val="14"/>
                <w:szCs w:val="14"/>
                <w:color w:val="auto"/>
              </w:rPr>
              <w:t>1,996,154</w:t>
            </w:r>
          </w:p>
        </w:tc>
        <w:tc>
          <w:tcPr>
            <w:tcW w:w="840" w:type="dxa"/>
            <w:vAlign w:val="bottom"/>
          </w:tcPr>
          <w:p>
            <w:pPr>
              <w:jc w:val="right"/>
              <w:spacing w:after="0"/>
              <w:rPr>
                <w:sz w:val="20"/>
                <w:szCs w:val="20"/>
                <w:color w:val="auto"/>
              </w:rPr>
            </w:pPr>
            <w:r>
              <w:rPr>
                <w:rFonts w:ascii="Arial" w:cs="Arial" w:eastAsia="Arial" w:hAnsi="Arial"/>
                <w:sz w:val="14"/>
                <w:szCs w:val="14"/>
                <w:color w:val="auto"/>
              </w:rPr>
              <w:t>6,619,338</w:t>
            </w:r>
          </w:p>
        </w:tc>
        <w:tc>
          <w:tcPr>
            <w:tcW w:w="840" w:type="dxa"/>
            <w:vAlign w:val="bottom"/>
          </w:tcPr>
          <w:p>
            <w:pPr>
              <w:jc w:val="right"/>
              <w:spacing w:after="0"/>
              <w:rPr>
                <w:sz w:val="20"/>
                <w:szCs w:val="20"/>
                <w:color w:val="auto"/>
              </w:rPr>
            </w:pPr>
            <w:r>
              <w:rPr>
                <w:rFonts w:ascii="Arial" w:cs="Arial" w:eastAsia="Arial" w:hAnsi="Arial"/>
                <w:sz w:val="14"/>
                <w:szCs w:val="14"/>
                <w:color w:val="auto"/>
              </w:rPr>
              <w:t>2,125,001</w:t>
            </w:r>
          </w:p>
        </w:tc>
        <w:tc>
          <w:tcPr>
            <w:tcW w:w="1260" w:type="dxa"/>
            <w:vAlign w:val="bottom"/>
          </w:tcPr>
          <w:p>
            <w:pPr>
              <w:jc w:val="right"/>
              <w:spacing w:after="0"/>
              <w:rPr>
                <w:sz w:val="20"/>
                <w:szCs w:val="20"/>
                <w:color w:val="auto"/>
              </w:rPr>
            </w:pPr>
            <w:r>
              <w:rPr>
                <w:rFonts w:ascii="Arial" w:cs="Arial" w:eastAsia="Arial" w:hAnsi="Arial"/>
                <w:sz w:val="14"/>
                <w:szCs w:val="14"/>
                <w:color w:val="auto"/>
              </w:rPr>
              <w:t>4,351,616</w:t>
            </w:r>
          </w:p>
        </w:tc>
        <w:tc>
          <w:tcPr>
            <w:tcW w:w="1260" w:type="dxa"/>
            <w:vAlign w:val="bottom"/>
          </w:tcPr>
          <w:p>
            <w:pPr>
              <w:jc w:val="right"/>
              <w:spacing w:after="0"/>
              <w:rPr>
                <w:sz w:val="20"/>
                <w:szCs w:val="20"/>
                <w:color w:val="auto"/>
              </w:rPr>
            </w:pPr>
            <w:r>
              <w:rPr>
                <w:rFonts w:ascii="Arial" w:cs="Arial" w:eastAsia="Arial" w:hAnsi="Arial"/>
                <w:sz w:val="14"/>
                <w:szCs w:val="14"/>
                <w:color w:val="auto"/>
              </w:rPr>
              <w:t>10,000</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15,102,108</w:t>
            </w:r>
          </w:p>
        </w:tc>
        <w:tc>
          <w:tcPr>
            <w:tcW w:w="0" w:type="dxa"/>
            <w:vAlign w:val="bottom"/>
          </w:tcPr>
          <w:p>
            <w:pPr>
              <w:spacing w:after="0"/>
              <w:rPr>
                <w:sz w:val="1"/>
                <w:szCs w:val="1"/>
                <w:color w:val="auto"/>
              </w:rPr>
            </w:pPr>
          </w:p>
        </w:tc>
      </w:tr>
      <w:tr>
        <w:trPr>
          <w:trHeight w:val="36"/>
        </w:trPr>
        <w:tc>
          <w:tcPr>
            <w:tcW w:w="5040" w:type="dxa"/>
            <w:vAlign w:val="bottom"/>
            <w:vMerge w:val="restart"/>
          </w:tcPr>
          <w:p>
            <w:pPr>
              <w:ind w:left="80"/>
              <w:spacing w:after="0"/>
              <w:rPr>
                <w:sz w:val="20"/>
                <w:szCs w:val="20"/>
                <w:color w:val="auto"/>
              </w:rPr>
            </w:pPr>
            <w:r>
              <w:rPr>
                <w:rFonts w:ascii="Arial" w:cs="Arial" w:eastAsia="Arial" w:hAnsi="Arial"/>
                <w:sz w:val="14"/>
                <w:szCs w:val="14"/>
                <w:color w:val="auto"/>
              </w:rPr>
              <w:t>Chief Financial Officer</w:t>
            </w:r>
          </w:p>
        </w:tc>
        <w:tc>
          <w:tcPr>
            <w:tcW w:w="420" w:type="dxa"/>
            <w:vAlign w:val="bottom"/>
            <w:tcBorders>
              <w:bottom w:val="single" w:sz="8" w:color="DCDDDE"/>
            </w:tcBorders>
          </w:tcPr>
          <w:p>
            <w:pPr>
              <w:spacing w:after="0"/>
              <w:rPr>
                <w:sz w:val="3"/>
                <w:szCs w:val="3"/>
                <w:color w:val="auto"/>
              </w:rPr>
            </w:pPr>
          </w:p>
        </w:tc>
        <w:tc>
          <w:tcPr>
            <w:tcW w:w="740" w:type="dxa"/>
            <w:vAlign w:val="bottom"/>
            <w:tcBorders>
              <w:bottom w:val="single" w:sz="8" w:color="DCDDDE"/>
            </w:tcBorders>
          </w:tcPr>
          <w:p>
            <w:pPr>
              <w:spacing w:after="0"/>
              <w:rPr>
                <w:sz w:val="3"/>
                <w:szCs w:val="3"/>
                <w:color w:val="auto"/>
              </w:rPr>
            </w:pPr>
          </w:p>
        </w:tc>
        <w:tc>
          <w:tcPr>
            <w:tcW w:w="840" w:type="dxa"/>
            <w:vAlign w:val="bottom"/>
            <w:tcBorders>
              <w:bottom w:val="single" w:sz="8" w:color="DCDDDE"/>
            </w:tcBorders>
          </w:tcPr>
          <w:p>
            <w:pPr>
              <w:spacing w:after="0"/>
              <w:rPr>
                <w:sz w:val="3"/>
                <w:szCs w:val="3"/>
                <w:color w:val="auto"/>
              </w:rPr>
            </w:pPr>
          </w:p>
        </w:tc>
        <w:tc>
          <w:tcPr>
            <w:tcW w:w="840" w:type="dxa"/>
            <w:vAlign w:val="bottom"/>
            <w:tcBorders>
              <w:bottom w:val="single" w:sz="8" w:color="DCDDDE"/>
            </w:tcBorders>
          </w:tcPr>
          <w:p>
            <w:pPr>
              <w:spacing w:after="0"/>
              <w:rPr>
                <w:sz w:val="3"/>
                <w:szCs w:val="3"/>
                <w:color w:val="auto"/>
              </w:rPr>
            </w:pPr>
          </w:p>
        </w:tc>
        <w:tc>
          <w:tcPr>
            <w:tcW w:w="1260" w:type="dxa"/>
            <w:vAlign w:val="bottom"/>
            <w:tcBorders>
              <w:bottom w:val="single" w:sz="8" w:color="DCDDDE"/>
            </w:tcBorders>
          </w:tcPr>
          <w:p>
            <w:pPr>
              <w:spacing w:after="0"/>
              <w:rPr>
                <w:sz w:val="3"/>
                <w:szCs w:val="3"/>
                <w:color w:val="auto"/>
              </w:rPr>
            </w:pPr>
          </w:p>
        </w:tc>
        <w:tc>
          <w:tcPr>
            <w:tcW w:w="1260" w:type="dxa"/>
            <w:vAlign w:val="bottom"/>
            <w:tcBorders>
              <w:bottom w:val="single" w:sz="8" w:color="DCDDDE"/>
            </w:tcBorders>
          </w:tcPr>
          <w:p>
            <w:pPr>
              <w:spacing w:after="0"/>
              <w:rPr>
                <w:sz w:val="3"/>
                <w:szCs w:val="3"/>
                <w:color w:val="auto"/>
              </w:rPr>
            </w:pPr>
          </w:p>
        </w:tc>
        <w:tc>
          <w:tcPr>
            <w:tcW w:w="840" w:type="dxa"/>
            <w:vAlign w:val="bottom"/>
            <w:tcBorders>
              <w:bottom w:val="single" w:sz="8" w:color="DCDDDE"/>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5040" w:type="dxa"/>
            <w:vAlign w:val="bottom"/>
            <w:vMerge w:val="continue"/>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2023</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1,789,615</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3,266,371</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2,000,033</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4,528,767</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10,000</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11,594,786</w:t>
            </w:r>
          </w:p>
        </w:tc>
        <w:tc>
          <w:tcPr>
            <w:tcW w:w="0" w:type="dxa"/>
            <w:vAlign w:val="bottom"/>
          </w:tcPr>
          <w:p>
            <w:pPr>
              <w:spacing w:after="0"/>
              <w:rPr>
                <w:sz w:val="1"/>
                <w:szCs w:val="1"/>
                <w:color w:val="auto"/>
              </w:rPr>
            </w:pPr>
          </w:p>
        </w:tc>
      </w:tr>
      <w:tr>
        <w:trPr>
          <w:trHeight w:val="72"/>
        </w:trPr>
        <w:tc>
          <w:tcPr>
            <w:tcW w:w="50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vMerge w:val="continue"/>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040" w:type="dxa"/>
            <w:vAlign w:val="bottom"/>
          </w:tcPr>
          <w:p>
            <w:pPr>
              <w:ind w:left="80"/>
              <w:spacing w:after="0"/>
              <w:rPr>
                <w:sz w:val="20"/>
                <w:szCs w:val="20"/>
                <w:color w:val="auto"/>
              </w:rPr>
            </w:pPr>
            <w:r>
              <w:rPr>
                <w:rFonts w:ascii="Arial" w:cs="Arial" w:eastAsia="Arial" w:hAnsi="Arial"/>
                <w:sz w:val="14"/>
                <w:szCs w:val="14"/>
                <w:b w:val="1"/>
                <w:bCs w:val="1"/>
                <w:color w:val="auto"/>
              </w:rPr>
              <w:t>Thomas J. Reid</w:t>
            </w:r>
          </w:p>
        </w:tc>
        <w:tc>
          <w:tcPr>
            <w:tcW w:w="420" w:type="dxa"/>
            <w:vAlign w:val="bottom"/>
          </w:tcPr>
          <w:p>
            <w:pPr>
              <w:jc w:val="right"/>
              <w:spacing w:after="0"/>
              <w:rPr>
                <w:sz w:val="20"/>
                <w:szCs w:val="20"/>
                <w:color w:val="auto"/>
              </w:rPr>
            </w:pPr>
            <w:r>
              <w:rPr>
                <w:rFonts w:ascii="Arial" w:cs="Arial" w:eastAsia="Arial" w:hAnsi="Arial"/>
                <w:sz w:val="14"/>
                <w:szCs w:val="14"/>
                <w:color w:val="auto"/>
              </w:rPr>
              <w:t>2024</w:t>
            </w:r>
          </w:p>
        </w:tc>
        <w:tc>
          <w:tcPr>
            <w:tcW w:w="740" w:type="dxa"/>
            <w:vAlign w:val="bottom"/>
          </w:tcPr>
          <w:p>
            <w:pPr>
              <w:jc w:val="right"/>
              <w:spacing w:after="0"/>
              <w:rPr>
                <w:sz w:val="20"/>
                <w:szCs w:val="20"/>
                <w:color w:val="auto"/>
              </w:rPr>
            </w:pPr>
            <w:r>
              <w:rPr>
                <w:rFonts w:ascii="Arial" w:cs="Arial" w:eastAsia="Arial" w:hAnsi="Arial"/>
                <w:sz w:val="14"/>
                <w:szCs w:val="14"/>
                <w:color w:val="auto"/>
              </w:rPr>
              <w:t>1,898,079</w:t>
            </w:r>
          </w:p>
        </w:tc>
        <w:tc>
          <w:tcPr>
            <w:tcW w:w="840" w:type="dxa"/>
            <w:vAlign w:val="bottom"/>
          </w:tcPr>
          <w:p>
            <w:pPr>
              <w:jc w:val="right"/>
              <w:spacing w:after="0"/>
              <w:rPr>
                <w:sz w:val="20"/>
                <w:szCs w:val="20"/>
                <w:color w:val="auto"/>
              </w:rPr>
            </w:pPr>
            <w:r>
              <w:rPr>
                <w:rFonts w:ascii="Arial" w:cs="Arial" w:eastAsia="Arial" w:hAnsi="Arial"/>
                <w:sz w:val="14"/>
                <w:szCs w:val="14"/>
                <w:color w:val="auto"/>
              </w:rPr>
              <w:t>5,334,578</w:t>
            </w:r>
          </w:p>
        </w:tc>
        <w:tc>
          <w:tcPr>
            <w:tcW w:w="840" w:type="dxa"/>
            <w:vAlign w:val="bottom"/>
          </w:tcPr>
          <w:p>
            <w:pPr>
              <w:jc w:val="right"/>
              <w:spacing w:after="0"/>
              <w:rPr>
                <w:sz w:val="20"/>
                <w:szCs w:val="20"/>
                <w:color w:val="auto"/>
              </w:rPr>
            </w:pPr>
            <w:r>
              <w:rPr>
                <w:rFonts w:ascii="Arial" w:cs="Arial" w:eastAsia="Arial" w:hAnsi="Arial"/>
                <w:sz w:val="14"/>
                <w:szCs w:val="14"/>
                <w:color w:val="auto"/>
              </w:rPr>
              <w:t>1,712,518</w:t>
            </w:r>
          </w:p>
        </w:tc>
        <w:tc>
          <w:tcPr>
            <w:tcW w:w="1260" w:type="dxa"/>
            <w:vAlign w:val="bottom"/>
          </w:tcPr>
          <w:p>
            <w:pPr>
              <w:jc w:val="right"/>
              <w:spacing w:after="0"/>
              <w:rPr>
                <w:sz w:val="20"/>
                <w:szCs w:val="20"/>
                <w:color w:val="auto"/>
              </w:rPr>
            </w:pPr>
            <w:r>
              <w:rPr>
                <w:rFonts w:ascii="Arial" w:cs="Arial" w:eastAsia="Arial" w:hAnsi="Arial"/>
                <w:sz w:val="14"/>
                <w:szCs w:val="14"/>
                <w:color w:val="auto"/>
              </w:rPr>
              <w:t>5,172,264</w:t>
            </w:r>
          </w:p>
        </w:tc>
        <w:tc>
          <w:tcPr>
            <w:tcW w:w="1260" w:type="dxa"/>
            <w:vAlign w:val="bottom"/>
          </w:tcPr>
          <w:p>
            <w:pPr>
              <w:jc w:val="right"/>
              <w:spacing w:after="0"/>
              <w:rPr>
                <w:sz w:val="20"/>
                <w:szCs w:val="20"/>
                <w:color w:val="auto"/>
              </w:rPr>
            </w:pPr>
            <w:r>
              <w:rPr>
                <w:rFonts w:ascii="Arial" w:cs="Arial" w:eastAsia="Arial" w:hAnsi="Arial"/>
                <w:sz w:val="14"/>
                <w:szCs w:val="14"/>
                <w:color w:val="auto"/>
              </w:rPr>
              <w:t>10,000</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14,127,439</w:t>
            </w:r>
          </w:p>
        </w:tc>
        <w:tc>
          <w:tcPr>
            <w:tcW w:w="0" w:type="dxa"/>
            <w:vAlign w:val="bottom"/>
          </w:tcPr>
          <w:p>
            <w:pPr>
              <w:spacing w:after="0"/>
              <w:rPr>
                <w:sz w:val="1"/>
                <w:szCs w:val="1"/>
                <w:color w:val="auto"/>
              </w:rPr>
            </w:pPr>
          </w:p>
        </w:tc>
      </w:tr>
      <w:tr>
        <w:trPr>
          <w:trHeight w:val="36"/>
        </w:trPr>
        <w:tc>
          <w:tcPr>
            <w:tcW w:w="5040" w:type="dxa"/>
            <w:vAlign w:val="bottom"/>
            <w:vMerge w:val="restart"/>
          </w:tcPr>
          <w:p>
            <w:pPr>
              <w:ind w:left="80"/>
              <w:spacing w:after="0"/>
              <w:rPr>
                <w:sz w:val="20"/>
                <w:szCs w:val="20"/>
                <w:color w:val="auto"/>
              </w:rPr>
            </w:pPr>
            <w:r>
              <w:rPr>
                <w:rFonts w:ascii="Arial" w:cs="Arial" w:eastAsia="Arial" w:hAnsi="Arial"/>
                <w:sz w:val="14"/>
                <w:szCs w:val="14"/>
                <w:color w:val="auto"/>
              </w:rPr>
              <w:t>Chief Legal Officer and Secretary</w:t>
            </w:r>
          </w:p>
        </w:tc>
        <w:tc>
          <w:tcPr>
            <w:tcW w:w="420" w:type="dxa"/>
            <w:vAlign w:val="bottom"/>
            <w:tcBorders>
              <w:bottom w:val="single" w:sz="8" w:color="DCDDDE"/>
            </w:tcBorders>
          </w:tcPr>
          <w:p>
            <w:pPr>
              <w:spacing w:after="0"/>
              <w:rPr>
                <w:sz w:val="3"/>
                <w:szCs w:val="3"/>
                <w:color w:val="auto"/>
              </w:rPr>
            </w:pPr>
          </w:p>
        </w:tc>
        <w:tc>
          <w:tcPr>
            <w:tcW w:w="740" w:type="dxa"/>
            <w:vAlign w:val="bottom"/>
            <w:tcBorders>
              <w:bottom w:val="single" w:sz="8" w:color="DCDDDE"/>
            </w:tcBorders>
          </w:tcPr>
          <w:p>
            <w:pPr>
              <w:spacing w:after="0"/>
              <w:rPr>
                <w:sz w:val="3"/>
                <w:szCs w:val="3"/>
                <w:color w:val="auto"/>
              </w:rPr>
            </w:pPr>
          </w:p>
        </w:tc>
        <w:tc>
          <w:tcPr>
            <w:tcW w:w="840" w:type="dxa"/>
            <w:vAlign w:val="bottom"/>
            <w:tcBorders>
              <w:bottom w:val="single" w:sz="8" w:color="DCDDDE"/>
            </w:tcBorders>
          </w:tcPr>
          <w:p>
            <w:pPr>
              <w:spacing w:after="0"/>
              <w:rPr>
                <w:sz w:val="3"/>
                <w:szCs w:val="3"/>
                <w:color w:val="auto"/>
              </w:rPr>
            </w:pPr>
          </w:p>
        </w:tc>
        <w:tc>
          <w:tcPr>
            <w:tcW w:w="840" w:type="dxa"/>
            <w:vAlign w:val="bottom"/>
            <w:tcBorders>
              <w:bottom w:val="single" w:sz="8" w:color="DCDDDE"/>
            </w:tcBorders>
          </w:tcPr>
          <w:p>
            <w:pPr>
              <w:spacing w:after="0"/>
              <w:rPr>
                <w:sz w:val="3"/>
                <w:szCs w:val="3"/>
                <w:color w:val="auto"/>
              </w:rPr>
            </w:pPr>
          </w:p>
        </w:tc>
        <w:tc>
          <w:tcPr>
            <w:tcW w:w="1260" w:type="dxa"/>
            <w:vAlign w:val="bottom"/>
            <w:tcBorders>
              <w:bottom w:val="single" w:sz="8" w:color="DCDDDE"/>
            </w:tcBorders>
          </w:tcPr>
          <w:p>
            <w:pPr>
              <w:spacing w:after="0"/>
              <w:rPr>
                <w:sz w:val="3"/>
                <w:szCs w:val="3"/>
                <w:color w:val="auto"/>
              </w:rPr>
            </w:pPr>
          </w:p>
        </w:tc>
        <w:tc>
          <w:tcPr>
            <w:tcW w:w="1260" w:type="dxa"/>
            <w:vAlign w:val="bottom"/>
            <w:tcBorders>
              <w:bottom w:val="single" w:sz="8" w:color="DCDDDE"/>
            </w:tcBorders>
          </w:tcPr>
          <w:p>
            <w:pPr>
              <w:spacing w:after="0"/>
              <w:rPr>
                <w:sz w:val="3"/>
                <w:szCs w:val="3"/>
                <w:color w:val="auto"/>
              </w:rPr>
            </w:pPr>
          </w:p>
        </w:tc>
        <w:tc>
          <w:tcPr>
            <w:tcW w:w="840" w:type="dxa"/>
            <w:vAlign w:val="bottom"/>
            <w:tcBorders>
              <w:bottom w:val="single" w:sz="8" w:color="DCDDDE"/>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5040" w:type="dxa"/>
            <w:vAlign w:val="bottom"/>
            <w:vMerge w:val="continue"/>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2023</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1,800,080</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3,266,371</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2,000,033</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4,104,182</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10,000</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11,180,666</w:t>
            </w:r>
          </w:p>
        </w:tc>
        <w:tc>
          <w:tcPr>
            <w:tcW w:w="0" w:type="dxa"/>
            <w:vAlign w:val="bottom"/>
          </w:tcPr>
          <w:p>
            <w:pPr>
              <w:spacing w:after="0"/>
              <w:rPr>
                <w:sz w:val="1"/>
                <w:szCs w:val="1"/>
                <w:color w:val="auto"/>
              </w:rPr>
            </w:pPr>
          </w:p>
        </w:tc>
      </w:tr>
      <w:tr>
        <w:trPr>
          <w:trHeight w:val="72"/>
        </w:trPr>
        <w:tc>
          <w:tcPr>
            <w:tcW w:w="50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vMerge w:val="continue"/>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040" w:type="dxa"/>
            <w:vAlign w:val="bottom"/>
          </w:tcPr>
          <w:p>
            <w:pPr>
              <w:ind w:left="80"/>
              <w:spacing w:after="0"/>
              <w:rPr>
                <w:sz w:val="20"/>
                <w:szCs w:val="20"/>
                <w:color w:val="auto"/>
              </w:rPr>
            </w:pPr>
            <w:r>
              <w:rPr>
                <w:rFonts w:ascii="Arial" w:cs="Arial" w:eastAsia="Arial" w:hAnsi="Arial"/>
                <w:sz w:val="14"/>
                <w:szCs w:val="14"/>
                <w:b w:val="1"/>
                <w:bCs w:val="1"/>
                <w:color w:val="auto"/>
              </w:rPr>
              <w:t>Jennifer Khoury</w:t>
            </w:r>
          </w:p>
        </w:tc>
        <w:tc>
          <w:tcPr>
            <w:tcW w:w="420" w:type="dxa"/>
            <w:vAlign w:val="bottom"/>
          </w:tcPr>
          <w:p>
            <w:pPr>
              <w:jc w:val="right"/>
              <w:spacing w:after="0"/>
              <w:rPr>
                <w:sz w:val="20"/>
                <w:szCs w:val="20"/>
                <w:color w:val="auto"/>
              </w:rPr>
            </w:pPr>
            <w:r>
              <w:rPr>
                <w:rFonts w:ascii="Arial" w:cs="Arial" w:eastAsia="Arial" w:hAnsi="Arial"/>
                <w:sz w:val="14"/>
                <w:szCs w:val="14"/>
                <w:color w:val="auto"/>
              </w:rPr>
              <w:t>2024</w:t>
            </w:r>
          </w:p>
        </w:tc>
        <w:tc>
          <w:tcPr>
            <w:tcW w:w="740" w:type="dxa"/>
            <w:vAlign w:val="bottom"/>
          </w:tcPr>
          <w:p>
            <w:pPr>
              <w:jc w:val="right"/>
              <w:spacing w:after="0"/>
              <w:rPr>
                <w:sz w:val="20"/>
                <w:szCs w:val="20"/>
                <w:color w:val="auto"/>
              </w:rPr>
            </w:pPr>
            <w:r>
              <w:rPr>
                <w:rFonts w:ascii="Arial" w:cs="Arial" w:eastAsia="Arial" w:hAnsi="Arial"/>
                <w:sz w:val="14"/>
                <w:szCs w:val="14"/>
                <w:color w:val="auto"/>
              </w:rPr>
              <w:t>1,500,000</w:t>
            </w:r>
          </w:p>
        </w:tc>
        <w:tc>
          <w:tcPr>
            <w:tcW w:w="840" w:type="dxa"/>
            <w:vAlign w:val="bottom"/>
          </w:tcPr>
          <w:p>
            <w:pPr>
              <w:jc w:val="right"/>
              <w:spacing w:after="0"/>
              <w:rPr>
                <w:sz w:val="20"/>
                <w:szCs w:val="20"/>
                <w:color w:val="auto"/>
              </w:rPr>
            </w:pPr>
            <w:r>
              <w:rPr>
                <w:rFonts w:ascii="Arial" w:cs="Arial" w:eastAsia="Arial" w:hAnsi="Arial"/>
                <w:sz w:val="14"/>
                <w:szCs w:val="14"/>
                <w:color w:val="auto"/>
              </w:rPr>
              <w:t>1,168,328</w:t>
            </w:r>
          </w:p>
        </w:tc>
        <w:tc>
          <w:tcPr>
            <w:tcW w:w="840" w:type="dxa"/>
            <w:vAlign w:val="bottom"/>
          </w:tcPr>
          <w:p>
            <w:pPr>
              <w:jc w:val="right"/>
              <w:spacing w:after="0"/>
              <w:rPr>
                <w:sz w:val="20"/>
                <w:szCs w:val="20"/>
                <w:color w:val="auto"/>
              </w:rPr>
            </w:pPr>
            <w:r>
              <w:rPr>
                <w:rFonts w:ascii="Arial" w:cs="Arial" w:eastAsia="Arial" w:hAnsi="Arial"/>
                <w:sz w:val="14"/>
                <w:szCs w:val="14"/>
                <w:color w:val="auto"/>
              </w:rPr>
              <w:t>375,045</w:t>
            </w:r>
          </w:p>
        </w:tc>
        <w:tc>
          <w:tcPr>
            <w:tcW w:w="1260" w:type="dxa"/>
            <w:vAlign w:val="bottom"/>
          </w:tcPr>
          <w:p>
            <w:pPr>
              <w:jc w:val="right"/>
              <w:spacing w:after="0"/>
              <w:rPr>
                <w:sz w:val="20"/>
                <w:szCs w:val="20"/>
                <w:color w:val="auto"/>
              </w:rPr>
            </w:pPr>
            <w:r>
              <w:rPr>
                <w:rFonts w:ascii="Arial" w:cs="Arial" w:eastAsia="Arial" w:hAnsi="Arial"/>
                <w:sz w:val="14"/>
                <w:szCs w:val="14"/>
                <w:color w:val="auto"/>
              </w:rPr>
              <w:t>2,452,500</w:t>
            </w:r>
          </w:p>
        </w:tc>
        <w:tc>
          <w:tcPr>
            <w:tcW w:w="1260" w:type="dxa"/>
            <w:vAlign w:val="bottom"/>
          </w:tcPr>
          <w:p>
            <w:pPr>
              <w:jc w:val="right"/>
              <w:spacing w:after="0"/>
              <w:rPr>
                <w:sz w:val="20"/>
                <w:szCs w:val="20"/>
                <w:color w:val="auto"/>
              </w:rPr>
            </w:pPr>
            <w:r>
              <w:rPr>
                <w:rFonts w:ascii="Arial" w:cs="Arial" w:eastAsia="Arial" w:hAnsi="Arial"/>
                <w:sz w:val="14"/>
                <w:szCs w:val="14"/>
                <w:color w:val="auto"/>
              </w:rPr>
              <w:t>10,000</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5,505,873</w:t>
            </w:r>
          </w:p>
        </w:tc>
        <w:tc>
          <w:tcPr>
            <w:tcW w:w="0" w:type="dxa"/>
            <w:vAlign w:val="bottom"/>
          </w:tcPr>
          <w:p>
            <w:pPr>
              <w:spacing w:after="0"/>
              <w:rPr>
                <w:sz w:val="1"/>
                <w:szCs w:val="1"/>
                <w:color w:val="auto"/>
              </w:rPr>
            </w:pPr>
          </w:p>
        </w:tc>
      </w:tr>
      <w:tr>
        <w:trPr>
          <w:trHeight w:val="36"/>
        </w:trPr>
        <w:tc>
          <w:tcPr>
            <w:tcW w:w="5040" w:type="dxa"/>
            <w:vAlign w:val="bottom"/>
            <w:vMerge w:val="restart"/>
          </w:tcPr>
          <w:p>
            <w:pPr>
              <w:ind w:left="80"/>
              <w:spacing w:after="0"/>
              <w:rPr>
                <w:sz w:val="20"/>
                <w:szCs w:val="20"/>
                <w:color w:val="auto"/>
              </w:rPr>
            </w:pPr>
            <w:r>
              <w:rPr>
                <w:rFonts w:ascii="Arial" w:cs="Arial" w:eastAsia="Arial" w:hAnsi="Arial"/>
                <w:sz w:val="14"/>
                <w:szCs w:val="14"/>
                <w:color w:val="auto"/>
              </w:rPr>
              <w:t>Chief Communications Officer</w:t>
            </w:r>
          </w:p>
        </w:tc>
        <w:tc>
          <w:tcPr>
            <w:tcW w:w="420" w:type="dxa"/>
            <w:vAlign w:val="bottom"/>
            <w:tcBorders>
              <w:bottom w:val="single" w:sz="8" w:color="DCDDDE"/>
            </w:tcBorders>
          </w:tcPr>
          <w:p>
            <w:pPr>
              <w:spacing w:after="0"/>
              <w:rPr>
                <w:sz w:val="3"/>
                <w:szCs w:val="3"/>
                <w:color w:val="auto"/>
              </w:rPr>
            </w:pPr>
          </w:p>
        </w:tc>
        <w:tc>
          <w:tcPr>
            <w:tcW w:w="740" w:type="dxa"/>
            <w:vAlign w:val="bottom"/>
            <w:tcBorders>
              <w:bottom w:val="single" w:sz="8" w:color="DCDDDE"/>
            </w:tcBorders>
          </w:tcPr>
          <w:p>
            <w:pPr>
              <w:spacing w:after="0"/>
              <w:rPr>
                <w:sz w:val="3"/>
                <w:szCs w:val="3"/>
                <w:color w:val="auto"/>
              </w:rPr>
            </w:pPr>
          </w:p>
        </w:tc>
        <w:tc>
          <w:tcPr>
            <w:tcW w:w="840" w:type="dxa"/>
            <w:vAlign w:val="bottom"/>
            <w:tcBorders>
              <w:bottom w:val="single" w:sz="8" w:color="DCDDDE"/>
            </w:tcBorders>
          </w:tcPr>
          <w:p>
            <w:pPr>
              <w:spacing w:after="0"/>
              <w:rPr>
                <w:sz w:val="3"/>
                <w:szCs w:val="3"/>
                <w:color w:val="auto"/>
              </w:rPr>
            </w:pPr>
          </w:p>
        </w:tc>
        <w:tc>
          <w:tcPr>
            <w:tcW w:w="840" w:type="dxa"/>
            <w:vAlign w:val="bottom"/>
            <w:tcBorders>
              <w:bottom w:val="single" w:sz="8" w:color="DCDDDE"/>
            </w:tcBorders>
          </w:tcPr>
          <w:p>
            <w:pPr>
              <w:spacing w:after="0"/>
              <w:rPr>
                <w:sz w:val="3"/>
                <w:szCs w:val="3"/>
                <w:color w:val="auto"/>
              </w:rPr>
            </w:pPr>
          </w:p>
        </w:tc>
        <w:tc>
          <w:tcPr>
            <w:tcW w:w="1260" w:type="dxa"/>
            <w:vAlign w:val="bottom"/>
            <w:tcBorders>
              <w:bottom w:val="single" w:sz="8" w:color="DCDDDE"/>
            </w:tcBorders>
          </w:tcPr>
          <w:p>
            <w:pPr>
              <w:spacing w:after="0"/>
              <w:rPr>
                <w:sz w:val="3"/>
                <w:szCs w:val="3"/>
                <w:color w:val="auto"/>
              </w:rPr>
            </w:pPr>
          </w:p>
        </w:tc>
        <w:tc>
          <w:tcPr>
            <w:tcW w:w="1260" w:type="dxa"/>
            <w:vAlign w:val="bottom"/>
            <w:tcBorders>
              <w:bottom w:val="single" w:sz="8" w:color="DCDDDE"/>
            </w:tcBorders>
          </w:tcPr>
          <w:p>
            <w:pPr>
              <w:spacing w:after="0"/>
              <w:rPr>
                <w:sz w:val="3"/>
                <w:szCs w:val="3"/>
                <w:color w:val="auto"/>
              </w:rPr>
            </w:pPr>
          </w:p>
        </w:tc>
        <w:tc>
          <w:tcPr>
            <w:tcW w:w="840" w:type="dxa"/>
            <w:vAlign w:val="bottom"/>
            <w:tcBorders>
              <w:bottom w:val="single" w:sz="8" w:color="DCDDDE"/>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5040" w:type="dxa"/>
            <w:vAlign w:val="bottom"/>
            <w:vMerge w:val="continue"/>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2023</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1,494,231</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980,051</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600,010</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2,555,135</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10,000</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5,639,427</w:t>
            </w:r>
          </w:p>
        </w:tc>
        <w:tc>
          <w:tcPr>
            <w:tcW w:w="0" w:type="dxa"/>
            <w:vAlign w:val="bottom"/>
          </w:tcPr>
          <w:p>
            <w:pPr>
              <w:spacing w:after="0"/>
              <w:rPr>
                <w:sz w:val="1"/>
                <w:szCs w:val="1"/>
                <w:color w:val="auto"/>
              </w:rPr>
            </w:pPr>
          </w:p>
        </w:tc>
      </w:tr>
      <w:tr>
        <w:trPr>
          <w:trHeight w:val="72"/>
        </w:trPr>
        <w:tc>
          <w:tcPr>
            <w:tcW w:w="50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vMerge w:val="continue"/>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20" w:right="20" w:hanging="312"/>
        <w:spacing w:after="0" w:line="232" w:lineRule="auto"/>
        <w:tabs>
          <w:tab w:leader="none" w:pos="320" w:val="left"/>
        </w:tabs>
        <w:numPr>
          <w:ilvl w:val="0"/>
          <w:numId w:val="76"/>
        </w:numPr>
        <w:rPr>
          <w:rFonts w:ascii="Arial" w:cs="Arial" w:eastAsia="Arial" w:hAnsi="Arial"/>
          <w:sz w:val="13"/>
          <w:szCs w:val="13"/>
          <w:color w:val="auto"/>
        </w:rPr>
      </w:pPr>
      <w:r>
        <w:rPr>
          <w:rFonts w:ascii="Arial" w:cs="Arial" w:eastAsia="Arial" w:hAnsi="Arial"/>
          <w:sz w:val="15"/>
          <w:szCs w:val="15"/>
          <w:color w:val="auto"/>
        </w:rPr>
        <w:t>Amounts represent the aggregate grant date fair value of PSUs granted to the NEOs in accordance with Financial Accounting Standards Board Accounting Standards Codification Topic 718, Compensation – Stock Compensation (“FASB ASC Topic 718”), which do not correspond to the actual values that may be realized by the NEOs or to the values approved by the Compensation Committee. The grant date values for PSUs were calculated using a Monte Carlo simulation model, determined based on the probable outcome of the performance condition as of the grant date. The valuation assumptions for the PSUs granted in March 2024 were as follows: a term of 2.83 years, an expected volatility of 26.3%, an expected peer median volatility of 26.6%, a correlation of 0.525, a peer median correlation of 0.547 and an interest rate of 4.3%. Amounts were also discounted to consider that dividend equivalents that accrue during the vesting period are not paid out until the underlying shares vest. The following are the values of the PSUs granted in 2024 as of their grant date assuming attainment of the maximum level of performance:</w:t>
      </w:r>
    </w:p>
    <w:p>
      <w:pPr>
        <w:spacing w:after="0" w:line="245" w:lineRule="exact"/>
        <w:rPr>
          <w:sz w:val="20"/>
          <w:szCs w:val="20"/>
          <w:color w:val="auto"/>
        </w:rPr>
      </w:pPr>
    </w:p>
    <w:p>
      <w:pPr>
        <w:ind w:left="400" w:hanging="392"/>
        <w:spacing w:after="0"/>
        <w:tabs>
          <w:tab w:leader="none" w:pos="400" w:val="left"/>
        </w:tabs>
        <w:numPr>
          <w:ilvl w:val="0"/>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2" w:lineRule="exact"/>
        <w:rPr>
          <w:sz w:val="20"/>
          <w:szCs w:val="20"/>
          <w:color w:val="auto"/>
        </w:rPr>
      </w:pPr>
    </w:p>
    <w:p>
      <w:pPr>
        <w:ind w:left="320" w:right="40"/>
        <w:spacing w:after="0" w:line="236" w:lineRule="auto"/>
        <w:rPr>
          <w:sz w:val="20"/>
          <w:szCs w:val="20"/>
          <w:color w:val="auto"/>
        </w:rPr>
      </w:pPr>
      <w:r>
        <w:rPr>
          <w:rFonts w:ascii="Arial" w:cs="Arial" w:eastAsia="Arial" w:hAnsi="Arial"/>
          <w:sz w:val="15"/>
          <w:szCs w:val="15"/>
          <w:color w:val="auto"/>
        </w:rPr>
        <w:t>Mr. Roberts ($44,777,744), Mr. Cavanagh ($34,069,926), Mr. Armstrong ($16,548,345), Mr. Reid ($13,336,444) and Ms. Khoury ($ 2,920,819). See also “Compensation Discussion and Analysis – Compensation Decisions – Equity-Based Compensation” for the target PSU values that the Compensation Committee approved for 2024, which are lower than the amounts required to be reported in this table. For information on valuation assumptions with respect to grants made before 2024, refer to the footnotes in the “Summary Compensation Table” in our definitive proxy statements filed with the SEC in 2023 and 2024. See the “Grants of Plan-Based Awards” table below for additional information on PSUs granted in 2024.</w:t>
      </w:r>
    </w:p>
    <w:p>
      <w:pPr>
        <w:spacing w:after="0" w:line="29" w:lineRule="exact"/>
        <w:rPr>
          <w:sz w:val="20"/>
          <w:szCs w:val="20"/>
          <w:color w:val="auto"/>
        </w:rPr>
      </w:pPr>
    </w:p>
    <w:p>
      <w:pPr>
        <w:ind w:left="320" w:hanging="312"/>
        <w:spacing w:after="0" w:line="234" w:lineRule="auto"/>
        <w:tabs>
          <w:tab w:leader="none" w:pos="320" w:val="left"/>
        </w:tabs>
        <w:numPr>
          <w:ilvl w:val="0"/>
          <w:numId w:val="78"/>
        </w:numPr>
        <w:rPr>
          <w:rFonts w:ascii="Arial" w:cs="Arial" w:eastAsia="Arial" w:hAnsi="Arial"/>
          <w:sz w:val="13"/>
          <w:szCs w:val="13"/>
          <w:color w:val="auto"/>
        </w:rPr>
      </w:pPr>
      <w:r>
        <w:rPr>
          <w:rFonts w:ascii="Arial" w:cs="Arial" w:eastAsia="Arial" w:hAnsi="Arial"/>
          <w:sz w:val="15"/>
          <w:szCs w:val="15"/>
          <w:color w:val="auto"/>
        </w:rPr>
        <w:t>Amounts represent the aggregate grant date fair value of stock options granted to the NEOs in accordance with FASB ASC Topic 718. Under SEC rules, the amounts shown exclude the impact of estimated forfeitures. These amounts, which do not correspond to the actual values that may be realized by the NEOs, were calculated using the Black-Scholes option pricing model, based upon the following valuation assumptions for options granted in March 2024 to our NEOs for their annual option awards: an expected volatility of 24.7%, an expected term to exercise of 5.8 years, an interest rate of 4.2% and a dividend yield of 2.9%. For information on valuation assumptions with respect to grants made before 2024, refer to the footnotes in the “Summary Compensation Table” in our definitive proxy statements filed with the SEC in 2023 and 2024. See the “Grants of Plan-Based Awards” table below for additional information on options granted in 2024.</w:t>
      </w:r>
    </w:p>
    <w:p>
      <w:pPr>
        <w:spacing w:after="0" w:line="97" w:lineRule="exact"/>
        <w:rPr>
          <w:rFonts w:ascii="Arial" w:cs="Arial" w:eastAsia="Arial" w:hAnsi="Arial"/>
          <w:sz w:val="13"/>
          <w:szCs w:val="13"/>
          <w:color w:val="auto"/>
        </w:rPr>
      </w:pPr>
    </w:p>
    <w:p>
      <w:pPr>
        <w:ind w:left="320" w:right="360" w:hanging="312"/>
        <w:spacing w:after="0" w:line="264" w:lineRule="auto"/>
        <w:tabs>
          <w:tab w:leader="none" w:pos="320" w:val="left"/>
        </w:tabs>
        <w:numPr>
          <w:ilvl w:val="0"/>
          <w:numId w:val="78"/>
        </w:numPr>
        <w:rPr>
          <w:rFonts w:ascii="Arial" w:cs="Arial" w:eastAsia="Arial" w:hAnsi="Arial"/>
          <w:sz w:val="13"/>
          <w:szCs w:val="13"/>
          <w:color w:val="auto"/>
        </w:rPr>
      </w:pPr>
      <w:r>
        <w:rPr>
          <w:rFonts w:ascii="Arial" w:cs="Arial" w:eastAsia="Arial" w:hAnsi="Arial"/>
          <w:sz w:val="15"/>
          <w:szCs w:val="15"/>
          <w:color w:val="auto"/>
        </w:rPr>
        <w:t>Amounts represent annual performance-based bonuses. See the “Grants of Plan-Based Awards” table below and “Compensation Discussion and Analysis – Compensation Decisions – Annual Cash Bonus” above for additional information on these bonuses and the achievement of specified metrics in 2024.</w:t>
      </w:r>
    </w:p>
    <w:p>
      <w:pPr>
        <w:spacing w:after="0" w:line="79" w:lineRule="exact"/>
        <w:rPr>
          <w:rFonts w:ascii="Arial" w:cs="Arial" w:eastAsia="Arial" w:hAnsi="Arial"/>
          <w:sz w:val="13"/>
          <w:szCs w:val="13"/>
          <w:color w:val="auto"/>
        </w:rPr>
      </w:pPr>
    </w:p>
    <w:p>
      <w:pPr>
        <w:ind w:left="320" w:right="300" w:hanging="312"/>
        <w:spacing w:after="0" w:line="264" w:lineRule="auto"/>
        <w:tabs>
          <w:tab w:leader="none" w:pos="320" w:val="left"/>
        </w:tabs>
        <w:numPr>
          <w:ilvl w:val="0"/>
          <w:numId w:val="78"/>
        </w:numPr>
        <w:rPr>
          <w:rFonts w:ascii="Arial" w:cs="Arial" w:eastAsia="Arial" w:hAnsi="Arial"/>
          <w:sz w:val="13"/>
          <w:szCs w:val="13"/>
          <w:color w:val="auto"/>
        </w:rPr>
      </w:pPr>
      <w:r>
        <w:rPr>
          <w:rFonts w:ascii="Arial" w:cs="Arial" w:eastAsia="Arial" w:hAnsi="Arial"/>
          <w:sz w:val="15"/>
          <w:szCs w:val="15"/>
          <w:color w:val="auto"/>
        </w:rPr>
        <w:t>Amounts for 2024 include: (a) Company contributions to our retirement-investment plan accounts in the amount of $10,000 for each NEO and (b) amounts on account of personal use of Company-provided aircraft (Mr. Roberts, $190,483 and Mr. Cavanagh, $245,162).</w:t>
      </w:r>
    </w:p>
    <w:p>
      <w:pPr>
        <w:spacing w:after="0" w:line="79" w:lineRule="exact"/>
        <w:rPr>
          <w:rFonts w:ascii="Arial" w:cs="Arial" w:eastAsia="Arial" w:hAnsi="Arial"/>
          <w:sz w:val="13"/>
          <w:szCs w:val="13"/>
          <w:color w:val="auto"/>
        </w:rPr>
      </w:pPr>
    </w:p>
    <w:p>
      <w:pPr>
        <w:ind w:left="320" w:right="80"/>
        <w:spacing w:after="0" w:line="244" w:lineRule="auto"/>
        <w:rPr>
          <w:rFonts w:ascii="Arial" w:cs="Arial" w:eastAsia="Arial" w:hAnsi="Arial"/>
          <w:sz w:val="13"/>
          <w:szCs w:val="13"/>
          <w:color w:val="auto"/>
        </w:rPr>
      </w:pPr>
      <w:r>
        <w:rPr>
          <w:rFonts w:ascii="Arial" w:cs="Arial" w:eastAsia="Arial" w:hAnsi="Arial"/>
          <w:sz w:val="15"/>
          <w:szCs w:val="15"/>
          <w:color w:val="auto"/>
        </w:rPr>
        <w:t>For security and business reasons, Company practices and policy strongly encourage, and in some cases may require, Mr. Roberts to use Company-provided aircraft for business and personal travel. Our other NEOs also have access to Company-provided aircraft for personal travel, as it affords all of our NEOs greater security, allows travel time to be used productively and enables them to be immediately available to respond to business priorities from any location.</w:t>
      </w:r>
    </w:p>
    <w:p>
      <w:pPr>
        <w:spacing w:after="0" w:line="94" w:lineRule="exact"/>
        <w:rPr>
          <w:rFonts w:ascii="Arial" w:cs="Arial" w:eastAsia="Arial" w:hAnsi="Arial"/>
          <w:sz w:val="13"/>
          <w:szCs w:val="13"/>
          <w:color w:val="auto"/>
        </w:rPr>
      </w:pPr>
    </w:p>
    <w:p>
      <w:pPr>
        <w:ind w:left="320"/>
        <w:spacing w:after="0" w:line="234" w:lineRule="auto"/>
        <w:rPr>
          <w:rFonts w:ascii="Arial" w:cs="Arial" w:eastAsia="Arial" w:hAnsi="Arial"/>
          <w:sz w:val="13"/>
          <w:szCs w:val="13"/>
          <w:color w:val="auto"/>
        </w:rPr>
      </w:pPr>
      <w:r>
        <w:rPr>
          <w:rFonts w:ascii="Arial" w:cs="Arial" w:eastAsia="Arial" w:hAnsi="Arial"/>
          <w:sz w:val="15"/>
          <w:szCs w:val="15"/>
          <w:color w:val="auto"/>
        </w:rPr>
        <w:t>Our policy allows an NEO to bring guests, such as family members, on flights on Company-provided aircraft. The NEOs are required to pay us for personal use of Company-provided aircraft in amounts determined by Company policy. The NEOs are imputed income for costs related to use of Company-provided aircraft when required under Internal Revenue Code guidelines. We do not reimburse the NEOs for any taxes incurred as a result of imputed income. In addition, the Internal Revenue Code limits the amount that we can deduct for the personal use of Company-provided aircraft to the amount recognized as income by our executives who use the aircraft; the amounts in the table above do not include our 2024 disallowed tax deduction of $5.9 million resulting from the personal use of Company-provided aircraft by our NEOs and any guests.</w:t>
      </w:r>
    </w:p>
    <w:p>
      <w:pPr>
        <w:spacing w:after="0" w:line="97" w:lineRule="exact"/>
        <w:rPr>
          <w:rFonts w:ascii="Arial" w:cs="Arial" w:eastAsia="Arial" w:hAnsi="Arial"/>
          <w:sz w:val="13"/>
          <w:szCs w:val="13"/>
          <w:color w:val="auto"/>
        </w:rPr>
      </w:pPr>
    </w:p>
    <w:p>
      <w:pPr>
        <w:ind w:left="320"/>
        <w:spacing w:after="0" w:line="231" w:lineRule="auto"/>
        <w:rPr>
          <w:rFonts w:ascii="Arial" w:cs="Arial" w:eastAsia="Arial" w:hAnsi="Arial"/>
          <w:sz w:val="13"/>
          <w:szCs w:val="13"/>
          <w:color w:val="auto"/>
        </w:rPr>
      </w:pPr>
      <w:r>
        <w:rPr>
          <w:rFonts w:ascii="Arial" w:cs="Arial" w:eastAsia="Arial" w:hAnsi="Arial"/>
          <w:sz w:val="15"/>
          <w:szCs w:val="15"/>
          <w:color w:val="auto"/>
        </w:rPr>
        <w:t>The amounts reflected for each NEO on account of personal use of Company-provided aircraft indicate the extent to which the incremental cost of such use exceeds the amount paid to us by the NEO. The aggregate incremental cost for a personal flight on a charter plane is the cost of the flight as charged to us by the charter company. The aggregate incremental cost for a personal flight taken on a third party-owned plane that is serviced by us includes all variable costs attributable to that flight (including for repositioning flights), such as fuel, trip and allocable maintenance expenses and third-party lease payments. The aggregate incremental cost for a personal flight on a Company plane is based on an allocable portion of variable costs for the year, such as fuel, maintenance and other trip expenses (including for repositioning flights). These methodologies exclude fixed costs, as these costs do not change based on usage. Our NEOs have access to a Company-provided car for personal travel, but they have fully reimbursed the Company for the incremental costs associated with such use in accordance with our policy. Our NEOs also have access to IT support services, although there is no additional incremental cost to us. In addition, while guests of our NEOs were permitted to accompany them on travel related to business events, we have been reimbursed for the incremental costs associated with such travel.</w:t>
      </w:r>
    </w:p>
    <w:p>
      <w:pPr>
        <w:spacing w:after="0" w:line="98" w:lineRule="exact"/>
        <w:rPr>
          <w:rFonts w:ascii="Arial" w:cs="Arial" w:eastAsia="Arial" w:hAnsi="Arial"/>
          <w:sz w:val="13"/>
          <w:szCs w:val="13"/>
          <w:color w:val="auto"/>
        </w:rPr>
      </w:pPr>
    </w:p>
    <w:p>
      <w:pPr>
        <w:ind w:left="320"/>
        <w:spacing w:after="0"/>
        <w:rPr>
          <w:rFonts w:ascii="Arial" w:cs="Arial" w:eastAsia="Arial" w:hAnsi="Arial"/>
          <w:sz w:val="13"/>
          <w:szCs w:val="13"/>
          <w:color w:val="auto"/>
        </w:rPr>
      </w:pPr>
      <w:r>
        <w:rPr>
          <w:rFonts w:ascii="Arial" w:cs="Arial" w:eastAsia="Arial" w:hAnsi="Arial"/>
          <w:sz w:val="15"/>
          <w:szCs w:val="15"/>
          <w:color w:val="auto"/>
        </w:rPr>
        <w:t>For all other benefits that would otherwise be considered perquisites, our NEOs are required to fully reimburse us for such benefits in accordance with our policy.</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rPr>
        <w:t>Grants of Plan-Based Awards</w:t>
      </w:r>
    </w:p>
    <w:p>
      <w:pPr>
        <w:spacing w:after="0" w:line="226" w:lineRule="exact"/>
        <w:rPr>
          <w:sz w:val="20"/>
          <w:szCs w:val="20"/>
          <w:color w:val="auto"/>
        </w:rPr>
      </w:pPr>
    </w:p>
    <w:p>
      <w:pPr>
        <w:ind w:right="240"/>
        <w:spacing w:after="0" w:line="239" w:lineRule="auto"/>
        <w:rPr>
          <w:sz w:val="20"/>
          <w:szCs w:val="20"/>
          <w:color w:val="auto"/>
        </w:rPr>
      </w:pPr>
      <w:r>
        <w:rPr>
          <w:rFonts w:ascii="Arial" w:cs="Arial" w:eastAsia="Arial" w:hAnsi="Arial"/>
          <w:sz w:val="17"/>
          <w:szCs w:val="17"/>
          <w:color w:val="auto"/>
        </w:rPr>
        <w:t>The table below provides information about equity and non-equity awards granted to our NEOs in 2024 as follows: (1) the grant date for equity awards and the date the grant of such awards was approved by the Compensation Committee; (2) the estimated future payouts under non-equity incentive plan awards (columns (a), (b) and (c)); (3) the estimated future payouts under equity incentive plan awards, which consist of PSUs (columns (d), (e) and (f)); (4) option awards, which consist of the number of shares underlying stock options (column (g)); (5) the exercise price of the stock option awards, which reflects the closing price of our Class A common stock on the date of grant (column (h)); and (6) the grant date fair value of each equity award computed in accordance with FASB ASC Topic 718 (column (i)).</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41</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b w:val="1"/>
                <w:bCs w:val="1"/>
                <w:color w:val="auto"/>
              </w:rPr>
              <w:t>ALL OTHER</w:t>
            </w:r>
          </w:p>
        </w:tc>
        <w:tc>
          <w:tcPr>
            <w:tcW w:w="680" w:type="dxa"/>
            <w:vAlign w:val="bottom"/>
          </w:tcPr>
          <w:p>
            <w:pPr>
              <w:spacing w:after="0"/>
              <w:rPr>
                <w:sz w:val="12"/>
                <w:szCs w:val="12"/>
                <w:color w:val="auto"/>
              </w:rPr>
            </w:pPr>
          </w:p>
        </w:tc>
        <w:tc>
          <w:tcPr>
            <w:tcW w:w="840" w:type="dxa"/>
            <w:vAlign w:val="bottom"/>
          </w:tcPr>
          <w:p>
            <w:pPr>
              <w:jc w:val="right"/>
              <w:ind w:right="21"/>
              <w:spacing w:after="0"/>
              <w:rPr>
                <w:sz w:val="20"/>
                <w:szCs w:val="20"/>
                <w:color w:val="auto"/>
              </w:rPr>
            </w:pPr>
            <w:r>
              <w:rPr>
                <w:rFonts w:ascii="Arial" w:cs="Arial" w:eastAsia="Arial" w:hAnsi="Arial"/>
                <w:sz w:val="12"/>
                <w:szCs w:val="12"/>
                <w:b w:val="1"/>
                <w:bCs w:val="1"/>
                <w:color w:val="auto"/>
              </w:rPr>
              <w:t>GRANT</w:t>
            </w: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160" w:type="dxa"/>
            <w:vAlign w:val="bottom"/>
            <w:gridSpan w:val="4"/>
            <w:vMerge w:val="restart"/>
          </w:tcPr>
          <w:p>
            <w:pPr>
              <w:ind w:left="180"/>
              <w:spacing w:after="0"/>
              <w:rPr>
                <w:sz w:val="20"/>
                <w:szCs w:val="20"/>
                <w:color w:val="auto"/>
              </w:rPr>
            </w:pPr>
            <w:r>
              <w:rPr>
                <w:rFonts w:ascii="Arial" w:cs="Arial" w:eastAsia="Arial" w:hAnsi="Arial"/>
                <w:sz w:val="12"/>
                <w:szCs w:val="12"/>
                <w:b w:val="1"/>
                <w:bCs w:val="1"/>
                <w:color w:val="auto"/>
              </w:rPr>
              <w:t>ESTIMATED FUTURE PAYOUTS</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right"/>
              <w:ind w:right="41"/>
              <w:spacing w:after="0" w:line="135" w:lineRule="exact"/>
              <w:rPr>
                <w:sz w:val="20"/>
                <w:szCs w:val="20"/>
                <w:color w:val="auto"/>
              </w:rPr>
            </w:pPr>
            <w:r>
              <w:rPr>
                <w:rFonts w:ascii="Arial" w:cs="Arial" w:eastAsia="Arial" w:hAnsi="Arial"/>
                <w:sz w:val="12"/>
                <w:szCs w:val="12"/>
                <w:b w:val="1"/>
                <w:bCs w:val="1"/>
                <w:color w:val="auto"/>
              </w:rPr>
              <w:t>OPTION</w:t>
            </w:r>
          </w:p>
        </w:tc>
        <w:tc>
          <w:tcPr>
            <w:tcW w:w="6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EXERCISE</w:t>
            </w:r>
          </w:p>
        </w:tc>
        <w:tc>
          <w:tcPr>
            <w:tcW w:w="840" w:type="dxa"/>
            <w:vAlign w:val="bottom"/>
          </w:tcPr>
          <w:p>
            <w:pPr>
              <w:jc w:val="right"/>
              <w:ind w:right="21"/>
              <w:spacing w:after="0" w:line="135" w:lineRule="exact"/>
              <w:rPr>
                <w:sz w:val="20"/>
                <w:szCs w:val="20"/>
                <w:color w:val="auto"/>
              </w:rPr>
            </w:pPr>
            <w:r>
              <w:rPr>
                <w:rFonts w:ascii="Arial" w:cs="Arial" w:eastAsia="Arial" w:hAnsi="Arial"/>
                <w:sz w:val="12"/>
                <w:szCs w:val="12"/>
                <w:b w:val="1"/>
                <w:bCs w:val="1"/>
                <w:color w:val="auto"/>
              </w:rPr>
              <w:t>DATE</w:t>
            </w:r>
          </w:p>
        </w:tc>
        <w:tc>
          <w:tcPr>
            <w:tcW w:w="0" w:type="dxa"/>
            <w:vAlign w:val="bottom"/>
          </w:tcPr>
          <w:p>
            <w:pPr>
              <w:spacing w:after="0"/>
              <w:rPr>
                <w:sz w:val="1"/>
                <w:szCs w:val="1"/>
                <w:color w:val="auto"/>
              </w:rPr>
            </w:pPr>
          </w:p>
        </w:tc>
      </w:tr>
      <w:tr>
        <w:trPr>
          <w:trHeight w:val="50"/>
        </w:trPr>
        <w:tc>
          <w:tcPr>
            <w:tcW w:w="3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60" w:type="dxa"/>
            <w:vAlign w:val="bottom"/>
            <w:gridSpan w:val="4"/>
            <w:vMerge w:val="continue"/>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AWARDS:</w:t>
            </w:r>
          </w:p>
        </w:tc>
        <w:tc>
          <w:tcPr>
            <w:tcW w:w="680" w:type="dxa"/>
            <w:vAlign w:val="bottom"/>
            <w:vMerge w:val="continue"/>
          </w:tcPr>
          <w:p>
            <w:pPr>
              <w:spacing w:after="0"/>
              <w:rPr>
                <w:sz w:val="4"/>
                <w:szCs w:val="4"/>
                <w:color w:val="auto"/>
              </w:rPr>
            </w:pPr>
          </w:p>
        </w:tc>
        <w:tc>
          <w:tcPr>
            <w:tcW w:w="840" w:type="dxa"/>
            <w:vAlign w:val="bottom"/>
            <w:vMerge w:val="restart"/>
          </w:tcPr>
          <w:p>
            <w:pPr>
              <w:jc w:val="right"/>
              <w:ind w:right="21"/>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1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 NON-EQUITY INCENTIVE</w:t>
            </w:r>
          </w:p>
        </w:tc>
        <w:tc>
          <w:tcPr>
            <w:tcW w:w="1980" w:type="dxa"/>
            <w:vAlign w:val="bottom"/>
            <w:gridSpan w:val="5"/>
          </w:tcPr>
          <w:p>
            <w:pPr>
              <w:jc w:val="right"/>
              <w:ind w:right="140"/>
              <w:spacing w:after="0" w:line="135" w:lineRule="exact"/>
              <w:rPr>
                <w:sz w:val="20"/>
                <w:szCs w:val="20"/>
                <w:color w:val="auto"/>
              </w:rPr>
            </w:pPr>
            <w:r>
              <w:rPr>
                <w:rFonts w:ascii="Arial" w:cs="Arial" w:eastAsia="Arial" w:hAnsi="Arial"/>
                <w:sz w:val="12"/>
                <w:szCs w:val="12"/>
                <w:b w:val="1"/>
                <w:bCs w:val="1"/>
                <w:color w:val="auto"/>
                <w:w w:val="99"/>
              </w:rPr>
              <w:t>ESTIMATED FUTURE PAYOUTS</w:t>
            </w:r>
          </w:p>
        </w:tc>
        <w:tc>
          <w:tcPr>
            <w:tcW w:w="860" w:type="dxa"/>
            <w:vAlign w:val="bottom"/>
            <w:vMerge w:val="continue"/>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OR BASE</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3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PLAN AWARDS</w:t>
            </w:r>
          </w:p>
        </w:tc>
        <w:tc>
          <w:tcPr>
            <w:tcW w:w="680" w:type="dxa"/>
            <w:vAlign w:val="bottom"/>
            <w:vMerge w:val="restart"/>
          </w:tcPr>
          <w:p>
            <w:pPr>
              <w:jc w:val="right"/>
              <w:ind w:right="500"/>
              <w:spacing w:after="0"/>
              <w:rPr>
                <w:sz w:val="20"/>
                <w:szCs w:val="20"/>
                <w:color w:val="auto"/>
              </w:rPr>
            </w:pPr>
            <w:r>
              <w:rPr>
                <w:rFonts w:ascii="Arial" w:cs="Arial" w:eastAsia="Arial" w:hAnsi="Arial"/>
                <w:sz w:val="10"/>
                <w:szCs w:val="10"/>
                <w:b w:val="1"/>
                <w:bCs w:val="1"/>
                <w:color w:val="auto"/>
                <w:w w:val="81"/>
              </w:rPr>
              <w:t>(1)</w:t>
            </w:r>
          </w:p>
        </w:tc>
        <w:tc>
          <w:tcPr>
            <w:tcW w:w="60" w:type="dxa"/>
            <w:vAlign w:val="bottom"/>
          </w:tcPr>
          <w:p>
            <w:pPr>
              <w:spacing w:after="0"/>
              <w:rPr>
                <w:sz w:val="7"/>
                <w:szCs w:val="7"/>
                <w:color w:val="auto"/>
              </w:rPr>
            </w:pPr>
          </w:p>
        </w:tc>
        <w:tc>
          <w:tcPr>
            <w:tcW w:w="1980" w:type="dxa"/>
            <w:vAlign w:val="bottom"/>
            <w:gridSpan w:val="5"/>
            <w:vMerge w:val="restart"/>
          </w:tcPr>
          <w:p>
            <w:pPr>
              <w:jc w:val="right"/>
              <w:ind w:right="60"/>
              <w:spacing w:after="0" w:line="135" w:lineRule="exact"/>
              <w:rPr>
                <w:sz w:val="20"/>
                <w:szCs w:val="20"/>
                <w:color w:val="auto"/>
              </w:rPr>
            </w:pPr>
            <w:r>
              <w:rPr>
                <w:rFonts w:ascii="Arial" w:cs="Arial" w:eastAsia="Arial" w:hAnsi="Arial"/>
                <w:sz w:val="12"/>
                <w:szCs w:val="12"/>
                <w:b w:val="1"/>
                <w:bCs w:val="1"/>
                <w:color w:val="auto"/>
                <w:w w:val="97"/>
              </w:rPr>
              <w:t>UNDER EQUITY INCENTIVE PLAN</w:t>
            </w:r>
          </w:p>
        </w:tc>
        <w:tc>
          <w:tcPr>
            <w:tcW w:w="860" w:type="dxa"/>
            <w:vAlign w:val="bottom"/>
          </w:tcPr>
          <w:p>
            <w:pPr>
              <w:jc w:val="right"/>
              <w:ind w:right="1"/>
              <w:spacing w:after="0" w:line="85" w:lineRule="exact"/>
              <w:rPr>
                <w:sz w:val="20"/>
                <w:szCs w:val="20"/>
                <w:color w:val="auto"/>
              </w:rPr>
            </w:pPr>
            <w:r>
              <w:rPr>
                <w:rFonts w:ascii="Arial" w:cs="Arial" w:eastAsia="Arial" w:hAnsi="Arial"/>
                <w:sz w:val="9"/>
                <w:szCs w:val="9"/>
                <w:b w:val="1"/>
                <w:bCs w:val="1"/>
                <w:color w:val="auto"/>
              </w:rPr>
              <w:t>NUMBER OF</w:t>
            </w:r>
          </w:p>
        </w:tc>
        <w:tc>
          <w:tcPr>
            <w:tcW w:w="680" w:type="dxa"/>
            <w:vAlign w:val="bottom"/>
            <w:vMerge w:val="restart"/>
          </w:tcPr>
          <w:p>
            <w:pPr>
              <w:jc w:val="right"/>
              <w:spacing w:after="0" w:line="135"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jc w:val="right"/>
              <w:ind w:right="21"/>
              <w:spacing w:after="0" w:line="85" w:lineRule="exact"/>
              <w:rPr>
                <w:sz w:val="20"/>
                <w:szCs w:val="20"/>
                <w:color w:val="auto"/>
              </w:rPr>
            </w:pPr>
            <w:r>
              <w:rPr>
                <w:rFonts w:ascii="Arial" w:cs="Arial" w:eastAsia="Arial" w:hAnsi="Arial"/>
                <w:sz w:val="9"/>
                <w:szCs w:val="9"/>
                <w:b w:val="1"/>
                <w:bCs w:val="1"/>
                <w:color w:val="auto"/>
              </w:rPr>
              <w:t>OF STOCK</w:t>
            </w:r>
          </w:p>
        </w:tc>
        <w:tc>
          <w:tcPr>
            <w:tcW w:w="0" w:type="dxa"/>
            <w:vAlign w:val="bottom"/>
          </w:tcPr>
          <w:p>
            <w:pPr>
              <w:spacing w:after="0"/>
              <w:rPr>
                <w:sz w:val="1"/>
                <w:szCs w:val="1"/>
                <w:color w:val="auto"/>
              </w:rPr>
            </w:pPr>
          </w:p>
        </w:tc>
      </w:tr>
      <w:tr>
        <w:trPr>
          <w:trHeight w:val="50"/>
        </w:trPr>
        <w:tc>
          <w:tcPr>
            <w:tcW w:w="3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980" w:type="dxa"/>
            <w:vAlign w:val="bottom"/>
            <w:gridSpan w:val="5"/>
            <w:vMerge w:val="continue"/>
          </w:tcPr>
          <w:p>
            <w:pPr>
              <w:spacing w:after="0"/>
              <w:rPr>
                <w:sz w:val="4"/>
                <w:szCs w:val="4"/>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SECURITIES</w:t>
            </w:r>
          </w:p>
        </w:tc>
        <w:tc>
          <w:tcPr>
            <w:tcW w:w="680" w:type="dxa"/>
            <w:vAlign w:val="bottom"/>
            <w:vMerge w:val="continue"/>
          </w:tcPr>
          <w:p>
            <w:pPr>
              <w:spacing w:after="0"/>
              <w:rPr>
                <w:sz w:val="4"/>
                <w:szCs w:val="4"/>
                <w:color w:val="auto"/>
              </w:rPr>
            </w:pPr>
          </w:p>
        </w:tc>
        <w:tc>
          <w:tcPr>
            <w:tcW w:w="840" w:type="dxa"/>
            <w:vAlign w:val="bottom"/>
            <w:vMerge w:val="restart"/>
          </w:tcPr>
          <w:p>
            <w:pPr>
              <w:jc w:val="right"/>
              <w:ind w:right="21"/>
              <w:spacing w:after="0"/>
              <w:rPr>
                <w:sz w:val="20"/>
                <w:szCs w:val="20"/>
                <w:color w:val="auto"/>
              </w:rPr>
            </w:pPr>
            <w:r>
              <w:rPr>
                <w:rFonts w:ascii="Arial" w:cs="Arial" w:eastAsia="Arial" w:hAnsi="Arial"/>
                <w:sz w:val="12"/>
                <w:szCs w:val="12"/>
                <w:b w:val="1"/>
                <w:bCs w:val="1"/>
                <w:color w:val="auto"/>
                <w:w w:val="98"/>
              </w:rPr>
              <w:t>AND OPTION</w:t>
            </w: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2"/>
            <w:vMerge w:val="restart"/>
          </w:tcPr>
          <w:p>
            <w:pPr>
              <w:ind w:left="660"/>
              <w:spacing w:after="0"/>
              <w:rPr>
                <w:sz w:val="20"/>
                <w:szCs w:val="20"/>
                <w:color w:val="auto"/>
              </w:rPr>
            </w:pPr>
            <w:r>
              <w:rPr>
                <w:rFonts w:ascii="Arial" w:cs="Arial" w:eastAsia="Arial" w:hAnsi="Arial"/>
                <w:sz w:val="12"/>
                <w:szCs w:val="12"/>
                <w:b w:val="1"/>
                <w:bCs w:val="1"/>
                <w:color w:val="auto"/>
                <w:w w:val="88"/>
              </w:rPr>
              <w:t>AWARDS</w:t>
            </w:r>
          </w:p>
        </w:tc>
        <w:tc>
          <w:tcPr>
            <w:tcW w:w="160" w:type="dxa"/>
            <w:vAlign w:val="bottom"/>
          </w:tcPr>
          <w:p>
            <w:pPr>
              <w:jc w:val="right"/>
              <w:spacing w:after="0" w:line="108" w:lineRule="exact"/>
              <w:rPr>
                <w:sz w:val="20"/>
                <w:szCs w:val="20"/>
                <w:color w:val="auto"/>
              </w:rPr>
            </w:pPr>
            <w:r>
              <w:rPr>
                <w:rFonts w:ascii="Arial" w:cs="Arial" w:eastAsia="Arial" w:hAnsi="Arial"/>
                <w:sz w:val="10"/>
                <w:szCs w:val="10"/>
                <w:b w:val="1"/>
                <w:bCs w:val="1"/>
                <w:color w:val="auto"/>
                <w:w w:val="81"/>
              </w:rPr>
              <w:t>(2)</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2"/>
                <w:szCs w:val="12"/>
                <w:b w:val="1"/>
                <w:bCs w:val="1"/>
                <w:color w:val="auto"/>
              </w:rPr>
              <w:t>OPTION</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39"/>
              <w:spacing w:after="0" w:line="102" w:lineRule="exact"/>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Borders>
              <w:bottom w:val="single" w:sz="8" w:color="auto"/>
            </w:tcBorders>
            <w:gridSpan w:val="2"/>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jc w:val="right"/>
              <w:ind w:right="1"/>
              <w:spacing w:after="0" w:line="115" w:lineRule="exact"/>
              <w:rPr>
                <w:sz w:val="20"/>
                <w:szCs w:val="20"/>
                <w:color w:val="auto"/>
              </w:rPr>
            </w:pPr>
            <w:r>
              <w:rPr>
                <w:rFonts w:ascii="Arial" w:cs="Arial" w:eastAsia="Arial" w:hAnsi="Arial"/>
                <w:sz w:val="12"/>
                <w:szCs w:val="12"/>
                <w:b w:val="1"/>
                <w:bCs w:val="1"/>
                <w:color w:val="auto"/>
                <w:w w:val="98"/>
              </w:rPr>
              <w:t>UNDERLYING</w:t>
            </w:r>
          </w:p>
        </w:tc>
        <w:tc>
          <w:tcPr>
            <w:tcW w:w="680" w:type="dxa"/>
            <w:vAlign w:val="bottom"/>
          </w:tcPr>
          <w:p>
            <w:pPr>
              <w:jc w:val="right"/>
              <w:spacing w:after="0" w:line="115" w:lineRule="exact"/>
              <w:rPr>
                <w:sz w:val="20"/>
                <w:szCs w:val="20"/>
                <w:color w:val="auto"/>
              </w:rPr>
            </w:pPr>
            <w:r>
              <w:rPr>
                <w:rFonts w:ascii="Arial" w:cs="Arial" w:eastAsia="Arial" w:hAnsi="Arial"/>
                <w:sz w:val="12"/>
                <w:szCs w:val="12"/>
                <w:b w:val="1"/>
                <w:bCs w:val="1"/>
                <w:color w:val="auto"/>
              </w:rPr>
              <w:t>AWARDS</w:t>
            </w:r>
          </w:p>
        </w:tc>
        <w:tc>
          <w:tcPr>
            <w:tcW w:w="840" w:type="dxa"/>
            <w:vAlign w:val="bottom"/>
          </w:tcPr>
          <w:p>
            <w:pPr>
              <w:jc w:val="right"/>
              <w:ind w:right="21"/>
              <w:spacing w:after="0" w:line="115" w:lineRule="exact"/>
              <w:rPr>
                <w:sz w:val="20"/>
                <w:szCs w:val="20"/>
                <w:color w:val="auto"/>
              </w:rPr>
            </w:pPr>
            <w:r>
              <w:rPr>
                <w:rFonts w:ascii="Arial" w:cs="Arial" w:eastAsia="Arial" w:hAnsi="Arial"/>
                <w:sz w:val="9"/>
                <w:szCs w:val="9"/>
                <w:b w:val="1"/>
                <w:bCs w:val="1"/>
                <w:color w:val="auto"/>
              </w:rPr>
              <w:t>AWARDS</w:t>
            </w:r>
            <w:r>
              <w:rPr>
                <w:rFonts w:ascii="Arial" w:cs="Arial" w:eastAsia="Arial" w:hAnsi="Arial"/>
                <w:sz w:val="13"/>
                <w:szCs w:val="13"/>
                <w:b w:val="1"/>
                <w:bCs w:val="1"/>
                <w:color w:val="auto"/>
                <w:vertAlign w:val="superscript"/>
              </w:rPr>
              <w:t>(4)</w:t>
            </w:r>
          </w:p>
        </w:tc>
        <w:tc>
          <w:tcPr>
            <w:tcW w:w="0" w:type="dxa"/>
            <w:vAlign w:val="bottom"/>
          </w:tcPr>
          <w:p>
            <w:pPr>
              <w:spacing w:after="0"/>
              <w:rPr>
                <w:sz w:val="1"/>
                <w:szCs w:val="1"/>
                <w:color w:val="auto"/>
              </w:rPr>
            </w:pPr>
          </w:p>
        </w:tc>
      </w:tr>
      <w:tr>
        <w:trPr>
          <w:trHeight w:val="146"/>
        </w:trPr>
        <w:tc>
          <w:tcPr>
            <w:tcW w:w="3440" w:type="dxa"/>
            <w:vAlign w:val="bottom"/>
          </w:tcPr>
          <w:p>
            <w:pPr>
              <w:spacing w:after="0"/>
              <w:rPr>
                <w:sz w:val="12"/>
                <w:szCs w:val="12"/>
                <w:color w:val="auto"/>
              </w:rPr>
            </w:pPr>
          </w:p>
        </w:tc>
        <w:tc>
          <w:tcPr>
            <w:tcW w:w="2060" w:type="dxa"/>
            <w:vAlign w:val="bottom"/>
            <w:gridSpan w:val="3"/>
          </w:tcPr>
          <w:p>
            <w:pPr>
              <w:jc w:val="right"/>
              <w:spacing w:after="0"/>
              <w:rPr>
                <w:sz w:val="20"/>
                <w:szCs w:val="20"/>
                <w:color w:val="auto"/>
              </w:rPr>
            </w:pPr>
            <w:r>
              <w:rPr>
                <w:rFonts w:ascii="Arial" w:cs="Arial" w:eastAsia="Arial" w:hAnsi="Arial"/>
                <w:sz w:val="12"/>
                <w:szCs w:val="12"/>
                <w:b w:val="1"/>
                <w:bCs w:val="1"/>
                <w:color w:val="auto"/>
              </w:rPr>
              <w:t>GRANT APPROVAL THRESHOLD</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TARGET</w:t>
            </w:r>
          </w:p>
        </w:tc>
        <w:tc>
          <w:tcPr>
            <w:tcW w:w="2060" w:type="dxa"/>
            <w:vAlign w:val="bottom"/>
            <w:gridSpan w:val="5"/>
          </w:tcPr>
          <w:p>
            <w:pPr>
              <w:jc w:val="right"/>
              <w:spacing w:after="0"/>
              <w:rPr>
                <w:sz w:val="20"/>
                <w:szCs w:val="20"/>
                <w:color w:val="auto"/>
              </w:rPr>
            </w:pPr>
            <w:r>
              <w:rPr>
                <w:rFonts w:ascii="Arial" w:cs="Arial" w:eastAsia="Arial" w:hAnsi="Arial"/>
                <w:sz w:val="12"/>
                <w:szCs w:val="12"/>
                <w:b w:val="1"/>
                <w:bCs w:val="1"/>
                <w:color w:val="auto"/>
              </w:rPr>
              <w:t>MAXIMUM THRESHOLD TARGET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MAXIMUM</w:t>
            </w:r>
          </w:p>
        </w:tc>
        <w:tc>
          <w:tcPr>
            <w:tcW w:w="860" w:type="dxa"/>
            <w:vAlign w:val="bottom"/>
          </w:tcPr>
          <w:p>
            <w:pPr>
              <w:jc w:val="right"/>
              <w:ind w:right="1"/>
              <w:spacing w:after="0" w:line="146" w:lineRule="exact"/>
              <w:rPr>
                <w:sz w:val="20"/>
                <w:szCs w:val="20"/>
                <w:color w:val="auto"/>
              </w:rPr>
            </w:pPr>
            <w:r>
              <w:rPr>
                <w:rFonts w:ascii="Arial" w:cs="Arial" w:eastAsia="Arial" w:hAnsi="Arial"/>
                <w:sz w:val="10"/>
                <w:szCs w:val="10"/>
                <w:b w:val="1"/>
                <w:bCs w:val="1"/>
                <w:color w:val="auto"/>
              </w:rPr>
              <w:t>OPTIONS</w:t>
            </w:r>
            <w:r>
              <w:rPr>
                <w:rFonts w:ascii="Arial" w:cs="Arial" w:eastAsia="Arial" w:hAnsi="Arial"/>
                <w:sz w:val="16"/>
                <w:szCs w:val="16"/>
                <w:b w:val="1"/>
                <w:bCs w:val="1"/>
                <w:color w:val="auto"/>
                <w:vertAlign w:val="superscript"/>
              </w:rPr>
              <w:t>(3)</w:t>
            </w: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40" w:type="dxa"/>
            <w:vAlign w:val="bottom"/>
          </w:tcPr>
          <w:p>
            <w:pPr>
              <w:jc w:val="right"/>
              <w:ind w:right="21"/>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66"/>
        </w:trPr>
        <w:tc>
          <w:tcPr>
            <w:tcW w:w="344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NAME</w:t>
            </w: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DATE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DATE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(b)</w:t>
            </w:r>
          </w:p>
        </w:tc>
        <w:tc>
          <w:tcPr>
            <w:tcW w:w="740" w:type="dxa"/>
            <w:vAlign w:val="bottom"/>
            <w:tcBorders>
              <w:bottom w:val="single" w:sz="8" w:color="auto"/>
            </w:tcBorders>
            <w:gridSpan w:val="2"/>
          </w:tcPr>
          <w:p>
            <w:pPr>
              <w:ind w:left="520"/>
              <w:spacing w:after="0"/>
              <w:rPr>
                <w:sz w:val="20"/>
                <w:szCs w:val="20"/>
                <w:color w:val="auto"/>
              </w:rPr>
            </w:pPr>
            <w:r>
              <w:rPr>
                <w:rFonts w:ascii="Arial" w:cs="Arial" w:eastAsia="Arial" w:hAnsi="Arial"/>
                <w:sz w:val="12"/>
                <w:szCs w:val="12"/>
                <w:b w:val="1"/>
                <w:bCs w:val="1"/>
                <w:color w:val="auto"/>
              </w:rPr>
              <w:t>(c)</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(e)</w:t>
            </w: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(f)</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(g)</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(h)</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(i)</w:t>
            </w:r>
          </w:p>
        </w:tc>
        <w:tc>
          <w:tcPr>
            <w:tcW w:w="0" w:type="dxa"/>
            <w:vAlign w:val="bottom"/>
          </w:tcPr>
          <w:p>
            <w:pPr>
              <w:spacing w:after="0"/>
              <w:rPr>
                <w:sz w:val="1"/>
                <w:szCs w:val="1"/>
                <w:color w:val="auto"/>
              </w:rPr>
            </w:pPr>
          </w:p>
        </w:tc>
      </w:tr>
      <w:tr>
        <w:trPr>
          <w:trHeight w:val="184"/>
        </w:trPr>
        <w:tc>
          <w:tcPr>
            <w:tcW w:w="3440" w:type="dxa"/>
            <w:vAlign w:val="bottom"/>
          </w:tcPr>
          <w:p>
            <w:pPr>
              <w:ind w:left="80"/>
              <w:spacing w:after="0"/>
              <w:rPr>
                <w:sz w:val="20"/>
                <w:szCs w:val="20"/>
                <w:color w:val="auto"/>
              </w:rPr>
            </w:pPr>
            <w:r>
              <w:rPr>
                <w:rFonts w:ascii="Arial" w:cs="Arial" w:eastAsia="Arial" w:hAnsi="Arial"/>
                <w:sz w:val="13"/>
                <w:szCs w:val="13"/>
                <w:b w:val="1"/>
                <w:bCs w:val="1"/>
                <w:color w:val="auto"/>
              </w:rPr>
              <w:t>Brian L. Roberts</w:t>
            </w:r>
          </w:p>
        </w:tc>
        <w:tc>
          <w:tcPr>
            <w:tcW w:w="600" w:type="dxa"/>
            <w:vAlign w:val="bottom"/>
            <w:tcBorders>
              <w:bottom w:val="single" w:sz="8" w:color="DCDDDE"/>
            </w:tcBorders>
          </w:tcPr>
          <w:p>
            <w:pPr>
              <w:jc w:val="right"/>
              <w:ind w:right="38"/>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DCDDDE"/>
            </w:tcBorders>
          </w:tcPr>
          <w:p>
            <w:pPr>
              <w:spacing w:after="0"/>
              <w:rPr>
                <w:sz w:val="16"/>
                <w:szCs w:val="16"/>
                <w:color w:val="auto"/>
              </w:rPr>
            </w:pPr>
          </w:p>
        </w:tc>
        <w:tc>
          <w:tcPr>
            <w:tcW w:w="780" w:type="dxa"/>
            <w:vAlign w:val="bottom"/>
            <w:tcBorders>
              <w:bottom w:val="single" w:sz="8" w:color="DCDDDE"/>
            </w:tcBorders>
          </w:tcPr>
          <w:p>
            <w:pPr>
              <w:ind w:left="140"/>
              <w:spacing w:after="0"/>
              <w:rPr>
                <w:sz w:val="20"/>
                <w:szCs w:val="20"/>
                <w:color w:val="auto"/>
              </w:rPr>
            </w:pPr>
            <w:r>
              <w:rPr>
                <w:rFonts w:ascii="Arial" w:cs="Arial" w:eastAsia="Arial" w:hAnsi="Arial"/>
                <w:sz w:val="13"/>
                <w:szCs w:val="13"/>
                <w:color w:val="auto"/>
              </w:rPr>
              <w:t>1,050,000</w:t>
            </w:r>
          </w:p>
        </w:tc>
        <w:tc>
          <w:tcPr>
            <w:tcW w:w="64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7,500,003</w:t>
            </w:r>
          </w:p>
        </w:tc>
        <w:tc>
          <w:tcPr>
            <w:tcW w:w="740" w:type="dxa"/>
            <w:vAlign w:val="bottom"/>
            <w:tcBorders>
              <w:bottom w:val="single" w:sz="8" w:color="DCDDDE"/>
            </w:tcBorders>
            <w:gridSpan w:val="2"/>
          </w:tcPr>
          <w:p>
            <w:pPr>
              <w:jc w:val="right"/>
              <w:ind w:right="60"/>
              <w:spacing w:after="0"/>
              <w:rPr>
                <w:sz w:val="20"/>
                <w:szCs w:val="20"/>
                <w:color w:val="auto"/>
              </w:rPr>
            </w:pPr>
            <w:r>
              <w:rPr>
                <w:rFonts w:ascii="Arial" w:cs="Arial" w:eastAsia="Arial" w:hAnsi="Arial"/>
                <w:sz w:val="13"/>
                <w:szCs w:val="13"/>
                <w:color w:val="auto"/>
              </w:rPr>
              <w:t>14,437,506</w:t>
            </w:r>
          </w:p>
        </w:tc>
        <w:tc>
          <w:tcPr>
            <w:tcW w:w="780" w:type="dxa"/>
            <w:vAlign w:val="bottom"/>
            <w:tcBorders>
              <w:bottom w:val="single" w:sz="8" w:color="DCDDDE"/>
            </w:tcBorders>
          </w:tcPr>
          <w:p>
            <w:pPr>
              <w:spacing w:after="0"/>
              <w:rPr>
                <w:sz w:val="16"/>
                <w:szCs w:val="16"/>
                <w:color w:val="auto"/>
              </w:rPr>
            </w:pPr>
          </w:p>
        </w:tc>
        <w:tc>
          <w:tcPr>
            <w:tcW w:w="380" w:type="dxa"/>
            <w:vAlign w:val="bottom"/>
            <w:tcBorders>
              <w:bottom w:val="single" w:sz="8" w:color="DCDDDE"/>
            </w:tcBorders>
          </w:tcPr>
          <w:p>
            <w:pPr>
              <w:spacing w:after="0"/>
              <w:rPr>
                <w:sz w:val="16"/>
                <w:szCs w:val="16"/>
                <w:color w:val="auto"/>
              </w:rPr>
            </w:pPr>
          </w:p>
        </w:tc>
        <w:tc>
          <w:tcPr>
            <w:tcW w:w="160" w:type="dxa"/>
            <w:vAlign w:val="bottom"/>
            <w:tcBorders>
              <w:bottom w:val="single" w:sz="8" w:color="DCDDDE"/>
            </w:tcBorders>
          </w:tcPr>
          <w:p>
            <w:pPr>
              <w:spacing w:after="0"/>
              <w:rPr>
                <w:sz w:val="16"/>
                <w:szCs w:val="16"/>
                <w:color w:val="auto"/>
              </w:rPr>
            </w:pPr>
          </w:p>
        </w:tc>
        <w:tc>
          <w:tcPr>
            <w:tcW w:w="620" w:type="dxa"/>
            <w:vAlign w:val="bottom"/>
            <w:tcBorders>
              <w:bottom w:val="single" w:sz="8" w:color="DCDDDE"/>
            </w:tcBorders>
          </w:tcPr>
          <w:p>
            <w:pPr>
              <w:spacing w:after="0"/>
              <w:rPr>
                <w:sz w:val="16"/>
                <w:szCs w:val="16"/>
                <w:color w:val="auto"/>
              </w:rPr>
            </w:pPr>
          </w:p>
        </w:tc>
        <w:tc>
          <w:tcPr>
            <w:tcW w:w="40" w:type="dxa"/>
            <w:vAlign w:val="bottom"/>
            <w:tcBorders>
              <w:bottom w:val="single" w:sz="8" w:color="DCDDDE"/>
            </w:tcBorders>
          </w:tcPr>
          <w:p>
            <w:pPr>
              <w:spacing w:after="0"/>
              <w:rPr>
                <w:sz w:val="16"/>
                <w:szCs w:val="16"/>
                <w:color w:val="auto"/>
              </w:rPr>
            </w:pPr>
          </w:p>
        </w:tc>
        <w:tc>
          <w:tcPr>
            <w:tcW w:w="860" w:type="dxa"/>
            <w:vAlign w:val="bottom"/>
            <w:tcBorders>
              <w:bottom w:val="single" w:sz="8" w:color="DCDDDE"/>
            </w:tcBorders>
          </w:tcPr>
          <w:p>
            <w:pPr>
              <w:spacing w:after="0"/>
              <w:rPr>
                <w:sz w:val="16"/>
                <w:szCs w:val="16"/>
                <w:color w:val="auto"/>
              </w:rPr>
            </w:pPr>
          </w:p>
        </w:tc>
        <w:tc>
          <w:tcPr>
            <w:tcW w:w="680" w:type="dxa"/>
            <w:vAlign w:val="bottom"/>
            <w:tcBorders>
              <w:bottom w:val="single" w:sz="8" w:color="DCDDDE"/>
            </w:tcBorders>
          </w:tcPr>
          <w:p>
            <w:pPr>
              <w:spacing w:after="0"/>
              <w:rPr>
                <w:sz w:val="16"/>
                <w:szCs w:val="16"/>
                <w:color w:val="auto"/>
              </w:rPr>
            </w:pPr>
          </w:p>
        </w:tc>
        <w:tc>
          <w:tcPr>
            <w:tcW w:w="840" w:type="dxa"/>
            <w:vAlign w:val="bottom"/>
            <w:tcBorders>
              <w:bottom w:val="single" w:sz="8" w:color="DCDDDE"/>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rPr>
                <w:sz w:val="15"/>
                <w:szCs w:val="15"/>
                <w:color w:val="auto"/>
              </w:rPr>
            </w:pPr>
          </w:p>
        </w:tc>
        <w:tc>
          <w:tcPr>
            <w:tcW w:w="600" w:type="dxa"/>
            <w:vAlign w:val="bottom"/>
            <w:tcBorders>
              <w:bottom w:val="single" w:sz="8" w:color="DCDDDE"/>
            </w:tcBorders>
          </w:tcPr>
          <w:p>
            <w:pPr>
              <w:jc w:val="right"/>
              <w:ind w:right="38"/>
              <w:spacing w:after="0"/>
              <w:rPr>
                <w:sz w:val="20"/>
                <w:szCs w:val="20"/>
                <w:color w:val="auto"/>
              </w:rPr>
            </w:pPr>
            <w:r>
              <w:rPr>
                <w:rFonts w:ascii="Arial" w:cs="Arial" w:eastAsia="Arial" w:hAnsi="Arial"/>
                <w:sz w:val="13"/>
                <w:szCs w:val="13"/>
                <w:color w:val="auto"/>
                <w:w w:val="94"/>
              </w:rPr>
              <w:t>3/1/2024</w:t>
            </w: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2/7/2024</w:t>
            </w:r>
          </w:p>
        </w:tc>
        <w:tc>
          <w:tcPr>
            <w:tcW w:w="780" w:type="dxa"/>
            <w:vAlign w:val="bottom"/>
            <w:tcBorders>
              <w:bottom w:val="single" w:sz="8" w:color="DCDDDE"/>
            </w:tcBorders>
          </w:tcPr>
          <w:p>
            <w:pPr>
              <w:spacing w:after="0"/>
              <w:rPr>
                <w:sz w:val="15"/>
                <w:szCs w:val="15"/>
                <w:color w:val="auto"/>
              </w:rPr>
            </w:pPr>
          </w:p>
        </w:tc>
        <w:tc>
          <w:tcPr>
            <w:tcW w:w="640" w:type="dxa"/>
            <w:vAlign w:val="bottom"/>
            <w:tcBorders>
              <w:bottom w:val="single" w:sz="8" w:color="DCDDDE"/>
            </w:tcBorders>
          </w:tcPr>
          <w:p>
            <w:pPr>
              <w:spacing w:after="0"/>
              <w:rPr>
                <w:sz w:val="15"/>
                <w:szCs w:val="15"/>
                <w:color w:val="auto"/>
              </w:rPr>
            </w:pPr>
          </w:p>
        </w:tc>
        <w:tc>
          <w:tcPr>
            <w:tcW w:w="680" w:type="dxa"/>
            <w:vAlign w:val="bottom"/>
            <w:tcBorders>
              <w:bottom w:val="single" w:sz="8" w:color="DCDDDE"/>
            </w:tcBorders>
          </w:tcPr>
          <w:p>
            <w:pPr>
              <w:spacing w:after="0"/>
              <w:rPr>
                <w:sz w:val="15"/>
                <w:szCs w:val="15"/>
                <w:color w:val="auto"/>
              </w:rPr>
            </w:pPr>
          </w:p>
        </w:tc>
        <w:tc>
          <w:tcPr>
            <w:tcW w:w="60" w:type="dxa"/>
            <w:vAlign w:val="bottom"/>
            <w:tcBorders>
              <w:bottom w:val="single" w:sz="8" w:color="DCDDDE"/>
            </w:tcBorders>
          </w:tcPr>
          <w:p>
            <w:pPr>
              <w:spacing w:after="0"/>
              <w:rPr>
                <w:sz w:val="15"/>
                <w:szCs w:val="15"/>
                <w:color w:val="auto"/>
              </w:rPr>
            </w:pPr>
          </w:p>
        </w:tc>
        <w:tc>
          <w:tcPr>
            <w:tcW w:w="78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75,570</w:t>
            </w:r>
          </w:p>
        </w:tc>
        <w:tc>
          <w:tcPr>
            <w:tcW w:w="540" w:type="dxa"/>
            <w:vAlign w:val="bottom"/>
            <w:tcBorders>
              <w:bottom w:val="single" w:sz="8" w:color="DCDDDE"/>
            </w:tcBorders>
            <w:gridSpan w:val="2"/>
          </w:tcPr>
          <w:p>
            <w:pPr>
              <w:jc w:val="right"/>
              <w:spacing w:after="0"/>
              <w:rPr>
                <w:sz w:val="20"/>
                <w:szCs w:val="20"/>
                <w:color w:val="auto"/>
              </w:rPr>
            </w:pPr>
            <w:r>
              <w:rPr>
                <w:rFonts w:ascii="Arial" w:cs="Arial" w:eastAsia="Arial" w:hAnsi="Arial"/>
                <w:sz w:val="13"/>
                <w:szCs w:val="13"/>
                <w:color w:val="auto"/>
              </w:rPr>
              <w:t>403,040</w:t>
            </w:r>
          </w:p>
        </w:tc>
        <w:tc>
          <w:tcPr>
            <w:tcW w:w="660" w:type="dxa"/>
            <w:vAlign w:val="bottom"/>
            <w:tcBorders>
              <w:bottom w:val="single" w:sz="8" w:color="DCDDDE"/>
            </w:tcBorders>
            <w:gridSpan w:val="2"/>
          </w:tcPr>
          <w:p>
            <w:pPr>
              <w:jc w:val="right"/>
              <w:ind w:right="40"/>
              <w:spacing w:after="0"/>
              <w:rPr>
                <w:sz w:val="20"/>
                <w:szCs w:val="20"/>
                <w:color w:val="auto"/>
              </w:rPr>
            </w:pPr>
            <w:r>
              <w:rPr>
                <w:rFonts w:ascii="Arial" w:cs="Arial" w:eastAsia="Arial" w:hAnsi="Arial"/>
                <w:sz w:val="13"/>
                <w:szCs w:val="13"/>
                <w:color w:val="auto"/>
              </w:rPr>
              <w:t>1,007,600</w:t>
            </w:r>
          </w:p>
        </w:tc>
        <w:tc>
          <w:tcPr>
            <w:tcW w:w="860" w:type="dxa"/>
            <w:vAlign w:val="bottom"/>
            <w:tcBorders>
              <w:bottom w:val="single" w:sz="8" w:color="DCDDDE"/>
            </w:tcBorders>
          </w:tcPr>
          <w:p>
            <w:pPr>
              <w:spacing w:after="0"/>
              <w:rPr>
                <w:sz w:val="15"/>
                <w:szCs w:val="15"/>
                <w:color w:val="auto"/>
              </w:rPr>
            </w:pPr>
          </w:p>
        </w:tc>
        <w:tc>
          <w:tcPr>
            <w:tcW w:w="680" w:type="dxa"/>
            <w:vAlign w:val="bottom"/>
            <w:tcBorders>
              <w:bottom w:val="single" w:sz="8" w:color="DCDDDE"/>
            </w:tcBorders>
          </w:tcPr>
          <w:p>
            <w:pPr>
              <w:spacing w:after="0"/>
              <w:rPr>
                <w:sz w:val="15"/>
                <w:szCs w:val="15"/>
                <w:color w:val="auto"/>
              </w:rPr>
            </w:pPr>
          </w:p>
        </w:tc>
        <w:tc>
          <w:tcPr>
            <w:tcW w:w="840" w:type="dxa"/>
            <w:vAlign w:val="bottom"/>
            <w:tcBorders>
              <w:bottom w:val="single" w:sz="8" w:color="DCDDDE"/>
            </w:tcBorders>
          </w:tcPr>
          <w:p>
            <w:pPr>
              <w:jc w:val="right"/>
              <w:ind w:right="21"/>
              <w:spacing w:after="0"/>
              <w:rPr>
                <w:sz w:val="20"/>
                <w:szCs w:val="20"/>
                <w:color w:val="auto"/>
              </w:rPr>
            </w:pPr>
            <w:r>
              <w:rPr>
                <w:rFonts w:ascii="Arial" w:cs="Arial" w:eastAsia="Arial" w:hAnsi="Arial"/>
                <w:sz w:val="13"/>
                <w:szCs w:val="13"/>
                <w:color w:val="auto"/>
              </w:rPr>
              <w:t>17,911,098</w:t>
            </w:r>
          </w:p>
        </w:tc>
        <w:tc>
          <w:tcPr>
            <w:tcW w:w="0" w:type="dxa"/>
            <w:vAlign w:val="bottom"/>
          </w:tcPr>
          <w:p>
            <w:pPr>
              <w:spacing w:after="0"/>
              <w:rPr>
                <w:sz w:val="1"/>
                <w:szCs w:val="1"/>
                <w:color w:val="auto"/>
              </w:rPr>
            </w:pPr>
          </w:p>
        </w:tc>
      </w:tr>
      <w:tr>
        <w:trPr>
          <w:trHeight w:val="183"/>
        </w:trPr>
        <w:tc>
          <w:tcPr>
            <w:tcW w:w="34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w w:val="94"/>
              </w:rPr>
              <w:t>3/1/2024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2/7/2024</w:t>
            </w:r>
          </w:p>
        </w:tc>
        <w:tc>
          <w:tcPr>
            <w:tcW w:w="7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605,905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42.80</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rPr>
              <w:t>5,750,038</w:t>
            </w:r>
          </w:p>
        </w:tc>
        <w:tc>
          <w:tcPr>
            <w:tcW w:w="0" w:type="dxa"/>
            <w:vAlign w:val="bottom"/>
          </w:tcPr>
          <w:p>
            <w:pPr>
              <w:spacing w:after="0"/>
              <w:rPr>
                <w:sz w:val="1"/>
                <w:szCs w:val="1"/>
                <w:color w:val="auto"/>
              </w:rPr>
            </w:pPr>
          </w:p>
        </w:tc>
      </w:tr>
      <w:tr>
        <w:trPr>
          <w:trHeight w:val="185"/>
        </w:trPr>
        <w:tc>
          <w:tcPr>
            <w:tcW w:w="3440" w:type="dxa"/>
            <w:vAlign w:val="bottom"/>
          </w:tcPr>
          <w:p>
            <w:pPr>
              <w:ind w:left="80"/>
              <w:spacing w:after="0"/>
              <w:rPr>
                <w:sz w:val="20"/>
                <w:szCs w:val="20"/>
                <w:color w:val="auto"/>
              </w:rPr>
            </w:pPr>
            <w:r>
              <w:rPr>
                <w:rFonts w:ascii="Arial" w:cs="Arial" w:eastAsia="Arial" w:hAnsi="Arial"/>
                <w:sz w:val="13"/>
                <w:szCs w:val="13"/>
                <w:b w:val="1"/>
                <w:bCs w:val="1"/>
                <w:color w:val="auto"/>
              </w:rPr>
              <w:t>Michael J. Cavanagh</w:t>
            </w:r>
          </w:p>
        </w:tc>
        <w:tc>
          <w:tcPr>
            <w:tcW w:w="600" w:type="dxa"/>
            <w:vAlign w:val="bottom"/>
            <w:tcBorders>
              <w:bottom w:val="single" w:sz="8" w:color="DCDDDE"/>
            </w:tcBorders>
          </w:tcPr>
          <w:p>
            <w:pPr>
              <w:jc w:val="right"/>
              <w:ind w:right="38"/>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DCDDDE"/>
            </w:tcBorders>
          </w:tcPr>
          <w:p>
            <w:pPr>
              <w:spacing w:after="0"/>
              <w:rPr>
                <w:sz w:val="16"/>
                <w:szCs w:val="16"/>
                <w:color w:val="auto"/>
              </w:rPr>
            </w:pPr>
          </w:p>
        </w:tc>
        <w:tc>
          <w:tcPr>
            <w:tcW w:w="780" w:type="dxa"/>
            <w:vAlign w:val="bottom"/>
            <w:tcBorders>
              <w:bottom w:val="single" w:sz="8" w:color="DCDDDE"/>
            </w:tcBorders>
          </w:tcPr>
          <w:p>
            <w:pPr>
              <w:ind w:left="140"/>
              <w:spacing w:after="0"/>
              <w:rPr>
                <w:sz w:val="20"/>
                <w:szCs w:val="20"/>
                <w:color w:val="auto"/>
              </w:rPr>
            </w:pPr>
            <w:r>
              <w:rPr>
                <w:rFonts w:ascii="Arial" w:cs="Arial" w:eastAsia="Arial" w:hAnsi="Arial"/>
                <w:sz w:val="13"/>
                <w:szCs w:val="13"/>
                <w:color w:val="auto"/>
              </w:rPr>
              <w:t>1,050,000</w:t>
            </w:r>
          </w:p>
        </w:tc>
        <w:tc>
          <w:tcPr>
            <w:tcW w:w="64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7,500,003</w:t>
            </w:r>
          </w:p>
        </w:tc>
        <w:tc>
          <w:tcPr>
            <w:tcW w:w="740" w:type="dxa"/>
            <w:vAlign w:val="bottom"/>
            <w:tcBorders>
              <w:bottom w:val="single" w:sz="8" w:color="DCDDDE"/>
            </w:tcBorders>
            <w:gridSpan w:val="2"/>
          </w:tcPr>
          <w:p>
            <w:pPr>
              <w:jc w:val="right"/>
              <w:ind w:right="60"/>
              <w:spacing w:after="0"/>
              <w:rPr>
                <w:sz w:val="20"/>
                <w:szCs w:val="20"/>
                <w:color w:val="auto"/>
              </w:rPr>
            </w:pPr>
            <w:r>
              <w:rPr>
                <w:rFonts w:ascii="Arial" w:cs="Arial" w:eastAsia="Arial" w:hAnsi="Arial"/>
                <w:sz w:val="13"/>
                <w:szCs w:val="13"/>
                <w:color w:val="auto"/>
              </w:rPr>
              <w:t>14,437,506</w:t>
            </w:r>
          </w:p>
        </w:tc>
        <w:tc>
          <w:tcPr>
            <w:tcW w:w="780" w:type="dxa"/>
            <w:vAlign w:val="bottom"/>
            <w:tcBorders>
              <w:bottom w:val="single" w:sz="8" w:color="DCDDDE"/>
            </w:tcBorders>
          </w:tcPr>
          <w:p>
            <w:pPr>
              <w:spacing w:after="0"/>
              <w:rPr>
                <w:sz w:val="16"/>
                <w:szCs w:val="16"/>
                <w:color w:val="auto"/>
              </w:rPr>
            </w:pPr>
          </w:p>
        </w:tc>
        <w:tc>
          <w:tcPr>
            <w:tcW w:w="380" w:type="dxa"/>
            <w:vAlign w:val="bottom"/>
            <w:tcBorders>
              <w:bottom w:val="single" w:sz="8" w:color="DCDDDE"/>
            </w:tcBorders>
          </w:tcPr>
          <w:p>
            <w:pPr>
              <w:spacing w:after="0"/>
              <w:rPr>
                <w:sz w:val="16"/>
                <w:szCs w:val="16"/>
                <w:color w:val="auto"/>
              </w:rPr>
            </w:pPr>
          </w:p>
        </w:tc>
        <w:tc>
          <w:tcPr>
            <w:tcW w:w="160" w:type="dxa"/>
            <w:vAlign w:val="bottom"/>
            <w:tcBorders>
              <w:bottom w:val="single" w:sz="8" w:color="DCDDDE"/>
            </w:tcBorders>
          </w:tcPr>
          <w:p>
            <w:pPr>
              <w:spacing w:after="0"/>
              <w:rPr>
                <w:sz w:val="16"/>
                <w:szCs w:val="16"/>
                <w:color w:val="auto"/>
              </w:rPr>
            </w:pPr>
          </w:p>
        </w:tc>
        <w:tc>
          <w:tcPr>
            <w:tcW w:w="620" w:type="dxa"/>
            <w:vAlign w:val="bottom"/>
            <w:tcBorders>
              <w:bottom w:val="single" w:sz="8" w:color="DCDDDE"/>
            </w:tcBorders>
          </w:tcPr>
          <w:p>
            <w:pPr>
              <w:spacing w:after="0"/>
              <w:rPr>
                <w:sz w:val="16"/>
                <w:szCs w:val="16"/>
                <w:color w:val="auto"/>
              </w:rPr>
            </w:pPr>
          </w:p>
        </w:tc>
        <w:tc>
          <w:tcPr>
            <w:tcW w:w="40" w:type="dxa"/>
            <w:vAlign w:val="bottom"/>
            <w:tcBorders>
              <w:bottom w:val="single" w:sz="8" w:color="DCDDDE"/>
            </w:tcBorders>
          </w:tcPr>
          <w:p>
            <w:pPr>
              <w:spacing w:after="0"/>
              <w:rPr>
                <w:sz w:val="16"/>
                <w:szCs w:val="16"/>
                <w:color w:val="auto"/>
              </w:rPr>
            </w:pPr>
          </w:p>
        </w:tc>
        <w:tc>
          <w:tcPr>
            <w:tcW w:w="860" w:type="dxa"/>
            <w:vAlign w:val="bottom"/>
            <w:tcBorders>
              <w:bottom w:val="single" w:sz="8" w:color="DCDDDE"/>
            </w:tcBorders>
          </w:tcPr>
          <w:p>
            <w:pPr>
              <w:spacing w:after="0"/>
              <w:rPr>
                <w:sz w:val="16"/>
                <w:szCs w:val="16"/>
                <w:color w:val="auto"/>
              </w:rPr>
            </w:pPr>
          </w:p>
        </w:tc>
        <w:tc>
          <w:tcPr>
            <w:tcW w:w="680" w:type="dxa"/>
            <w:vAlign w:val="bottom"/>
            <w:tcBorders>
              <w:bottom w:val="single" w:sz="8" w:color="DCDDDE"/>
            </w:tcBorders>
          </w:tcPr>
          <w:p>
            <w:pPr>
              <w:spacing w:after="0"/>
              <w:rPr>
                <w:sz w:val="16"/>
                <w:szCs w:val="16"/>
                <w:color w:val="auto"/>
              </w:rPr>
            </w:pPr>
          </w:p>
        </w:tc>
        <w:tc>
          <w:tcPr>
            <w:tcW w:w="840" w:type="dxa"/>
            <w:vAlign w:val="bottom"/>
            <w:tcBorders>
              <w:bottom w:val="single" w:sz="8" w:color="DCDDDE"/>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rPr>
                <w:sz w:val="15"/>
                <w:szCs w:val="15"/>
                <w:color w:val="auto"/>
              </w:rPr>
            </w:pPr>
          </w:p>
        </w:tc>
        <w:tc>
          <w:tcPr>
            <w:tcW w:w="600" w:type="dxa"/>
            <w:vAlign w:val="bottom"/>
            <w:tcBorders>
              <w:bottom w:val="single" w:sz="8" w:color="DCDDDE"/>
            </w:tcBorders>
          </w:tcPr>
          <w:p>
            <w:pPr>
              <w:jc w:val="right"/>
              <w:ind w:right="38"/>
              <w:spacing w:after="0"/>
              <w:rPr>
                <w:sz w:val="20"/>
                <w:szCs w:val="20"/>
                <w:color w:val="auto"/>
              </w:rPr>
            </w:pPr>
            <w:r>
              <w:rPr>
                <w:rFonts w:ascii="Arial" w:cs="Arial" w:eastAsia="Arial" w:hAnsi="Arial"/>
                <w:sz w:val="13"/>
                <w:szCs w:val="13"/>
                <w:color w:val="auto"/>
                <w:w w:val="94"/>
              </w:rPr>
              <w:t>3/1/2024</w:t>
            </w: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2/7/2024</w:t>
            </w:r>
          </w:p>
        </w:tc>
        <w:tc>
          <w:tcPr>
            <w:tcW w:w="780" w:type="dxa"/>
            <w:vAlign w:val="bottom"/>
            <w:tcBorders>
              <w:bottom w:val="single" w:sz="8" w:color="DCDDDE"/>
            </w:tcBorders>
          </w:tcPr>
          <w:p>
            <w:pPr>
              <w:spacing w:after="0"/>
              <w:rPr>
                <w:sz w:val="15"/>
                <w:szCs w:val="15"/>
                <w:color w:val="auto"/>
              </w:rPr>
            </w:pPr>
          </w:p>
        </w:tc>
        <w:tc>
          <w:tcPr>
            <w:tcW w:w="640" w:type="dxa"/>
            <w:vAlign w:val="bottom"/>
            <w:tcBorders>
              <w:bottom w:val="single" w:sz="8" w:color="DCDDDE"/>
            </w:tcBorders>
          </w:tcPr>
          <w:p>
            <w:pPr>
              <w:spacing w:after="0"/>
              <w:rPr>
                <w:sz w:val="15"/>
                <w:szCs w:val="15"/>
                <w:color w:val="auto"/>
              </w:rPr>
            </w:pPr>
          </w:p>
        </w:tc>
        <w:tc>
          <w:tcPr>
            <w:tcW w:w="680" w:type="dxa"/>
            <w:vAlign w:val="bottom"/>
            <w:tcBorders>
              <w:bottom w:val="single" w:sz="8" w:color="DCDDDE"/>
            </w:tcBorders>
          </w:tcPr>
          <w:p>
            <w:pPr>
              <w:spacing w:after="0"/>
              <w:rPr>
                <w:sz w:val="15"/>
                <w:szCs w:val="15"/>
                <w:color w:val="auto"/>
              </w:rPr>
            </w:pPr>
          </w:p>
        </w:tc>
        <w:tc>
          <w:tcPr>
            <w:tcW w:w="60" w:type="dxa"/>
            <w:vAlign w:val="bottom"/>
            <w:tcBorders>
              <w:bottom w:val="single" w:sz="8" w:color="DCDDDE"/>
            </w:tcBorders>
          </w:tcPr>
          <w:p>
            <w:pPr>
              <w:spacing w:after="0"/>
              <w:rPr>
                <w:sz w:val="15"/>
                <w:szCs w:val="15"/>
                <w:color w:val="auto"/>
              </w:rPr>
            </w:pPr>
          </w:p>
        </w:tc>
        <w:tc>
          <w:tcPr>
            <w:tcW w:w="78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57,498</w:t>
            </w:r>
          </w:p>
        </w:tc>
        <w:tc>
          <w:tcPr>
            <w:tcW w:w="540" w:type="dxa"/>
            <w:vAlign w:val="bottom"/>
            <w:tcBorders>
              <w:bottom w:val="single" w:sz="8" w:color="DCDDDE"/>
            </w:tcBorders>
            <w:gridSpan w:val="2"/>
          </w:tcPr>
          <w:p>
            <w:pPr>
              <w:jc w:val="right"/>
              <w:spacing w:after="0"/>
              <w:rPr>
                <w:sz w:val="20"/>
                <w:szCs w:val="20"/>
                <w:color w:val="auto"/>
              </w:rPr>
            </w:pPr>
            <w:r>
              <w:rPr>
                <w:rFonts w:ascii="Arial" w:cs="Arial" w:eastAsia="Arial" w:hAnsi="Arial"/>
                <w:sz w:val="13"/>
                <w:szCs w:val="13"/>
                <w:color w:val="auto"/>
              </w:rPr>
              <w:t>306,660</w:t>
            </w:r>
          </w:p>
        </w:tc>
        <w:tc>
          <w:tcPr>
            <w:tcW w:w="62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766,650</w:t>
            </w:r>
          </w:p>
        </w:tc>
        <w:tc>
          <w:tcPr>
            <w:tcW w:w="40" w:type="dxa"/>
            <w:vAlign w:val="bottom"/>
            <w:tcBorders>
              <w:bottom w:val="single" w:sz="8" w:color="DCDDDE"/>
            </w:tcBorders>
          </w:tcPr>
          <w:p>
            <w:pPr>
              <w:spacing w:after="0"/>
              <w:rPr>
                <w:sz w:val="15"/>
                <w:szCs w:val="15"/>
                <w:color w:val="auto"/>
              </w:rPr>
            </w:pPr>
          </w:p>
        </w:tc>
        <w:tc>
          <w:tcPr>
            <w:tcW w:w="860" w:type="dxa"/>
            <w:vAlign w:val="bottom"/>
            <w:tcBorders>
              <w:bottom w:val="single" w:sz="8" w:color="DCDDDE"/>
            </w:tcBorders>
          </w:tcPr>
          <w:p>
            <w:pPr>
              <w:spacing w:after="0"/>
              <w:rPr>
                <w:sz w:val="15"/>
                <w:szCs w:val="15"/>
                <w:color w:val="auto"/>
              </w:rPr>
            </w:pPr>
          </w:p>
        </w:tc>
        <w:tc>
          <w:tcPr>
            <w:tcW w:w="680" w:type="dxa"/>
            <w:vAlign w:val="bottom"/>
            <w:tcBorders>
              <w:bottom w:val="single" w:sz="8" w:color="DCDDDE"/>
            </w:tcBorders>
          </w:tcPr>
          <w:p>
            <w:pPr>
              <w:spacing w:after="0"/>
              <w:rPr>
                <w:sz w:val="15"/>
                <w:szCs w:val="15"/>
                <w:color w:val="auto"/>
              </w:rPr>
            </w:pPr>
          </w:p>
        </w:tc>
        <w:tc>
          <w:tcPr>
            <w:tcW w:w="840" w:type="dxa"/>
            <w:vAlign w:val="bottom"/>
            <w:tcBorders>
              <w:bottom w:val="single" w:sz="8" w:color="DCDDDE"/>
            </w:tcBorders>
          </w:tcPr>
          <w:p>
            <w:pPr>
              <w:jc w:val="right"/>
              <w:ind w:right="21"/>
              <w:spacing w:after="0"/>
              <w:rPr>
                <w:sz w:val="20"/>
                <w:szCs w:val="20"/>
                <w:color w:val="auto"/>
              </w:rPr>
            </w:pPr>
            <w:r>
              <w:rPr>
                <w:rFonts w:ascii="Arial" w:cs="Arial" w:eastAsia="Arial" w:hAnsi="Arial"/>
                <w:sz w:val="13"/>
                <w:szCs w:val="13"/>
                <w:color w:val="auto"/>
              </w:rPr>
              <w:t>13,627,970</w:t>
            </w:r>
          </w:p>
        </w:tc>
        <w:tc>
          <w:tcPr>
            <w:tcW w:w="0" w:type="dxa"/>
            <w:vAlign w:val="bottom"/>
          </w:tcPr>
          <w:p>
            <w:pPr>
              <w:spacing w:after="0"/>
              <w:rPr>
                <w:sz w:val="1"/>
                <w:szCs w:val="1"/>
                <w:color w:val="auto"/>
              </w:rPr>
            </w:pPr>
          </w:p>
        </w:tc>
      </w:tr>
      <w:tr>
        <w:trPr>
          <w:trHeight w:val="183"/>
        </w:trPr>
        <w:tc>
          <w:tcPr>
            <w:tcW w:w="34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w w:val="94"/>
              </w:rPr>
              <w:t>3/1/2024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2/7/2024</w:t>
            </w:r>
          </w:p>
        </w:tc>
        <w:tc>
          <w:tcPr>
            <w:tcW w:w="7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461,015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42.80</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rPr>
              <w:t>4,375,032</w:t>
            </w:r>
          </w:p>
        </w:tc>
        <w:tc>
          <w:tcPr>
            <w:tcW w:w="0" w:type="dxa"/>
            <w:vAlign w:val="bottom"/>
          </w:tcPr>
          <w:p>
            <w:pPr>
              <w:spacing w:after="0"/>
              <w:rPr>
                <w:sz w:val="1"/>
                <w:szCs w:val="1"/>
                <w:color w:val="auto"/>
              </w:rPr>
            </w:pPr>
          </w:p>
        </w:tc>
      </w:tr>
      <w:tr>
        <w:trPr>
          <w:trHeight w:val="185"/>
        </w:trPr>
        <w:tc>
          <w:tcPr>
            <w:tcW w:w="3440" w:type="dxa"/>
            <w:vAlign w:val="bottom"/>
          </w:tcPr>
          <w:p>
            <w:pPr>
              <w:ind w:left="80"/>
              <w:spacing w:after="0"/>
              <w:rPr>
                <w:sz w:val="20"/>
                <w:szCs w:val="20"/>
                <w:color w:val="auto"/>
              </w:rPr>
            </w:pPr>
            <w:r>
              <w:rPr>
                <w:rFonts w:ascii="Arial" w:cs="Arial" w:eastAsia="Arial" w:hAnsi="Arial"/>
                <w:sz w:val="13"/>
                <w:szCs w:val="13"/>
                <w:b w:val="1"/>
                <w:bCs w:val="1"/>
                <w:color w:val="auto"/>
              </w:rPr>
              <w:t>Jason S. Armstrong</w:t>
            </w:r>
          </w:p>
        </w:tc>
        <w:tc>
          <w:tcPr>
            <w:tcW w:w="600" w:type="dxa"/>
            <w:vAlign w:val="bottom"/>
            <w:tcBorders>
              <w:bottom w:val="single" w:sz="8" w:color="DCDDDE"/>
            </w:tcBorders>
          </w:tcPr>
          <w:p>
            <w:pPr>
              <w:jc w:val="right"/>
              <w:ind w:right="38"/>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DCDDDE"/>
            </w:tcBorders>
          </w:tcPr>
          <w:p>
            <w:pPr>
              <w:spacing w:after="0"/>
              <w:rPr>
                <w:sz w:val="16"/>
                <w:szCs w:val="16"/>
                <w:color w:val="auto"/>
              </w:rPr>
            </w:pPr>
          </w:p>
        </w:tc>
        <w:tc>
          <w:tcPr>
            <w:tcW w:w="78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558,923</w:t>
            </w:r>
          </w:p>
        </w:tc>
        <w:tc>
          <w:tcPr>
            <w:tcW w:w="64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3,992,308</w:t>
            </w:r>
          </w:p>
        </w:tc>
        <w:tc>
          <w:tcPr>
            <w:tcW w:w="740" w:type="dxa"/>
            <w:vAlign w:val="bottom"/>
            <w:tcBorders>
              <w:bottom w:val="single" w:sz="8" w:color="DCDDDE"/>
            </w:tcBorders>
            <w:gridSpan w:val="2"/>
          </w:tcPr>
          <w:p>
            <w:pPr>
              <w:jc w:val="right"/>
              <w:ind w:right="60"/>
              <w:spacing w:after="0"/>
              <w:rPr>
                <w:sz w:val="20"/>
                <w:szCs w:val="20"/>
                <w:color w:val="auto"/>
              </w:rPr>
            </w:pPr>
            <w:r>
              <w:rPr>
                <w:rFonts w:ascii="Arial" w:cs="Arial" w:eastAsia="Arial" w:hAnsi="Arial"/>
                <w:sz w:val="13"/>
                <w:szCs w:val="13"/>
                <w:color w:val="auto"/>
              </w:rPr>
              <w:t>7,685,193</w:t>
            </w:r>
          </w:p>
        </w:tc>
        <w:tc>
          <w:tcPr>
            <w:tcW w:w="780" w:type="dxa"/>
            <w:vAlign w:val="bottom"/>
            <w:tcBorders>
              <w:bottom w:val="single" w:sz="8" w:color="DCDDDE"/>
            </w:tcBorders>
          </w:tcPr>
          <w:p>
            <w:pPr>
              <w:spacing w:after="0"/>
              <w:rPr>
                <w:sz w:val="16"/>
                <w:szCs w:val="16"/>
                <w:color w:val="auto"/>
              </w:rPr>
            </w:pPr>
          </w:p>
        </w:tc>
        <w:tc>
          <w:tcPr>
            <w:tcW w:w="380" w:type="dxa"/>
            <w:vAlign w:val="bottom"/>
            <w:tcBorders>
              <w:bottom w:val="single" w:sz="8" w:color="DCDDDE"/>
            </w:tcBorders>
          </w:tcPr>
          <w:p>
            <w:pPr>
              <w:spacing w:after="0"/>
              <w:rPr>
                <w:sz w:val="16"/>
                <w:szCs w:val="16"/>
                <w:color w:val="auto"/>
              </w:rPr>
            </w:pPr>
          </w:p>
        </w:tc>
        <w:tc>
          <w:tcPr>
            <w:tcW w:w="160" w:type="dxa"/>
            <w:vAlign w:val="bottom"/>
            <w:tcBorders>
              <w:bottom w:val="single" w:sz="8" w:color="DCDDDE"/>
            </w:tcBorders>
          </w:tcPr>
          <w:p>
            <w:pPr>
              <w:spacing w:after="0"/>
              <w:rPr>
                <w:sz w:val="16"/>
                <w:szCs w:val="16"/>
                <w:color w:val="auto"/>
              </w:rPr>
            </w:pPr>
          </w:p>
        </w:tc>
        <w:tc>
          <w:tcPr>
            <w:tcW w:w="620" w:type="dxa"/>
            <w:vAlign w:val="bottom"/>
            <w:tcBorders>
              <w:bottom w:val="single" w:sz="8" w:color="DCDDDE"/>
            </w:tcBorders>
          </w:tcPr>
          <w:p>
            <w:pPr>
              <w:spacing w:after="0"/>
              <w:rPr>
                <w:sz w:val="16"/>
                <w:szCs w:val="16"/>
                <w:color w:val="auto"/>
              </w:rPr>
            </w:pPr>
          </w:p>
        </w:tc>
        <w:tc>
          <w:tcPr>
            <w:tcW w:w="40" w:type="dxa"/>
            <w:vAlign w:val="bottom"/>
            <w:tcBorders>
              <w:bottom w:val="single" w:sz="8" w:color="DCDDDE"/>
            </w:tcBorders>
          </w:tcPr>
          <w:p>
            <w:pPr>
              <w:spacing w:after="0"/>
              <w:rPr>
                <w:sz w:val="16"/>
                <w:szCs w:val="16"/>
                <w:color w:val="auto"/>
              </w:rPr>
            </w:pPr>
          </w:p>
        </w:tc>
        <w:tc>
          <w:tcPr>
            <w:tcW w:w="860" w:type="dxa"/>
            <w:vAlign w:val="bottom"/>
            <w:tcBorders>
              <w:bottom w:val="single" w:sz="8" w:color="DCDDDE"/>
            </w:tcBorders>
          </w:tcPr>
          <w:p>
            <w:pPr>
              <w:spacing w:after="0"/>
              <w:rPr>
                <w:sz w:val="16"/>
                <w:szCs w:val="16"/>
                <w:color w:val="auto"/>
              </w:rPr>
            </w:pPr>
          </w:p>
        </w:tc>
        <w:tc>
          <w:tcPr>
            <w:tcW w:w="680" w:type="dxa"/>
            <w:vAlign w:val="bottom"/>
            <w:tcBorders>
              <w:bottom w:val="single" w:sz="8" w:color="DCDDDE"/>
            </w:tcBorders>
          </w:tcPr>
          <w:p>
            <w:pPr>
              <w:spacing w:after="0"/>
              <w:rPr>
                <w:sz w:val="16"/>
                <w:szCs w:val="16"/>
                <w:color w:val="auto"/>
              </w:rPr>
            </w:pPr>
          </w:p>
        </w:tc>
        <w:tc>
          <w:tcPr>
            <w:tcW w:w="840" w:type="dxa"/>
            <w:vAlign w:val="bottom"/>
            <w:tcBorders>
              <w:bottom w:val="single" w:sz="8" w:color="DCDDDE"/>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rPr>
                <w:sz w:val="15"/>
                <w:szCs w:val="15"/>
                <w:color w:val="auto"/>
              </w:rPr>
            </w:pPr>
          </w:p>
        </w:tc>
        <w:tc>
          <w:tcPr>
            <w:tcW w:w="600" w:type="dxa"/>
            <w:vAlign w:val="bottom"/>
            <w:tcBorders>
              <w:bottom w:val="single" w:sz="8" w:color="DCDDDE"/>
            </w:tcBorders>
          </w:tcPr>
          <w:p>
            <w:pPr>
              <w:jc w:val="right"/>
              <w:ind w:right="38"/>
              <w:spacing w:after="0"/>
              <w:rPr>
                <w:sz w:val="20"/>
                <w:szCs w:val="20"/>
                <w:color w:val="auto"/>
              </w:rPr>
            </w:pPr>
            <w:r>
              <w:rPr>
                <w:rFonts w:ascii="Arial" w:cs="Arial" w:eastAsia="Arial" w:hAnsi="Arial"/>
                <w:sz w:val="13"/>
                <w:szCs w:val="13"/>
                <w:color w:val="auto"/>
                <w:w w:val="94"/>
              </w:rPr>
              <w:t>3/1/2024</w:t>
            </w: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2/7/2024</w:t>
            </w:r>
          </w:p>
        </w:tc>
        <w:tc>
          <w:tcPr>
            <w:tcW w:w="780" w:type="dxa"/>
            <w:vAlign w:val="bottom"/>
            <w:tcBorders>
              <w:bottom w:val="single" w:sz="8" w:color="DCDDDE"/>
            </w:tcBorders>
          </w:tcPr>
          <w:p>
            <w:pPr>
              <w:spacing w:after="0"/>
              <w:rPr>
                <w:sz w:val="15"/>
                <w:szCs w:val="15"/>
                <w:color w:val="auto"/>
              </w:rPr>
            </w:pPr>
          </w:p>
        </w:tc>
        <w:tc>
          <w:tcPr>
            <w:tcW w:w="640" w:type="dxa"/>
            <w:vAlign w:val="bottom"/>
            <w:tcBorders>
              <w:bottom w:val="single" w:sz="8" w:color="DCDDDE"/>
            </w:tcBorders>
          </w:tcPr>
          <w:p>
            <w:pPr>
              <w:spacing w:after="0"/>
              <w:rPr>
                <w:sz w:val="15"/>
                <w:szCs w:val="15"/>
                <w:color w:val="auto"/>
              </w:rPr>
            </w:pPr>
          </w:p>
        </w:tc>
        <w:tc>
          <w:tcPr>
            <w:tcW w:w="680" w:type="dxa"/>
            <w:vAlign w:val="bottom"/>
            <w:tcBorders>
              <w:bottom w:val="single" w:sz="8" w:color="DCDDDE"/>
            </w:tcBorders>
          </w:tcPr>
          <w:p>
            <w:pPr>
              <w:spacing w:after="0"/>
              <w:rPr>
                <w:sz w:val="15"/>
                <w:szCs w:val="15"/>
                <w:color w:val="auto"/>
              </w:rPr>
            </w:pPr>
          </w:p>
        </w:tc>
        <w:tc>
          <w:tcPr>
            <w:tcW w:w="60" w:type="dxa"/>
            <w:vAlign w:val="bottom"/>
            <w:tcBorders>
              <w:bottom w:val="single" w:sz="8" w:color="DCDDDE"/>
            </w:tcBorders>
          </w:tcPr>
          <w:p>
            <w:pPr>
              <w:spacing w:after="0"/>
              <w:rPr>
                <w:sz w:val="15"/>
                <w:szCs w:val="15"/>
                <w:color w:val="auto"/>
              </w:rPr>
            </w:pPr>
          </w:p>
        </w:tc>
        <w:tc>
          <w:tcPr>
            <w:tcW w:w="78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27,928</w:t>
            </w:r>
          </w:p>
        </w:tc>
        <w:tc>
          <w:tcPr>
            <w:tcW w:w="540" w:type="dxa"/>
            <w:vAlign w:val="bottom"/>
            <w:tcBorders>
              <w:bottom w:val="single" w:sz="8" w:color="DCDDDE"/>
            </w:tcBorders>
            <w:gridSpan w:val="2"/>
          </w:tcPr>
          <w:p>
            <w:pPr>
              <w:jc w:val="right"/>
              <w:spacing w:after="0"/>
              <w:rPr>
                <w:sz w:val="20"/>
                <w:szCs w:val="20"/>
                <w:color w:val="auto"/>
              </w:rPr>
            </w:pPr>
            <w:r>
              <w:rPr>
                <w:rFonts w:ascii="Arial" w:cs="Arial" w:eastAsia="Arial" w:hAnsi="Arial"/>
                <w:sz w:val="13"/>
                <w:szCs w:val="13"/>
                <w:color w:val="auto"/>
              </w:rPr>
              <w:t>148,950</w:t>
            </w:r>
          </w:p>
        </w:tc>
        <w:tc>
          <w:tcPr>
            <w:tcW w:w="62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372,375</w:t>
            </w:r>
          </w:p>
        </w:tc>
        <w:tc>
          <w:tcPr>
            <w:tcW w:w="40" w:type="dxa"/>
            <w:vAlign w:val="bottom"/>
            <w:tcBorders>
              <w:bottom w:val="single" w:sz="8" w:color="DCDDDE"/>
            </w:tcBorders>
          </w:tcPr>
          <w:p>
            <w:pPr>
              <w:spacing w:after="0"/>
              <w:rPr>
                <w:sz w:val="15"/>
                <w:szCs w:val="15"/>
                <w:color w:val="auto"/>
              </w:rPr>
            </w:pPr>
          </w:p>
        </w:tc>
        <w:tc>
          <w:tcPr>
            <w:tcW w:w="860" w:type="dxa"/>
            <w:vAlign w:val="bottom"/>
            <w:tcBorders>
              <w:bottom w:val="single" w:sz="8" w:color="DCDDDE"/>
            </w:tcBorders>
          </w:tcPr>
          <w:p>
            <w:pPr>
              <w:spacing w:after="0"/>
              <w:rPr>
                <w:sz w:val="15"/>
                <w:szCs w:val="15"/>
                <w:color w:val="auto"/>
              </w:rPr>
            </w:pPr>
          </w:p>
        </w:tc>
        <w:tc>
          <w:tcPr>
            <w:tcW w:w="680" w:type="dxa"/>
            <w:vAlign w:val="bottom"/>
            <w:tcBorders>
              <w:bottom w:val="single" w:sz="8" w:color="DCDDDE"/>
            </w:tcBorders>
          </w:tcPr>
          <w:p>
            <w:pPr>
              <w:spacing w:after="0"/>
              <w:rPr>
                <w:sz w:val="15"/>
                <w:szCs w:val="15"/>
                <w:color w:val="auto"/>
              </w:rPr>
            </w:pPr>
          </w:p>
        </w:tc>
        <w:tc>
          <w:tcPr>
            <w:tcW w:w="840" w:type="dxa"/>
            <w:vAlign w:val="bottom"/>
            <w:tcBorders>
              <w:bottom w:val="single" w:sz="8" w:color="DCDDDE"/>
            </w:tcBorders>
          </w:tcPr>
          <w:p>
            <w:pPr>
              <w:jc w:val="right"/>
              <w:ind w:right="21"/>
              <w:spacing w:after="0"/>
              <w:rPr>
                <w:sz w:val="20"/>
                <w:szCs w:val="20"/>
                <w:color w:val="auto"/>
              </w:rPr>
            </w:pPr>
            <w:r>
              <w:rPr>
                <w:rFonts w:ascii="Arial" w:cs="Arial" w:eastAsia="Arial" w:hAnsi="Arial"/>
                <w:sz w:val="13"/>
                <w:szCs w:val="13"/>
                <w:color w:val="auto"/>
              </w:rPr>
              <w:t>6,619,338</w:t>
            </w:r>
          </w:p>
        </w:tc>
        <w:tc>
          <w:tcPr>
            <w:tcW w:w="0" w:type="dxa"/>
            <w:vAlign w:val="bottom"/>
          </w:tcPr>
          <w:p>
            <w:pPr>
              <w:spacing w:after="0"/>
              <w:rPr>
                <w:sz w:val="1"/>
                <w:szCs w:val="1"/>
                <w:color w:val="auto"/>
              </w:rPr>
            </w:pPr>
          </w:p>
        </w:tc>
      </w:tr>
      <w:tr>
        <w:trPr>
          <w:trHeight w:val="183"/>
        </w:trPr>
        <w:tc>
          <w:tcPr>
            <w:tcW w:w="34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w w:val="94"/>
              </w:rPr>
              <w:t>3/1/2024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2/7/2024</w:t>
            </w:r>
          </w:p>
        </w:tc>
        <w:tc>
          <w:tcPr>
            <w:tcW w:w="7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223,920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42.80</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rPr>
              <w:t>2,125,001</w:t>
            </w:r>
          </w:p>
        </w:tc>
        <w:tc>
          <w:tcPr>
            <w:tcW w:w="0" w:type="dxa"/>
            <w:vAlign w:val="bottom"/>
          </w:tcPr>
          <w:p>
            <w:pPr>
              <w:spacing w:after="0"/>
              <w:rPr>
                <w:sz w:val="1"/>
                <w:szCs w:val="1"/>
                <w:color w:val="auto"/>
              </w:rPr>
            </w:pPr>
          </w:p>
        </w:tc>
      </w:tr>
      <w:tr>
        <w:trPr>
          <w:trHeight w:val="185"/>
        </w:trPr>
        <w:tc>
          <w:tcPr>
            <w:tcW w:w="3440" w:type="dxa"/>
            <w:vAlign w:val="bottom"/>
          </w:tcPr>
          <w:p>
            <w:pPr>
              <w:ind w:left="80"/>
              <w:spacing w:after="0"/>
              <w:rPr>
                <w:sz w:val="20"/>
                <w:szCs w:val="20"/>
                <w:color w:val="auto"/>
              </w:rPr>
            </w:pPr>
            <w:r>
              <w:rPr>
                <w:rFonts w:ascii="Arial" w:cs="Arial" w:eastAsia="Arial" w:hAnsi="Arial"/>
                <w:sz w:val="13"/>
                <w:szCs w:val="13"/>
                <w:b w:val="1"/>
                <w:bCs w:val="1"/>
                <w:color w:val="auto"/>
              </w:rPr>
              <w:t>Thomas J. Reid</w:t>
            </w:r>
          </w:p>
        </w:tc>
        <w:tc>
          <w:tcPr>
            <w:tcW w:w="600" w:type="dxa"/>
            <w:vAlign w:val="bottom"/>
            <w:tcBorders>
              <w:bottom w:val="single" w:sz="8" w:color="DCDDDE"/>
            </w:tcBorders>
          </w:tcPr>
          <w:p>
            <w:pPr>
              <w:jc w:val="right"/>
              <w:ind w:right="38"/>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DCDDDE"/>
            </w:tcBorders>
          </w:tcPr>
          <w:p>
            <w:pPr>
              <w:spacing w:after="0"/>
              <w:rPr>
                <w:sz w:val="16"/>
                <w:szCs w:val="16"/>
                <w:color w:val="auto"/>
              </w:rPr>
            </w:pPr>
          </w:p>
        </w:tc>
        <w:tc>
          <w:tcPr>
            <w:tcW w:w="78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664,328</w:t>
            </w:r>
          </w:p>
        </w:tc>
        <w:tc>
          <w:tcPr>
            <w:tcW w:w="64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4,745,198</w:t>
            </w:r>
          </w:p>
        </w:tc>
        <w:tc>
          <w:tcPr>
            <w:tcW w:w="740" w:type="dxa"/>
            <w:vAlign w:val="bottom"/>
            <w:tcBorders>
              <w:bottom w:val="single" w:sz="8" w:color="DCDDDE"/>
            </w:tcBorders>
            <w:gridSpan w:val="2"/>
          </w:tcPr>
          <w:p>
            <w:pPr>
              <w:jc w:val="right"/>
              <w:ind w:right="60"/>
              <w:spacing w:after="0"/>
              <w:rPr>
                <w:sz w:val="20"/>
                <w:szCs w:val="20"/>
                <w:color w:val="auto"/>
              </w:rPr>
            </w:pPr>
            <w:r>
              <w:rPr>
                <w:rFonts w:ascii="Arial" w:cs="Arial" w:eastAsia="Arial" w:hAnsi="Arial"/>
                <w:sz w:val="13"/>
                <w:szCs w:val="13"/>
                <w:color w:val="auto"/>
              </w:rPr>
              <w:t>9,134,505</w:t>
            </w:r>
          </w:p>
        </w:tc>
        <w:tc>
          <w:tcPr>
            <w:tcW w:w="780" w:type="dxa"/>
            <w:vAlign w:val="bottom"/>
            <w:tcBorders>
              <w:bottom w:val="single" w:sz="8" w:color="DCDDDE"/>
            </w:tcBorders>
          </w:tcPr>
          <w:p>
            <w:pPr>
              <w:spacing w:after="0"/>
              <w:rPr>
                <w:sz w:val="16"/>
                <w:szCs w:val="16"/>
                <w:color w:val="auto"/>
              </w:rPr>
            </w:pPr>
          </w:p>
        </w:tc>
        <w:tc>
          <w:tcPr>
            <w:tcW w:w="380" w:type="dxa"/>
            <w:vAlign w:val="bottom"/>
            <w:tcBorders>
              <w:bottom w:val="single" w:sz="8" w:color="DCDDDE"/>
            </w:tcBorders>
          </w:tcPr>
          <w:p>
            <w:pPr>
              <w:spacing w:after="0"/>
              <w:rPr>
                <w:sz w:val="16"/>
                <w:szCs w:val="16"/>
                <w:color w:val="auto"/>
              </w:rPr>
            </w:pPr>
          </w:p>
        </w:tc>
        <w:tc>
          <w:tcPr>
            <w:tcW w:w="160" w:type="dxa"/>
            <w:vAlign w:val="bottom"/>
            <w:tcBorders>
              <w:bottom w:val="single" w:sz="8" w:color="DCDDDE"/>
            </w:tcBorders>
          </w:tcPr>
          <w:p>
            <w:pPr>
              <w:spacing w:after="0"/>
              <w:rPr>
                <w:sz w:val="16"/>
                <w:szCs w:val="16"/>
                <w:color w:val="auto"/>
              </w:rPr>
            </w:pPr>
          </w:p>
        </w:tc>
        <w:tc>
          <w:tcPr>
            <w:tcW w:w="620" w:type="dxa"/>
            <w:vAlign w:val="bottom"/>
            <w:tcBorders>
              <w:bottom w:val="single" w:sz="8" w:color="DCDDDE"/>
            </w:tcBorders>
          </w:tcPr>
          <w:p>
            <w:pPr>
              <w:spacing w:after="0"/>
              <w:rPr>
                <w:sz w:val="16"/>
                <w:szCs w:val="16"/>
                <w:color w:val="auto"/>
              </w:rPr>
            </w:pPr>
          </w:p>
        </w:tc>
        <w:tc>
          <w:tcPr>
            <w:tcW w:w="40" w:type="dxa"/>
            <w:vAlign w:val="bottom"/>
            <w:tcBorders>
              <w:bottom w:val="single" w:sz="8" w:color="DCDDDE"/>
            </w:tcBorders>
          </w:tcPr>
          <w:p>
            <w:pPr>
              <w:spacing w:after="0"/>
              <w:rPr>
                <w:sz w:val="16"/>
                <w:szCs w:val="16"/>
                <w:color w:val="auto"/>
              </w:rPr>
            </w:pPr>
          </w:p>
        </w:tc>
        <w:tc>
          <w:tcPr>
            <w:tcW w:w="860" w:type="dxa"/>
            <w:vAlign w:val="bottom"/>
            <w:tcBorders>
              <w:bottom w:val="single" w:sz="8" w:color="DCDDDE"/>
            </w:tcBorders>
          </w:tcPr>
          <w:p>
            <w:pPr>
              <w:spacing w:after="0"/>
              <w:rPr>
                <w:sz w:val="16"/>
                <w:szCs w:val="16"/>
                <w:color w:val="auto"/>
              </w:rPr>
            </w:pPr>
          </w:p>
        </w:tc>
        <w:tc>
          <w:tcPr>
            <w:tcW w:w="680" w:type="dxa"/>
            <w:vAlign w:val="bottom"/>
            <w:tcBorders>
              <w:bottom w:val="single" w:sz="8" w:color="DCDDDE"/>
            </w:tcBorders>
          </w:tcPr>
          <w:p>
            <w:pPr>
              <w:spacing w:after="0"/>
              <w:rPr>
                <w:sz w:val="16"/>
                <w:szCs w:val="16"/>
                <w:color w:val="auto"/>
              </w:rPr>
            </w:pPr>
          </w:p>
        </w:tc>
        <w:tc>
          <w:tcPr>
            <w:tcW w:w="840" w:type="dxa"/>
            <w:vAlign w:val="bottom"/>
            <w:tcBorders>
              <w:bottom w:val="single" w:sz="8" w:color="DCDDDE"/>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rPr>
                <w:sz w:val="15"/>
                <w:szCs w:val="15"/>
                <w:color w:val="auto"/>
              </w:rPr>
            </w:pPr>
          </w:p>
        </w:tc>
        <w:tc>
          <w:tcPr>
            <w:tcW w:w="600" w:type="dxa"/>
            <w:vAlign w:val="bottom"/>
            <w:tcBorders>
              <w:bottom w:val="single" w:sz="8" w:color="DCDDDE"/>
            </w:tcBorders>
          </w:tcPr>
          <w:p>
            <w:pPr>
              <w:jc w:val="right"/>
              <w:ind w:right="38"/>
              <w:spacing w:after="0"/>
              <w:rPr>
                <w:sz w:val="20"/>
                <w:szCs w:val="20"/>
                <w:color w:val="auto"/>
              </w:rPr>
            </w:pPr>
            <w:r>
              <w:rPr>
                <w:rFonts w:ascii="Arial" w:cs="Arial" w:eastAsia="Arial" w:hAnsi="Arial"/>
                <w:sz w:val="13"/>
                <w:szCs w:val="13"/>
                <w:color w:val="auto"/>
                <w:w w:val="94"/>
              </w:rPr>
              <w:t>3/1/2024</w:t>
            </w: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2/7/2024</w:t>
            </w:r>
          </w:p>
        </w:tc>
        <w:tc>
          <w:tcPr>
            <w:tcW w:w="780" w:type="dxa"/>
            <w:vAlign w:val="bottom"/>
            <w:tcBorders>
              <w:bottom w:val="single" w:sz="8" w:color="DCDDDE"/>
            </w:tcBorders>
          </w:tcPr>
          <w:p>
            <w:pPr>
              <w:spacing w:after="0"/>
              <w:rPr>
                <w:sz w:val="15"/>
                <w:szCs w:val="15"/>
                <w:color w:val="auto"/>
              </w:rPr>
            </w:pPr>
          </w:p>
        </w:tc>
        <w:tc>
          <w:tcPr>
            <w:tcW w:w="640" w:type="dxa"/>
            <w:vAlign w:val="bottom"/>
            <w:tcBorders>
              <w:bottom w:val="single" w:sz="8" w:color="DCDDDE"/>
            </w:tcBorders>
          </w:tcPr>
          <w:p>
            <w:pPr>
              <w:spacing w:after="0"/>
              <w:rPr>
                <w:sz w:val="15"/>
                <w:szCs w:val="15"/>
                <w:color w:val="auto"/>
              </w:rPr>
            </w:pPr>
          </w:p>
        </w:tc>
        <w:tc>
          <w:tcPr>
            <w:tcW w:w="680" w:type="dxa"/>
            <w:vAlign w:val="bottom"/>
            <w:tcBorders>
              <w:bottom w:val="single" w:sz="8" w:color="DCDDDE"/>
            </w:tcBorders>
          </w:tcPr>
          <w:p>
            <w:pPr>
              <w:spacing w:after="0"/>
              <w:rPr>
                <w:sz w:val="15"/>
                <w:szCs w:val="15"/>
                <w:color w:val="auto"/>
              </w:rPr>
            </w:pPr>
          </w:p>
        </w:tc>
        <w:tc>
          <w:tcPr>
            <w:tcW w:w="60" w:type="dxa"/>
            <w:vAlign w:val="bottom"/>
            <w:tcBorders>
              <w:bottom w:val="single" w:sz="8" w:color="DCDDDE"/>
            </w:tcBorders>
          </w:tcPr>
          <w:p>
            <w:pPr>
              <w:spacing w:after="0"/>
              <w:rPr>
                <w:sz w:val="15"/>
                <w:szCs w:val="15"/>
                <w:color w:val="auto"/>
              </w:rPr>
            </w:pPr>
          </w:p>
        </w:tc>
        <w:tc>
          <w:tcPr>
            <w:tcW w:w="78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22,507</w:t>
            </w:r>
          </w:p>
        </w:tc>
        <w:tc>
          <w:tcPr>
            <w:tcW w:w="540" w:type="dxa"/>
            <w:vAlign w:val="bottom"/>
            <w:tcBorders>
              <w:bottom w:val="single" w:sz="8" w:color="DCDDDE"/>
            </w:tcBorders>
            <w:gridSpan w:val="2"/>
          </w:tcPr>
          <w:p>
            <w:pPr>
              <w:jc w:val="right"/>
              <w:spacing w:after="0"/>
              <w:rPr>
                <w:sz w:val="20"/>
                <w:szCs w:val="20"/>
                <w:color w:val="auto"/>
              </w:rPr>
            </w:pPr>
            <w:r>
              <w:rPr>
                <w:rFonts w:ascii="Arial" w:cs="Arial" w:eastAsia="Arial" w:hAnsi="Arial"/>
                <w:sz w:val="13"/>
                <w:szCs w:val="13"/>
                <w:color w:val="auto"/>
              </w:rPr>
              <w:t>120,040</w:t>
            </w:r>
          </w:p>
        </w:tc>
        <w:tc>
          <w:tcPr>
            <w:tcW w:w="62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300,100</w:t>
            </w:r>
          </w:p>
        </w:tc>
        <w:tc>
          <w:tcPr>
            <w:tcW w:w="40" w:type="dxa"/>
            <w:vAlign w:val="bottom"/>
            <w:tcBorders>
              <w:bottom w:val="single" w:sz="8" w:color="DCDDDE"/>
            </w:tcBorders>
          </w:tcPr>
          <w:p>
            <w:pPr>
              <w:spacing w:after="0"/>
              <w:rPr>
                <w:sz w:val="15"/>
                <w:szCs w:val="15"/>
                <w:color w:val="auto"/>
              </w:rPr>
            </w:pPr>
          </w:p>
        </w:tc>
        <w:tc>
          <w:tcPr>
            <w:tcW w:w="860" w:type="dxa"/>
            <w:vAlign w:val="bottom"/>
            <w:tcBorders>
              <w:bottom w:val="single" w:sz="8" w:color="DCDDDE"/>
            </w:tcBorders>
          </w:tcPr>
          <w:p>
            <w:pPr>
              <w:spacing w:after="0"/>
              <w:rPr>
                <w:sz w:val="15"/>
                <w:szCs w:val="15"/>
                <w:color w:val="auto"/>
              </w:rPr>
            </w:pPr>
          </w:p>
        </w:tc>
        <w:tc>
          <w:tcPr>
            <w:tcW w:w="680" w:type="dxa"/>
            <w:vAlign w:val="bottom"/>
            <w:tcBorders>
              <w:bottom w:val="single" w:sz="8" w:color="DCDDDE"/>
            </w:tcBorders>
          </w:tcPr>
          <w:p>
            <w:pPr>
              <w:spacing w:after="0"/>
              <w:rPr>
                <w:sz w:val="15"/>
                <w:szCs w:val="15"/>
                <w:color w:val="auto"/>
              </w:rPr>
            </w:pPr>
          </w:p>
        </w:tc>
        <w:tc>
          <w:tcPr>
            <w:tcW w:w="840" w:type="dxa"/>
            <w:vAlign w:val="bottom"/>
            <w:tcBorders>
              <w:bottom w:val="single" w:sz="8" w:color="DCDDDE"/>
            </w:tcBorders>
          </w:tcPr>
          <w:p>
            <w:pPr>
              <w:jc w:val="right"/>
              <w:ind w:right="21"/>
              <w:spacing w:after="0"/>
              <w:rPr>
                <w:sz w:val="20"/>
                <w:szCs w:val="20"/>
                <w:color w:val="auto"/>
              </w:rPr>
            </w:pPr>
            <w:r>
              <w:rPr>
                <w:rFonts w:ascii="Arial" w:cs="Arial" w:eastAsia="Arial" w:hAnsi="Arial"/>
                <w:sz w:val="13"/>
                <w:szCs w:val="13"/>
                <w:color w:val="auto"/>
              </w:rPr>
              <w:t>5,334,578</w:t>
            </w:r>
          </w:p>
        </w:tc>
        <w:tc>
          <w:tcPr>
            <w:tcW w:w="0" w:type="dxa"/>
            <w:vAlign w:val="bottom"/>
          </w:tcPr>
          <w:p>
            <w:pPr>
              <w:spacing w:after="0"/>
              <w:rPr>
                <w:sz w:val="1"/>
                <w:szCs w:val="1"/>
                <w:color w:val="auto"/>
              </w:rPr>
            </w:pPr>
          </w:p>
        </w:tc>
      </w:tr>
      <w:tr>
        <w:trPr>
          <w:trHeight w:val="182"/>
        </w:trPr>
        <w:tc>
          <w:tcPr>
            <w:tcW w:w="34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w w:val="94"/>
              </w:rPr>
              <w:t>3/1/2024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2/7/2024</w:t>
            </w:r>
          </w:p>
        </w:tc>
        <w:tc>
          <w:tcPr>
            <w:tcW w:w="7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180,455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42.80</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rPr>
              <w:t>1,712,518</w:t>
            </w:r>
          </w:p>
        </w:tc>
        <w:tc>
          <w:tcPr>
            <w:tcW w:w="0" w:type="dxa"/>
            <w:vAlign w:val="bottom"/>
          </w:tcPr>
          <w:p>
            <w:pPr>
              <w:spacing w:after="0"/>
              <w:rPr>
                <w:sz w:val="1"/>
                <w:szCs w:val="1"/>
                <w:color w:val="auto"/>
              </w:rPr>
            </w:pPr>
          </w:p>
        </w:tc>
      </w:tr>
      <w:tr>
        <w:trPr>
          <w:trHeight w:val="185"/>
        </w:trPr>
        <w:tc>
          <w:tcPr>
            <w:tcW w:w="3440" w:type="dxa"/>
            <w:vAlign w:val="bottom"/>
          </w:tcPr>
          <w:p>
            <w:pPr>
              <w:ind w:left="80"/>
              <w:spacing w:after="0"/>
              <w:rPr>
                <w:sz w:val="20"/>
                <w:szCs w:val="20"/>
                <w:color w:val="auto"/>
              </w:rPr>
            </w:pPr>
            <w:r>
              <w:rPr>
                <w:rFonts w:ascii="Arial" w:cs="Arial" w:eastAsia="Arial" w:hAnsi="Arial"/>
                <w:sz w:val="13"/>
                <w:szCs w:val="13"/>
                <w:b w:val="1"/>
                <w:bCs w:val="1"/>
                <w:color w:val="auto"/>
              </w:rPr>
              <w:t>Jennifer Khoury</w:t>
            </w:r>
          </w:p>
        </w:tc>
        <w:tc>
          <w:tcPr>
            <w:tcW w:w="600" w:type="dxa"/>
            <w:vAlign w:val="bottom"/>
            <w:tcBorders>
              <w:bottom w:val="single" w:sz="8" w:color="DCDDDE"/>
            </w:tcBorders>
          </w:tcPr>
          <w:p>
            <w:pPr>
              <w:jc w:val="right"/>
              <w:ind w:right="38"/>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DCDDDE"/>
            </w:tcBorders>
          </w:tcPr>
          <w:p>
            <w:pPr>
              <w:spacing w:after="0"/>
              <w:rPr>
                <w:sz w:val="16"/>
                <w:szCs w:val="16"/>
                <w:color w:val="auto"/>
              </w:rPr>
            </w:pPr>
          </w:p>
        </w:tc>
        <w:tc>
          <w:tcPr>
            <w:tcW w:w="78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315,000</w:t>
            </w:r>
          </w:p>
        </w:tc>
        <w:tc>
          <w:tcPr>
            <w:tcW w:w="64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2,250,000</w:t>
            </w:r>
          </w:p>
        </w:tc>
        <w:tc>
          <w:tcPr>
            <w:tcW w:w="740" w:type="dxa"/>
            <w:vAlign w:val="bottom"/>
            <w:tcBorders>
              <w:bottom w:val="single" w:sz="8" w:color="DCDDDE"/>
            </w:tcBorders>
            <w:gridSpan w:val="2"/>
          </w:tcPr>
          <w:p>
            <w:pPr>
              <w:jc w:val="right"/>
              <w:ind w:right="60"/>
              <w:spacing w:after="0"/>
              <w:rPr>
                <w:sz w:val="20"/>
                <w:szCs w:val="20"/>
                <w:color w:val="auto"/>
              </w:rPr>
            </w:pPr>
            <w:r>
              <w:rPr>
                <w:rFonts w:ascii="Arial" w:cs="Arial" w:eastAsia="Arial" w:hAnsi="Arial"/>
                <w:sz w:val="13"/>
                <w:szCs w:val="13"/>
                <w:color w:val="auto"/>
              </w:rPr>
              <w:t>4,331,250</w:t>
            </w:r>
          </w:p>
        </w:tc>
        <w:tc>
          <w:tcPr>
            <w:tcW w:w="780" w:type="dxa"/>
            <w:vAlign w:val="bottom"/>
            <w:tcBorders>
              <w:bottom w:val="single" w:sz="8" w:color="DCDDDE"/>
            </w:tcBorders>
          </w:tcPr>
          <w:p>
            <w:pPr>
              <w:spacing w:after="0"/>
              <w:rPr>
                <w:sz w:val="16"/>
                <w:szCs w:val="16"/>
                <w:color w:val="auto"/>
              </w:rPr>
            </w:pPr>
          </w:p>
        </w:tc>
        <w:tc>
          <w:tcPr>
            <w:tcW w:w="380" w:type="dxa"/>
            <w:vAlign w:val="bottom"/>
            <w:tcBorders>
              <w:bottom w:val="single" w:sz="8" w:color="DCDDDE"/>
            </w:tcBorders>
          </w:tcPr>
          <w:p>
            <w:pPr>
              <w:spacing w:after="0"/>
              <w:rPr>
                <w:sz w:val="16"/>
                <w:szCs w:val="16"/>
                <w:color w:val="auto"/>
              </w:rPr>
            </w:pPr>
          </w:p>
        </w:tc>
        <w:tc>
          <w:tcPr>
            <w:tcW w:w="160" w:type="dxa"/>
            <w:vAlign w:val="bottom"/>
            <w:tcBorders>
              <w:bottom w:val="single" w:sz="8" w:color="DCDDDE"/>
            </w:tcBorders>
          </w:tcPr>
          <w:p>
            <w:pPr>
              <w:spacing w:after="0"/>
              <w:rPr>
                <w:sz w:val="16"/>
                <w:szCs w:val="16"/>
                <w:color w:val="auto"/>
              </w:rPr>
            </w:pPr>
          </w:p>
        </w:tc>
        <w:tc>
          <w:tcPr>
            <w:tcW w:w="620" w:type="dxa"/>
            <w:vAlign w:val="bottom"/>
            <w:tcBorders>
              <w:bottom w:val="single" w:sz="8" w:color="DCDDDE"/>
            </w:tcBorders>
          </w:tcPr>
          <w:p>
            <w:pPr>
              <w:spacing w:after="0"/>
              <w:rPr>
                <w:sz w:val="16"/>
                <w:szCs w:val="16"/>
                <w:color w:val="auto"/>
              </w:rPr>
            </w:pPr>
          </w:p>
        </w:tc>
        <w:tc>
          <w:tcPr>
            <w:tcW w:w="40" w:type="dxa"/>
            <w:vAlign w:val="bottom"/>
            <w:tcBorders>
              <w:bottom w:val="single" w:sz="8" w:color="DCDDDE"/>
            </w:tcBorders>
          </w:tcPr>
          <w:p>
            <w:pPr>
              <w:spacing w:after="0"/>
              <w:rPr>
                <w:sz w:val="16"/>
                <w:szCs w:val="16"/>
                <w:color w:val="auto"/>
              </w:rPr>
            </w:pPr>
          </w:p>
        </w:tc>
        <w:tc>
          <w:tcPr>
            <w:tcW w:w="860" w:type="dxa"/>
            <w:vAlign w:val="bottom"/>
            <w:tcBorders>
              <w:bottom w:val="single" w:sz="8" w:color="DCDDDE"/>
            </w:tcBorders>
          </w:tcPr>
          <w:p>
            <w:pPr>
              <w:spacing w:after="0"/>
              <w:rPr>
                <w:sz w:val="16"/>
                <w:szCs w:val="16"/>
                <w:color w:val="auto"/>
              </w:rPr>
            </w:pPr>
          </w:p>
        </w:tc>
        <w:tc>
          <w:tcPr>
            <w:tcW w:w="680" w:type="dxa"/>
            <w:vAlign w:val="bottom"/>
            <w:tcBorders>
              <w:bottom w:val="single" w:sz="8" w:color="DCDDDE"/>
            </w:tcBorders>
          </w:tcPr>
          <w:p>
            <w:pPr>
              <w:spacing w:after="0"/>
              <w:rPr>
                <w:sz w:val="16"/>
                <w:szCs w:val="16"/>
                <w:color w:val="auto"/>
              </w:rPr>
            </w:pPr>
          </w:p>
        </w:tc>
        <w:tc>
          <w:tcPr>
            <w:tcW w:w="840" w:type="dxa"/>
            <w:vAlign w:val="bottom"/>
            <w:tcBorders>
              <w:bottom w:val="single" w:sz="8" w:color="DCDDDE"/>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rPr>
                <w:sz w:val="15"/>
                <w:szCs w:val="15"/>
                <w:color w:val="auto"/>
              </w:rPr>
            </w:pPr>
          </w:p>
        </w:tc>
        <w:tc>
          <w:tcPr>
            <w:tcW w:w="600" w:type="dxa"/>
            <w:vAlign w:val="bottom"/>
            <w:tcBorders>
              <w:bottom w:val="single" w:sz="8" w:color="DCDDDE"/>
            </w:tcBorders>
          </w:tcPr>
          <w:p>
            <w:pPr>
              <w:jc w:val="right"/>
              <w:ind w:right="38"/>
              <w:spacing w:after="0"/>
              <w:rPr>
                <w:sz w:val="20"/>
                <w:szCs w:val="20"/>
                <w:color w:val="auto"/>
              </w:rPr>
            </w:pPr>
            <w:r>
              <w:rPr>
                <w:rFonts w:ascii="Arial" w:cs="Arial" w:eastAsia="Arial" w:hAnsi="Arial"/>
                <w:sz w:val="13"/>
                <w:szCs w:val="13"/>
                <w:color w:val="auto"/>
                <w:w w:val="94"/>
              </w:rPr>
              <w:t>3/1/2024</w:t>
            </w: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2/7/2024</w:t>
            </w:r>
          </w:p>
        </w:tc>
        <w:tc>
          <w:tcPr>
            <w:tcW w:w="780" w:type="dxa"/>
            <w:vAlign w:val="bottom"/>
            <w:tcBorders>
              <w:bottom w:val="single" w:sz="8" w:color="DCDDDE"/>
            </w:tcBorders>
          </w:tcPr>
          <w:p>
            <w:pPr>
              <w:spacing w:after="0"/>
              <w:rPr>
                <w:sz w:val="15"/>
                <w:szCs w:val="15"/>
                <w:color w:val="auto"/>
              </w:rPr>
            </w:pPr>
          </w:p>
        </w:tc>
        <w:tc>
          <w:tcPr>
            <w:tcW w:w="640" w:type="dxa"/>
            <w:vAlign w:val="bottom"/>
            <w:tcBorders>
              <w:bottom w:val="single" w:sz="8" w:color="DCDDDE"/>
            </w:tcBorders>
          </w:tcPr>
          <w:p>
            <w:pPr>
              <w:spacing w:after="0"/>
              <w:rPr>
                <w:sz w:val="15"/>
                <w:szCs w:val="15"/>
                <w:color w:val="auto"/>
              </w:rPr>
            </w:pPr>
          </w:p>
        </w:tc>
        <w:tc>
          <w:tcPr>
            <w:tcW w:w="680" w:type="dxa"/>
            <w:vAlign w:val="bottom"/>
            <w:tcBorders>
              <w:bottom w:val="single" w:sz="8" w:color="DCDDDE"/>
            </w:tcBorders>
          </w:tcPr>
          <w:p>
            <w:pPr>
              <w:spacing w:after="0"/>
              <w:rPr>
                <w:sz w:val="15"/>
                <w:szCs w:val="15"/>
                <w:color w:val="auto"/>
              </w:rPr>
            </w:pPr>
          </w:p>
        </w:tc>
        <w:tc>
          <w:tcPr>
            <w:tcW w:w="60" w:type="dxa"/>
            <w:vAlign w:val="bottom"/>
            <w:tcBorders>
              <w:bottom w:val="single" w:sz="8" w:color="DCDDDE"/>
            </w:tcBorders>
          </w:tcPr>
          <w:p>
            <w:pPr>
              <w:spacing w:after="0"/>
              <w:rPr>
                <w:sz w:val="15"/>
                <w:szCs w:val="15"/>
                <w:color w:val="auto"/>
              </w:rPr>
            </w:pPr>
          </w:p>
        </w:tc>
        <w:tc>
          <w:tcPr>
            <w:tcW w:w="78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4,929</w:t>
            </w:r>
          </w:p>
        </w:tc>
        <w:tc>
          <w:tcPr>
            <w:tcW w:w="540" w:type="dxa"/>
            <w:vAlign w:val="bottom"/>
            <w:tcBorders>
              <w:bottom w:val="single" w:sz="8" w:color="DCDDDE"/>
            </w:tcBorders>
            <w:gridSpan w:val="2"/>
          </w:tcPr>
          <w:p>
            <w:pPr>
              <w:jc w:val="right"/>
              <w:spacing w:after="0"/>
              <w:rPr>
                <w:sz w:val="20"/>
                <w:szCs w:val="20"/>
                <w:color w:val="auto"/>
              </w:rPr>
            </w:pPr>
            <w:r>
              <w:rPr>
                <w:rFonts w:ascii="Arial" w:cs="Arial" w:eastAsia="Arial" w:hAnsi="Arial"/>
                <w:sz w:val="13"/>
                <w:szCs w:val="13"/>
                <w:color w:val="auto"/>
              </w:rPr>
              <w:t>26,290</w:t>
            </w:r>
          </w:p>
        </w:tc>
        <w:tc>
          <w:tcPr>
            <w:tcW w:w="660" w:type="dxa"/>
            <w:vAlign w:val="bottom"/>
            <w:tcBorders>
              <w:bottom w:val="single" w:sz="8" w:color="DCDDDE"/>
            </w:tcBorders>
            <w:gridSpan w:val="2"/>
          </w:tcPr>
          <w:p>
            <w:pPr>
              <w:jc w:val="right"/>
              <w:ind w:right="40"/>
              <w:spacing w:after="0"/>
              <w:rPr>
                <w:sz w:val="20"/>
                <w:szCs w:val="20"/>
                <w:color w:val="auto"/>
              </w:rPr>
            </w:pPr>
            <w:r>
              <w:rPr>
                <w:rFonts w:ascii="Arial" w:cs="Arial" w:eastAsia="Arial" w:hAnsi="Arial"/>
                <w:sz w:val="13"/>
                <w:szCs w:val="13"/>
                <w:color w:val="auto"/>
              </w:rPr>
              <w:t>65,725</w:t>
            </w:r>
          </w:p>
        </w:tc>
        <w:tc>
          <w:tcPr>
            <w:tcW w:w="860" w:type="dxa"/>
            <w:vAlign w:val="bottom"/>
            <w:tcBorders>
              <w:bottom w:val="single" w:sz="8" w:color="DCDDDE"/>
            </w:tcBorders>
          </w:tcPr>
          <w:p>
            <w:pPr>
              <w:spacing w:after="0"/>
              <w:rPr>
                <w:sz w:val="15"/>
                <w:szCs w:val="15"/>
                <w:color w:val="auto"/>
              </w:rPr>
            </w:pPr>
          </w:p>
        </w:tc>
        <w:tc>
          <w:tcPr>
            <w:tcW w:w="680" w:type="dxa"/>
            <w:vAlign w:val="bottom"/>
            <w:tcBorders>
              <w:bottom w:val="single" w:sz="8" w:color="DCDDDE"/>
            </w:tcBorders>
          </w:tcPr>
          <w:p>
            <w:pPr>
              <w:spacing w:after="0"/>
              <w:rPr>
                <w:sz w:val="15"/>
                <w:szCs w:val="15"/>
                <w:color w:val="auto"/>
              </w:rPr>
            </w:pPr>
          </w:p>
        </w:tc>
        <w:tc>
          <w:tcPr>
            <w:tcW w:w="840" w:type="dxa"/>
            <w:vAlign w:val="bottom"/>
            <w:tcBorders>
              <w:bottom w:val="single" w:sz="8" w:color="DCDDDE"/>
            </w:tcBorders>
          </w:tcPr>
          <w:p>
            <w:pPr>
              <w:jc w:val="right"/>
              <w:ind w:right="21"/>
              <w:spacing w:after="0"/>
              <w:rPr>
                <w:sz w:val="20"/>
                <w:szCs w:val="20"/>
                <w:color w:val="auto"/>
              </w:rPr>
            </w:pPr>
            <w:r>
              <w:rPr>
                <w:rFonts w:ascii="Arial" w:cs="Arial" w:eastAsia="Arial" w:hAnsi="Arial"/>
                <w:sz w:val="13"/>
                <w:szCs w:val="13"/>
                <w:color w:val="auto"/>
              </w:rPr>
              <w:t>1,168,328</w:t>
            </w:r>
          </w:p>
        </w:tc>
        <w:tc>
          <w:tcPr>
            <w:tcW w:w="0" w:type="dxa"/>
            <w:vAlign w:val="bottom"/>
          </w:tcPr>
          <w:p>
            <w:pPr>
              <w:spacing w:after="0"/>
              <w:rPr>
                <w:sz w:val="1"/>
                <w:szCs w:val="1"/>
                <w:color w:val="auto"/>
              </w:rPr>
            </w:pPr>
          </w:p>
        </w:tc>
      </w:tr>
      <w:tr>
        <w:trPr>
          <w:trHeight w:val="183"/>
        </w:trPr>
        <w:tc>
          <w:tcPr>
            <w:tcW w:w="34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w w:val="94"/>
              </w:rPr>
              <w:t>3/1/2024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2/7/2024</w:t>
            </w:r>
          </w:p>
        </w:tc>
        <w:tc>
          <w:tcPr>
            <w:tcW w:w="7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39,520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42.80</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rPr>
              <w:t>375,045</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20" w:right="500" w:hanging="312"/>
        <w:spacing w:after="0" w:line="264" w:lineRule="auto"/>
        <w:tabs>
          <w:tab w:leader="none" w:pos="320" w:val="left"/>
        </w:tabs>
        <w:numPr>
          <w:ilvl w:val="0"/>
          <w:numId w:val="79"/>
        </w:numPr>
        <w:rPr>
          <w:rFonts w:ascii="Arial" w:cs="Arial" w:eastAsia="Arial" w:hAnsi="Arial"/>
          <w:sz w:val="13"/>
          <w:szCs w:val="13"/>
          <w:color w:val="auto"/>
        </w:rPr>
      </w:pPr>
      <w:r>
        <w:rPr>
          <w:rFonts w:ascii="Arial" w:cs="Arial" w:eastAsia="Arial" w:hAnsi="Arial"/>
          <w:sz w:val="15"/>
          <w:szCs w:val="15"/>
          <w:color w:val="auto"/>
        </w:rPr>
        <w:t>Represents annual performance-based bonus awards granted under our cash bonus plans. The actual amounts earned with respect to these bonuses are included in the “Summary Compensation Table” above under the “Non-Equity Incentive Plan Compensation” column.</w:t>
      </w:r>
    </w:p>
    <w:p>
      <w:pPr>
        <w:spacing w:after="0" w:line="79" w:lineRule="exact"/>
        <w:rPr>
          <w:rFonts w:ascii="Arial" w:cs="Arial" w:eastAsia="Arial" w:hAnsi="Arial"/>
          <w:sz w:val="13"/>
          <w:szCs w:val="13"/>
          <w:color w:val="auto"/>
        </w:rPr>
      </w:pPr>
    </w:p>
    <w:p>
      <w:pPr>
        <w:ind w:left="320" w:right="20" w:hanging="312"/>
        <w:spacing w:after="0" w:line="230" w:lineRule="auto"/>
        <w:tabs>
          <w:tab w:leader="none" w:pos="320" w:val="left"/>
        </w:tabs>
        <w:numPr>
          <w:ilvl w:val="0"/>
          <w:numId w:val="79"/>
        </w:numPr>
        <w:rPr>
          <w:rFonts w:ascii="Arial" w:cs="Arial" w:eastAsia="Arial" w:hAnsi="Arial"/>
          <w:sz w:val="13"/>
          <w:szCs w:val="13"/>
          <w:color w:val="auto"/>
        </w:rPr>
      </w:pPr>
      <w:r>
        <w:rPr>
          <w:rFonts w:ascii="Arial" w:cs="Arial" w:eastAsia="Arial" w:hAnsi="Arial"/>
          <w:sz w:val="15"/>
          <w:szCs w:val="15"/>
          <w:color w:val="auto"/>
        </w:rPr>
        <w:t>The amounts in columns (d) through (f) represent shares of Class A common stock underlying PSUs granted under our 2023 Omnibus Equity Incentive Plan. PSUs cliff vest 100% on the third anniversary of the grant date. PSUs will be earned based on achievement of two primary performance metrics over a three-year period beginning in 2024, each weighted 50%: (i) ROIC, calculated based on our ROIC for each year during the three-year performance period and averaged at the end of such period to yield an average ROIC for the cumulative three-year period; and (ii) Relative Adjusted EPS Growth, calculated at the end of the cumulative three-year performance period based on the percentile ranking of our Adjusted EPS compound average annual growth rate during the performance period relative to that of the companies comprising the S&amp;P 100 Index. The actual number of PSUs earned will be based on (x) the three-year average ROIC measured against a pre-established target approved by the Compensation Committee in February 2024, with achievement level payouts ranging from 50% for threshold performance to 200% for maximum performance (with 100% as the target and linear interpolation between specified achievement levels) and (y) Relative Adjusted EPS Growth over the three-year period, with payouts ranging from 50% for performance at the 25th percentile to 200% for performance at or above the 75th percentile, and setting the target payout for performance at the median. For both metrics, payouts are zero for performance below the threshold.</w:t>
      </w:r>
    </w:p>
    <w:p>
      <w:pPr>
        <w:spacing w:after="0" w:line="102" w:lineRule="exact"/>
        <w:rPr>
          <w:rFonts w:ascii="Arial" w:cs="Arial" w:eastAsia="Arial" w:hAnsi="Arial"/>
          <w:sz w:val="13"/>
          <w:szCs w:val="13"/>
          <w:color w:val="auto"/>
        </w:rPr>
      </w:pPr>
    </w:p>
    <w:p>
      <w:pPr>
        <w:ind w:left="320" w:right="60"/>
        <w:spacing w:after="0" w:line="231" w:lineRule="auto"/>
        <w:rPr>
          <w:rFonts w:ascii="Arial" w:cs="Arial" w:eastAsia="Arial" w:hAnsi="Arial"/>
          <w:sz w:val="13"/>
          <w:szCs w:val="13"/>
          <w:color w:val="auto"/>
        </w:rPr>
      </w:pPr>
      <w:r>
        <w:rPr>
          <w:rFonts w:ascii="Arial" w:cs="Arial" w:eastAsia="Arial" w:hAnsi="Arial"/>
          <w:sz w:val="15"/>
          <w:szCs w:val="15"/>
          <w:color w:val="auto"/>
        </w:rPr>
        <w:t>After calculating the ROIC and Relative Adjusted EPS Growth components, the Relative TSR Modifier is applied, which is based on the percentile ranking of our TSR during such period relative to that of the companies comprising the S&amp;P 100 Index, as modified to account for changes in the index companies such as due to merger and acquisition activity. TSR will be determined based on the average stock price of each company for the 20 trading days prior to each of the first and last day of the performance period and will be calculated assuming the reinvestment of dividends. The actual number of PSUs earned will be determined after multiplying the payout levels for the two primary performance metrics by 25% for top quartile TSR performance or (25)% for bottom quartile performance, with performance in between straight-line interpolated. If our absolute TSR over the performance period is negative, then, irrespective of our TSR percentile ranking, no positive adjustment will be made to the payouts under the ROIC and Relative Adjusted EPS Growth components. See “Compensation Discussion and Analysis – Design and Structure of Executive Compensation – Equity-Based Incentive Compensation” above for additional information. Dividend equivalents accrue on shares underlying PSUs, although the amounts will only be paid (without interest) if and when the shares underlying PSUs vest.</w:t>
      </w:r>
    </w:p>
    <w:p>
      <w:pPr>
        <w:spacing w:after="0" w:line="98" w:lineRule="exact"/>
        <w:rPr>
          <w:rFonts w:ascii="Arial" w:cs="Arial" w:eastAsia="Arial" w:hAnsi="Arial"/>
          <w:sz w:val="13"/>
          <w:szCs w:val="13"/>
          <w:color w:val="auto"/>
        </w:rPr>
      </w:pPr>
    </w:p>
    <w:p>
      <w:pPr>
        <w:ind w:left="320" w:right="380" w:hanging="312"/>
        <w:spacing w:after="0" w:line="244" w:lineRule="auto"/>
        <w:tabs>
          <w:tab w:leader="none" w:pos="320" w:val="left"/>
        </w:tabs>
        <w:numPr>
          <w:ilvl w:val="0"/>
          <w:numId w:val="79"/>
        </w:numPr>
        <w:rPr>
          <w:rFonts w:ascii="Arial" w:cs="Arial" w:eastAsia="Arial" w:hAnsi="Arial"/>
          <w:sz w:val="13"/>
          <w:szCs w:val="13"/>
          <w:color w:val="auto"/>
        </w:rPr>
      </w:pPr>
      <w:r>
        <w:rPr>
          <w:rFonts w:ascii="Arial" w:cs="Arial" w:eastAsia="Arial" w:hAnsi="Arial"/>
          <w:sz w:val="15"/>
          <w:szCs w:val="15"/>
          <w:color w:val="auto"/>
        </w:rPr>
        <w:t>The amounts in this column represent shares of our Class A common stock underlying stock options granted under our 2023 Omnibus Equity Incentive Plan (“2023 Omnibus Plan”). Options become exercisable as follows: 20% of the shares become exercisable on each of the first, second, third, fourth and fifth anniversaries of the date of grant.</w:t>
      </w:r>
    </w:p>
    <w:p>
      <w:pPr>
        <w:spacing w:after="0" w:line="27" w:lineRule="exact"/>
        <w:rPr>
          <w:rFonts w:ascii="Arial" w:cs="Arial" w:eastAsia="Arial" w:hAnsi="Arial"/>
          <w:sz w:val="13"/>
          <w:szCs w:val="13"/>
          <w:color w:val="auto"/>
        </w:rPr>
      </w:pPr>
    </w:p>
    <w:p>
      <w:pPr>
        <w:ind w:left="320" w:right="20" w:hanging="312"/>
        <w:spacing w:after="0" w:line="238" w:lineRule="auto"/>
        <w:tabs>
          <w:tab w:leader="none" w:pos="320" w:val="left"/>
        </w:tabs>
        <w:numPr>
          <w:ilvl w:val="0"/>
          <w:numId w:val="79"/>
        </w:numPr>
        <w:rPr>
          <w:rFonts w:ascii="Arial" w:cs="Arial" w:eastAsia="Arial" w:hAnsi="Arial"/>
          <w:sz w:val="13"/>
          <w:szCs w:val="13"/>
          <w:color w:val="auto"/>
        </w:rPr>
      </w:pPr>
      <w:r>
        <w:rPr>
          <w:rFonts w:ascii="Arial" w:cs="Arial" w:eastAsia="Arial" w:hAnsi="Arial"/>
          <w:sz w:val="15"/>
          <w:szCs w:val="15"/>
          <w:color w:val="auto"/>
        </w:rPr>
        <w:t>The amounts in this column represent the grant date fair value of PSUs and stock options computed in accordance with FASB ASC Topic 718. These amounts do not necessarily correspond to the actual value that may be realized by the NEOs. The grant date fair value of PSUs was determined as described in footnote (2) to the “Summary Compensation Table.” Amounts with respect to stock options were calculated using the Black-Scholes option pricing model, based upon the assumptions set forth in footnote (3) to the “Summary Compensation Table.”</w:t>
      </w:r>
    </w:p>
    <w:p>
      <w:pPr>
        <w:spacing w:after="0" w:line="179" w:lineRule="exact"/>
        <w:rPr>
          <w:sz w:val="20"/>
          <w:szCs w:val="20"/>
          <w:color w:val="auto"/>
        </w:rPr>
      </w:pPr>
    </w:p>
    <w:p>
      <w:pPr>
        <w:ind w:left="400" w:hanging="392"/>
        <w:spacing w:after="0"/>
        <w:tabs>
          <w:tab w:leader="none" w:pos="400"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color w:val="auto"/>
        </w:rPr>
        <w:t>Outstanding Equity Awards at Fiscal Year-End</w:t>
      </w:r>
    </w:p>
    <w:p>
      <w:pPr>
        <w:spacing w:after="0" w:line="226"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The following table provides information on the holdings of stock options and stock awards by our NEOs as of December 31, 2024. This table includes unexercised vested and unvested options to purchase shares of Class A common stock (columns (a), (b), (c) and (d)), unvested RSUs with respect to shares of Class A common stock (columns (e) and (f)) and unvested PSUs with respect to shares of Class A common stock (columns (g) and (h)). The vesting schedules for these grants are disclosed in the footnotes to this table. The market value of stock awards is based on the closing market price of a share of our Class A common stock as of December 31, 2024, which was $37.53.</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NAME</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Brian L.</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Roberts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Michael J.</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Cavanagh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Jason S.</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Armstrong</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OPTION AWARDS</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right"/>
              <w:ind w:right="316"/>
              <w:spacing w:after="0"/>
              <w:rPr>
                <w:sz w:val="20"/>
                <w:szCs w:val="20"/>
                <w:color w:val="auto"/>
              </w:rPr>
            </w:pPr>
            <w:r>
              <w:rPr>
                <w:rFonts w:ascii="Arial" w:cs="Arial" w:eastAsia="Arial" w:hAnsi="Arial"/>
                <w:sz w:val="13"/>
                <w:szCs w:val="13"/>
                <w:b w:val="1"/>
                <w:bCs w:val="1"/>
                <w:color w:val="auto"/>
              </w:rPr>
              <w:t>STOCK AWARDS</w:t>
            </w: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jc w:val="right"/>
              <w:ind w:right="16"/>
              <w:spacing w:after="0" w:line="142"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5"/>
        </w:trPr>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auto"/>
              </w:rPr>
              <w:t>INCENTIVE</w:t>
            </w:r>
          </w:p>
        </w:tc>
        <w:tc>
          <w:tcPr>
            <w:tcW w:w="0" w:type="dxa"/>
            <w:vAlign w:val="bottom"/>
          </w:tcPr>
          <w:p>
            <w:pPr>
              <w:spacing w:after="0"/>
              <w:rPr>
                <w:sz w:val="1"/>
                <w:szCs w:val="1"/>
                <w:color w:val="auto"/>
              </w:rPr>
            </w:pPr>
          </w:p>
        </w:tc>
      </w:tr>
      <w:tr>
        <w:trPr>
          <w:trHeight w:val="135"/>
        </w:trPr>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EQUITY</w:t>
            </w:r>
          </w:p>
        </w:tc>
        <w:tc>
          <w:tcPr>
            <w:tcW w:w="116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auto"/>
              </w:rPr>
              <w:t>PLAN AWARDS:</w:t>
            </w:r>
          </w:p>
        </w:tc>
        <w:tc>
          <w:tcPr>
            <w:tcW w:w="0" w:type="dxa"/>
            <w:vAlign w:val="bottom"/>
          </w:tcPr>
          <w:p>
            <w:pPr>
              <w:spacing w:after="0"/>
              <w:rPr>
                <w:sz w:val="1"/>
                <w:szCs w:val="1"/>
                <w:color w:val="auto"/>
              </w:rPr>
            </w:pPr>
          </w:p>
        </w:tc>
      </w:tr>
      <w:tr>
        <w:trPr>
          <w:trHeight w:val="126"/>
        </w:trPr>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160" w:type="dxa"/>
            <w:vAlign w:val="bottom"/>
          </w:tcPr>
          <w:p>
            <w:pPr>
              <w:jc w:val="right"/>
              <w:ind w:right="16"/>
              <w:spacing w:after="0" w:line="126" w:lineRule="exact"/>
              <w:rPr>
                <w:sz w:val="20"/>
                <w:szCs w:val="20"/>
                <w:color w:val="auto"/>
              </w:rPr>
            </w:pPr>
            <w:r>
              <w:rPr>
                <w:rFonts w:ascii="Arial" w:cs="Arial" w:eastAsia="Arial" w:hAnsi="Arial"/>
                <w:sz w:val="13"/>
                <w:szCs w:val="13"/>
                <w:b w:val="1"/>
                <w:bCs w:val="1"/>
                <w:color w:val="auto"/>
              </w:rPr>
              <w:t>MARKET VALUE</w:t>
            </w:r>
          </w:p>
        </w:tc>
        <w:tc>
          <w:tcPr>
            <w:tcW w:w="0" w:type="dxa"/>
            <w:vAlign w:val="bottom"/>
          </w:tcPr>
          <w:p>
            <w:pPr>
              <w:spacing w:after="0"/>
              <w:rPr>
                <w:sz w:val="1"/>
                <w:szCs w:val="1"/>
                <w:color w:val="auto"/>
              </w:rPr>
            </w:pPr>
          </w:p>
        </w:tc>
      </w:tr>
      <w:tr>
        <w:trPr>
          <w:trHeight w:val="135"/>
        </w:trPr>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MARKET</w:t>
            </w:r>
          </w:p>
        </w:tc>
        <w:tc>
          <w:tcPr>
            <w:tcW w:w="118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auto"/>
              </w:rPr>
              <w:t>INCENTIVE</w:t>
            </w:r>
          </w:p>
        </w:tc>
        <w:tc>
          <w:tcPr>
            <w:tcW w:w="116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auto"/>
              </w:rPr>
              <w:t>OR PAYOUT</w:t>
            </w:r>
          </w:p>
        </w:tc>
        <w:tc>
          <w:tcPr>
            <w:tcW w:w="0" w:type="dxa"/>
            <w:vAlign w:val="bottom"/>
          </w:tcPr>
          <w:p>
            <w:pPr>
              <w:spacing w:after="0"/>
              <w:rPr>
                <w:sz w:val="1"/>
                <w:szCs w:val="1"/>
                <w:color w:val="auto"/>
              </w:rPr>
            </w:pPr>
          </w:p>
        </w:tc>
      </w:tr>
      <w:tr>
        <w:trPr>
          <w:trHeight w:val="135"/>
        </w:trPr>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18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auto"/>
              </w:rPr>
              <w:t>PLAN AWARDS:</w:t>
            </w:r>
          </w:p>
        </w:tc>
        <w:tc>
          <w:tcPr>
            <w:tcW w:w="116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35"/>
        </w:trPr>
        <w:tc>
          <w:tcPr>
            <w:tcW w:w="1080" w:type="dxa"/>
            <w:vAlign w:val="bottom"/>
            <w:gridSpan w:val="2"/>
            <w:vMerge w:val="restart"/>
          </w:tcPr>
          <w:p>
            <w:pPr>
              <w:jc w:val="right"/>
              <w:ind w:right="19"/>
              <w:spacing w:after="0"/>
              <w:rPr>
                <w:sz w:val="20"/>
                <w:szCs w:val="20"/>
                <w:color w:val="auto"/>
              </w:rPr>
            </w:pPr>
            <w:r>
              <w:rPr>
                <w:rFonts w:ascii="Arial" w:cs="Arial" w:eastAsia="Arial" w:hAnsi="Arial"/>
                <w:sz w:val="13"/>
                <w:szCs w:val="13"/>
                <w:b w:val="1"/>
                <w:bCs w:val="1"/>
                <w:color w:val="auto"/>
              </w:rPr>
              <w:t>NUMBER OF</w:t>
            </w:r>
          </w:p>
        </w:tc>
        <w:tc>
          <w:tcPr>
            <w:tcW w:w="12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3"/>
                <w:szCs w:val="13"/>
                <w:b w:val="1"/>
                <w:bCs w:val="1"/>
                <w:color w:val="auto"/>
                <w:w w:val="96"/>
              </w:rPr>
              <w:t>NUMBER OF</w:t>
            </w: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VALUE OF</w:t>
            </w:r>
          </w:p>
        </w:tc>
        <w:tc>
          <w:tcPr>
            <w:tcW w:w="118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auto"/>
              </w:rPr>
              <w:t>NUMBER OF</w:t>
            </w:r>
          </w:p>
        </w:tc>
        <w:tc>
          <w:tcPr>
            <w:tcW w:w="116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auto"/>
              </w:rPr>
              <w:t>UNEARNED</w:t>
            </w:r>
          </w:p>
        </w:tc>
        <w:tc>
          <w:tcPr>
            <w:tcW w:w="0" w:type="dxa"/>
            <w:vAlign w:val="bottom"/>
          </w:tcPr>
          <w:p>
            <w:pPr>
              <w:spacing w:after="0"/>
              <w:rPr>
                <w:sz w:val="1"/>
                <w:szCs w:val="1"/>
                <w:color w:val="auto"/>
              </w:rPr>
            </w:pPr>
          </w:p>
        </w:tc>
      </w:tr>
      <w:tr>
        <w:trPr>
          <w:trHeight w:val="135"/>
        </w:trPr>
        <w:tc>
          <w:tcPr>
            <w:tcW w:w="1080" w:type="dxa"/>
            <w:vAlign w:val="bottom"/>
            <w:gridSpan w:val="2"/>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 OR</w:t>
            </w:r>
          </w:p>
        </w:tc>
        <w:tc>
          <w:tcPr>
            <w:tcW w:w="118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auto"/>
              </w:rPr>
              <w:t>UNEARNED</w:t>
            </w:r>
          </w:p>
        </w:tc>
        <w:tc>
          <w:tcPr>
            <w:tcW w:w="116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135"/>
        </w:trPr>
        <w:tc>
          <w:tcPr>
            <w:tcW w:w="1080" w:type="dxa"/>
            <w:vAlign w:val="bottom"/>
            <w:gridSpan w:val="2"/>
          </w:tcPr>
          <w:p>
            <w:pPr>
              <w:jc w:val="right"/>
              <w:ind w:right="19"/>
              <w:spacing w:after="0" w:line="135" w:lineRule="exact"/>
              <w:rPr>
                <w:sz w:val="20"/>
                <w:szCs w:val="20"/>
                <w:color w:val="auto"/>
              </w:rPr>
            </w:pPr>
            <w:r>
              <w:rPr>
                <w:rFonts w:ascii="Arial" w:cs="Arial" w:eastAsia="Arial" w:hAnsi="Arial"/>
                <w:sz w:val="13"/>
                <w:szCs w:val="13"/>
                <w:b w:val="1"/>
                <w:bCs w:val="1"/>
                <w:color w:val="auto"/>
              </w:rPr>
              <w:t>SECURITIES</w:t>
            </w: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SECURITIES</w:t>
            </w: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OPTION</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 OR</w:t>
            </w: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UNITS OF</w:t>
            </w:r>
          </w:p>
        </w:tc>
        <w:tc>
          <w:tcPr>
            <w:tcW w:w="118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auto"/>
              </w:rPr>
              <w:t>SHARES,</w:t>
            </w:r>
          </w:p>
        </w:tc>
        <w:tc>
          <w:tcPr>
            <w:tcW w:w="116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auto"/>
              </w:rPr>
              <w:t>UNITS OR</w:t>
            </w:r>
          </w:p>
        </w:tc>
        <w:tc>
          <w:tcPr>
            <w:tcW w:w="0" w:type="dxa"/>
            <w:vAlign w:val="bottom"/>
          </w:tcPr>
          <w:p>
            <w:pPr>
              <w:spacing w:after="0"/>
              <w:rPr>
                <w:sz w:val="1"/>
                <w:szCs w:val="1"/>
                <w:color w:val="auto"/>
              </w:rPr>
            </w:pPr>
          </w:p>
        </w:tc>
      </w:tr>
      <w:tr>
        <w:trPr>
          <w:trHeight w:val="135"/>
        </w:trPr>
        <w:tc>
          <w:tcPr>
            <w:tcW w:w="1080" w:type="dxa"/>
            <w:vAlign w:val="bottom"/>
            <w:gridSpan w:val="2"/>
          </w:tcPr>
          <w:p>
            <w:pPr>
              <w:jc w:val="right"/>
              <w:ind w:right="19"/>
              <w:spacing w:after="0" w:line="135" w:lineRule="exact"/>
              <w:rPr>
                <w:sz w:val="20"/>
                <w:szCs w:val="20"/>
                <w:color w:val="auto"/>
              </w:rPr>
            </w:pPr>
            <w:r>
              <w:rPr>
                <w:rFonts w:ascii="Arial" w:cs="Arial" w:eastAsia="Arial" w:hAnsi="Arial"/>
                <w:sz w:val="13"/>
                <w:szCs w:val="13"/>
                <w:b w:val="1"/>
                <w:bCs w:val="1"/>
                <w:color w:val="auto"/>
              </w:rPr>
              <w:t>UNDERLYING</w:t>
            </w: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UNDERLYING</w:t>
            </w:r>
          </w:p>
        </w:tc>
        <w:tc>
          <w:tcPr>
            <w:tcW w:w="720" w:type="dxa"/>
            <w:vAlign w:val="bottom"/>
            <w:vMerge w:val="continue"/>
          </w:tcPr>
          <w:p>
            <w:pPr>
              <w:spacing w:after="0"/>
              <w:rPr>
                <w:sz w:val="11"/>
                <w:szCs w:val="11"/>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OPTION</w:t>
            </w: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UNITS OF</w:t>
            </w: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STOCK THAT</w:t>
            </w:r>
          </w:p>
        </w:tc>
        <w:tc>
          <w:tcPr>
            <w:tcW w:w="118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auto"/>
              </w:rPr>
              <w:t>UNITS OR</w:t>
            </w:r>
          </w:p>
        </w:tc>
        <w:tc>
          <w:tcPr>
            <w:tcW w:w="116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auto"/>
              </w:rPr>
              <w:t>OTHER RIGHTS</w:t>
            </w:r>
          </w:p>
        </w:tc>
        <w:tc>
          <w:tcPr>
            <w:tcW w:w="0" w:type="dxa"/>
            <w:vAlign w:val="bottom"/>
          </w:tcPr>
          <w:p>
            <w:pPr>
              <w:spacing w:after="0"/>
              <w:rPr>
                <w:sz w:val="1"/>
                <w:szCs w:val="1"/>
                <w:color w:val="auto"/>
              </w:rPr>
            </w:pPr>
          </w:p>
        </w:tc>
      </w:tr>
      <w:tr>
        <w:trPr>
          <w:trHeight w:val="135"/>
        </w:trPr>
        <w:tc>
          <w:tcPr>
            <w:tcW w:w="1080" w:type="dxa"/>
            <w:vAlign w:val="bottom"/>
            <w:gridSpan w:val="2"/>
          </w:tcPr>
          <w:p>
            <w:pPr>
              <w:jc w:val="right"/>
              <w:ind w:right="19"/>
              <w:spacing w:after="0" w:line="135" w:lineRule="exact"/>
              <w:rPr>
                <w:sz w:val="20"/>
                <w:szCs w:val="20"/>
                <w:color w:val="auto"/>
              </w:rPr>
            </w:pPr>
            <w:r>
              <w:rPr>
                <w:rFonts w:ascii="Arial" w:cs="Arial" w:eastAsia="Arial" w:hAnsi="Arial"/>
                <w:sz w:val="13"/>
                <w:szCs w:val="13"/>
                <w:b w:val="1"/>
                <w:bCs w:val="1"/>
                <w:color w:val="auto"/>
              </w:rPr>
              <w:t>UNEXERCISED</w:t>
            </w: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UNEXERCISED</w:t>
            </w:r>
          </w:p>
        </w:tc>
        <w:tc>
          <w:tcPr>
            <w:tcW w:w="7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EXERCISE</w:t>
            </w:r>
          </w:p>
        </w:tc>
        <w:tc>
          <w:tcPr>
            <w:tcW w:w="880" w:type="dxa"/>
            <w:vAlign w:val="bottom"/>
            <w:gridSpan w:val="2"/>
            <w:vMerge w:val="continue"/>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5"/>
              </w:rPr>
              <w:t>STOCK THAT</w:t>
            </w: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HAVE NOT</w:t>
            </w:r>
          </w:p>
        </w:tc>
        <w:tc>
          <w:tcPr>
            <w:tcW w:w="118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auto"/>
              </w:rPr>
              <w:t>OTHER RIGHTS</w:t>
            </w:r>
          </w:p>
        </w:tc>
        <w:tc>
          <w:tcPr>
            <w:tcW w:w="116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auto"/>
              </w:rPr>
              <w:t>THAT HAVE</w:t>
            </w:r>
          </w:p>
        </w:tc>
        <w:tc>
          <w:tcPr>
            <w:tcW w:w="0" w:type="dxa"/>
            <w:vAlign w:val="bottom"/>
          </w:tcPr>
          <w:p>
            <w:pPr>
              <w:spacing w:after="0"/>
              <w:rPr>
                <w:sz w:val="1"/>
                <w:szCs w:val="1"/>
                <w:color w:val="auto"/>
              </w:rPr>
            </w:pPr>
          </w:p>
        </w:tc>
      </w:tr>
      <w:tr>
        <w:trPr>
          <w:trHeight w:val="135"/>
        </w:trPr>
        <w:tc>
          <w:tcPr>
            <w:tcW w:w="1080" w:type="dxa"/>
            <w:vAlign w:val="bottom"/>
            <w:gridSpan w:val="2"/>
          </w:tcPr>
          <w:p>
            <w:pPr>
              <w:jc w:val="right"/>
              <w:ind w:right="19"/>
              <w:spacing w:after="0" w:line="135" w:lineRule="exact"/>
              <w:rPr>
                <w:sz w:val="20"/>
                <w:szCs w:val="20"/>
                <w:color w:val="auto"/>
              </w:rPr>
            </w:pPr>
            <w:r>
              <w:rPr>
                <w:rFonts w:ascii="Arial" w:cs="Arial" w:eastAsia="Arial" w:hAnsi="Arial"/>
                <w:sz w:val="13"/>
                <w:szCs w:val="13"/>
                <w:b w:val="1"/>
                <w:bCs w:val="1"/>
                <w:color w:val="auto"/>
              </w:rPr>
              <w:t>OPTIONS</w:t>
            </w: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PRICE</w:t>
            </w: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w w:val="98"/>
              </w:rPr>
              <w:t>EXPIRATION</w:t>
            </w: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HAVE NOT</w:t>
            </w: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VESTED</w:t>
            </w:r>
          </w:p>
        </w:tc>
        <w:tc>
          <w:tcPr>
            <w:tcW w:w="118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auto"/>
              </w:rPr>
              <w:t>THAT HAVE</w:t>
            </w:r>
          </w:p>
        </w:tc>
        <w:tc>
          <w:tcPr>
            <w:tcW w:w="116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auto"/>
              </w:rPr>
              <w:t>NOT VESTED</w:t>
            </w:r>
          </w:p>
        </w:tc>
        <w:tc>
          <w:tcPr>
            <w:tcW w:w="0" w:type="dxa"/>
            <w:vAlign w:val="bottom"/>
          </w:tcPr>
          <w:p>
            <w:pPr>
              <w:spacing w:after="0"/>
              <w:rPr>
                <w:sz w:val="1"/>
                <w:szCs w:val="1"/>
                <w:color w:val="auto"/>
              </w:rPr>
            </w:pPr>
          </w:p>
        </w:tc>
      </w:tr>
      <w:tr>
        <w:trPr>
          <w:trHeight w:val="144"/>
        </w:trPr>
        <w:tc>
          <w:tcPr>
            <w:tcW w:w="1080" w:type="dxa"/>
            <w:vAlign w:val="bottom"/>
            <w:gridSpan w:val="2"/>
          </w:tcPr>
          <w:p>
            <w:pPr>
              <w:jc w:val="right"/>
              <w:ind w:right="19"/>
              <w:spacing w:after="0" w:line="144" w:lineRule="exact"/>
              <w:rPr>
                <w:sz w:val="20"/>
                <w:szCs w:val="20"/>
                <w:color w:val="auto"/>
              </w:rPr>
            </w:pPr>
            <w:r>
              <w:rPr>
                <w:rFonts w:ascii="Arial" w:cs="Arial" w:eastAsia="Arial" w:hAnsi="Arial"/>
                <w:sz w:val="13"/>
                <w:szCs w:val="13"/>
                <w:b w:val="1"/>
                <w:bCs w:val="1"/>
                <w:color w:val="auto"/>
              </w:rPr>
              <w:t>EXERCISABLE</w:t>
            </w:r>
          </w:p>
        </w:tc>
        <w:tc>
          <w:tcPr>
            <w:tcW w:w="1260" w:type="dxa"/>
            <w:vAlign w:val="bottom"/>
          </w:tcPr>
          <w:p>
            <w:pPr>
              <w:jc w:val="right"/>
              <w:spacing w:after="0" w:line="144" w:lineRule="exact"/>
              <w:rPr>
                <w:sz w:val="20"/>
                <w:szCs w:val="20"/>
                <w:color w:val="auto"/>
              </w:rPr>
            </w:pPr>
            <w:r>
              <w:rPr>
                <w:rFonts w:ascii="Arial" w:cs="Arial" w:eastAsia="Arial" w:hAnsi="Arial"/>
                <w:sz w:val="10"/>
                <w:szCs w:val="10"/>
                <w:b w:val="1"/>
                <w:bCs w:val="1"/>
                <w:color w:val="auto"/>
              </w:rPr>
              <w:t>UNEXERCISABLE</w:t>
            </w:r>
            <w:r>
              <w:rPr>
                <w:rFonts w:ascii="Arial" w:cs="Arial" w:eastAsia="Arial" w:hAnsi="Arial"/>
                <w:sz w:val="16"/>
                <w:szCs w:val="16"/>
                <w:b w:val="1"/>
                <w:bCs w:val="1"/>
                <w:color w:val="auto"/>
                <w:vertAlign w:val="superscript"/>
              </w:rPr>
              <w:t>(2)</w:t>
            </w:r>
          </w:p>
        </w:tc>
        <w:tc>
          <w:tcPr>
            <w:tcW w:w="7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jc w:val="right"/>
              <w:ind w:right="80"/>
              <w:spacing w:after="0" w:line="144" w:lineRule="exact"/>
              <w:rPr>
                <w:sz w:val="20"/>
                <w:szCs w:val="20"/>
                <w:color w:val="auto"/>
              </w:rPr>
            </w:pPr>
            <w:r>
              <w:rPr>
                <w:rFonts w:ascii="Arial" w:cs="Arial" w:eastAsia="Arial" w:hAnsi="Arial"/>
                <w:sz w:val="13"/>
                <w:szCs w:val="13"/>
                <w:b w:val="1"/>
                <w:bCs w:val="1"/>
                <w:color w:val="auto"/>
              </w:rPr>
              <w:t>DATE</w:t>
            </w:r>
          </w:p>
        </w:tc>
        <w:tc>
          <w:tcPr>
            <w:tcW w:w="860" w:type="dxa"/>
            <w:vAlign w:val="bottom"/>
          </w:tcPr>
          <w:p>
            <w:pPr>
              <w:jc w:val="right"/>
              <w:spacing w:after="0" w:line="144"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6"/>
                <w:szCs w:val="16"/>
                <w:b w:val="1"/>
                <w:bCs w:val="1"/>
                <w:color w:val="auto"/>
                <w:vertAlign w:val="superscript"/>
              </w:rPr>
              <w:t>(3)(4)</w:t>
            </w:r>
          </w:p>
        </w:tc>
        <w:tc>
          <w:tcPr>
            <w:tcW w:w="90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16"/>
              <w:spacing w:after="0" w:line="144" w:lineRule="exact"/>
              <w:rPr>
                <w:sz w:val="20"/>
                <w:szCs w:val="20"/>
                <w:color w:val="auto"/>
              </w:rPr>
            </w:pPr>
            <w:r>
              <w:rPr>
                <w:rFonts w:ascii="Arial" w:cs="Arial" w:eastAsia="Arial" w:hAnsi="Arial"/>
                <w:sz w:val="10"/>
                <w:szCs w:val="10"/>
                <w:b w:val="1"/>
                <w:bCs w:val="1"/>
                <w:color w:val="auto"/>
              </w:rPr>
              <w:t>NOT VESTED</w:t>
            </w:r>
            <w:r>
              <w:rPr>
                <w:rFonts w:ascii="Arial" w:cs="Arial" w:eastAsia="Arial" w:hAnsi="Arial"/>
                <w:sz w:val="16"/>
                <w:szCs w:val="16"/>
                <w:b w:val="1"/>
                <w:bCs w:val="1"/>
                <w:color w:val="auto"/>
                <w:vertAlign w:val="superscript"/>
              </w:rPr>
              <w:t>(3)(4)</w:t>
            </w:r>
          </w:p>
        </w:tc>
        <w:tc>
          <w:tcPr>
            <w:tcW w:w="1160" w:type="dxa"/>
            <w:vAlign w:val="bottom"/>
          </w:tcPr>
          <w:p>
            <w:pPr>
              <w:jc w:val="right"/>
              <w:ind w:right="16"/>
              <w:spacing w:after="0" w:line="144"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3"/>
                <w:szCs w:val="13"/>
                <w:b w:val="1"/>
                <w:bCs w:val="1"/>
                <w:color w:val="auto"/>
              </w:rPr>
              <w:t>(a)</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(b)</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(c)</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(d)</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(e)</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(f)</w:t>
            </w:r>
          </w:p>
        </w:tc>
        <w:tc>
          <w:tcPr>
            <w:tcW w:w="1180" w:type="dxa"/>
            <w:vAlign w:val="bottom"/>
          </w:tcPr>
          <w:p>
            <w:pPr>
              <w:jc w:val="right"/>
              <w:ind w:right="16"/>
              <w:spacing w:after="0"/>
              <w:rPr>
                <w:sz w:val="20"/>
                <w:szCs w:val="20"/>
                <w:color w:val="auto"/>
              </w:rPr>
            </w:pPr>
            <w:r>
              <w:rPr>
                <w:rFonts w:ascii="Arial" w:cs="Arial" w:eastAsia="Arial" w:hAnsi="Arial"/>
                <w:sz w:val="13"/>
                <w:szCs w:val="13"/>
                <w:b w:val="1"/>
                <w:bCs w:val="1"/>
                <w:color w:val="auto"/>
              </w:rPr>
              <w:t>(g)</w:t>
            </w:r>
          </w:p>
        </w:tc>
        <w:tc>
          <w:tcPr>
            <w:tcW w:w="1160" w:type="dxa"/>
            <w:vAlign w:val="bottom"/>
          </w:tcPr>
          <w:p>
            <w:pPr>
              <w:jc w:val="right"/>
              <w:ind w:right="16"/>
              <w:spacing w:after="0"/>
              <w:rPr>
                <w:sz w:val="20"/>
                <w:szCs w:val="20"/>
                <w:color w:val="auto"/>
              </w:rPr>
            </w:pPr>
            <w:r>
              <w:rPr>
                <w:rFonts w:ascii="Arial" w:cs="Arial" w:eastAsia="Arial" w:hAnsi="Arial"/>
                <w:sz w:val="13"/>
                <w:szCs w:val="13"/>
                <w:b w:val="1"/>
                <w:bCs w:val="1"/>
                <w:color w:val="auto"/>
              </w:rPr>
              <w:t>(h)</w:t>
            </w:r>
          </w:p>
        </w:tc>
        <w:tc>
          <w:tcPr>
            <w:tcW w:w="0" w:type="dxa"/>
            <w:vAlign w:val="bottom"/>
          </w:tcPr>
          <w:p>
            <w:pPr>
              <w:spacing w:after="0"/>
              <w:rPr>
                <w:sz w:val="1"/>
                <w:szCs w:val="1"/>
                <w:color w:val="auto"/>
              </w:rPr>
            </w:pPr>
          </w:p>
        </w:tc>
      </w:tr>
      <w:tr>
        <w:trPr>
          <w:trHeight w:val="233"/>
        </w:trPr>
        <w:tc>
          <w:tcPr>
            <w:tcW w:w="580" w:type="dxa"/>
            <w:vAlign w:val="bottom"/>
            <w:tcBorders>
              <w:bottom w:val="single" w:sz="8" w:color="DCDDDE"/>
            </w:tcBorders>
          </w:tcPr>
          <w:p>
            <w:pPr>
              <w:spacing w:after="0"/>
              <w:rPr>
                <w:sz w:val="20"/>
                <w:szCs w:val="20"/>
                <w:color w:val="auto"/>
              </w:rPr>
            </w:pPr>
          </w:p>
        </w:tc>
        <w:tc>
          <w:tcPr>
            <w:tcW w:w="500" w:type="dxa"/>
            <w:vAlign w:val="bottom"/>
            <w:tcBorders>
              <w:bottom w:val="single" w:sz="8" w:color="DCDDDE"/>
            </w:tcBorders>
          </w:tcPr>
          <w:p>
            <w:pPr>
              <w:spacing w:after="0"/>
              <w:rPr>
                <w:sz w:val="20"/>
                <w:szCs w:val="20"/>
                <w:color w:val="auto"/>
              </w:rPr>
            </w:pPr>
          </w:p>
        </w:tc>
        <w:tc>
          <w:tcPr>
            <w:tcW w:w="1260" w:type="dxa"/>
            <w:vAlign w:val="bottom"/>
            <w:tcBorders>
              <w:bottom w:val="single" w:sz="8" w:color="DCDDDE"/>
            </w:tcBorders>
          </w:tcPr>
          <w:p>
            <w:pPr>
              <w:spacing w:after="0"/>
              <w:rPr>
                <w:sz w:val="20"/>
                <w:szCs w:val="20"/>
                <w:color w:val="auto"/>
              </w:rPr>
            </w:pPr>
          </w:p>
        </w:tc>
        <w:tc>
          <w:tcPr>
            <w:tcW w:w="720" w:type="dxa"/>
            <w:vAlign w:val="bottom"/>
            <w:tcBorders>
              <w:bottom w:val="single" w:sz="8" w:color="DCDDDE"/>
            </w:tcBorders>
          </w:tcPr>
          <w:p>
            <w:pPr>
              <w:spacing w:after="0"/>
              <w:rPr>
                <w:sz w:val="20"/>
                <w:szCs w:val="20"/>
                <w:color w:val="auto"/>
              </w:rPr>
            </w:pPr>
          </w:p>
        </w:tc>
        <w:tc>
          <w:tcPr>
            <w:tcW w:w="800" w:type="dxa"/>
            <w:vAlign w:val="bottom"/>
            <w:tcBorders>
              <w:bottom w:val="single" w:sz="8" w:color="DCDDDE"/>
            </w:tcBorders>
          </w:tcPr>
          <w:p>
            <w:pPr>
              <w:spacing w:after="0"/>
              <w:rPr>
                <w:sz w:val="20"/>
                <w:szCs w:val="20"/>
                <w:color w:val="auto"/>
              </w:rPr>
            </w:pPr>
          </w:p>
        </w:tc>
        <w:tc>
          <w:tcPr>
            <w:tcW w:w="80" w:type="dxa"/>
            <w:vAlign w:val="bottom"/>
            <w:tcBorders>
              <w:bottom w:val="single" w:sz="8" w:color="DCDDDE"/>
            </w:tcBorders>
          </w:tcPr>
          <w:p>
            <w:pPr>
              <w:spacing w:after="0"/>
              <w:rPr>
                <w:sz w:val="20"/>
                <w:szCs w:val="20"/>
                <w:color w:val="auto"/>
              </w:rPr>
            </w:pPr>
          </w:p>
        </w:tc>
        <w:tc>
          <w:tcPr>
            <w:tcW w:w="860" w:type="dxa"/>
            <w:vAlign w:val="bottom"/>
            <w:tcBorders>
              <w:bottom w:val="single" w:sz="8" w:color="DCDDDE"/>
            </w:tcBorders>
          </w:tcPr>
          <w:p>
            <w:pPr>
              <w:spacing w:after="0"/>
              <w:rPr>
                <w:sz w:val="20"/>
                <w:szCs w:val="20"/>
                <w:color w:val="auto"/>
              </w:rPr>
            </w:pPr>
          </w:p>
        </w:tc>
        <w:tc>
          <w:tcPr>
            <w:tcW w:w="900" w:type="dxa"/>
            <w:vAlign w:val="bottom"/>
            <w:tcBorders>
              <w:bottom w:val="single" w:sz="8" w:color="DCDDDE"/>
            </w:tcBorders>
          </w:tcPr>
          <w:p>
            <w:pPr>
              <w:spacing w:after="0"/>
              <w:rPr>
                <w:sz w:val="20"/>
                <w:szCs w:val="20"/>
                <w:color w:val="auto"/>
              </w:rPr>
            </w:pPr>
          </w:p>
        </w:tc>
        <w:tc>
          <w:tcPr>
            <w:tcW w:w="1180" w:type="dxa"/>
            <w:vAlign w:val="bottom"/>
            <w:tcBorders>
              <w:bottom w:val="single" w:sz="8" w:color="DCDDDE"/>
            </w:tcBorders>
          </w:tcPr>
          <w:p>
            <w:pPr>
              <w:jc w:val="right"/>
              <w:ind w:right="16"/>
              <w:spacing w:after="0"/>
              <w:rPr>
                <w:sz w:val="20"/>
                <w:szCs w:val="20"/>
                <w:color w:val="auto"/>
              </w:rPr>
            </w:pPr>
            <w:r>
              <w:rPr>
                <w:rFonts w:ascii="Arial" w:cs="Arial" w:eastAsia="Arial" w:hAnsi="Arial"/>
                <w:sz w:val="14"/>
                <w:szCs w:val="14"/>
                <w:color w:val="auto"/>
              </w:rPr>
              <w:t>2,759,612</w:t>
            </w:r>
          </w:p>
        </w:tc>
        <w:tc>
          <w:tcPr>
            <w:tcW w:w="1160" w:type="dxa"/>
            <w:vAlign w:val="bottom"/>
            <w:tcBorders>
              <w:bottom w:val="single" w:sz="8" w:color="DCDDDE"/>
            </w:tcBorders>
          </w:tcPr>
          <w:p>
            <w:pPr>
              <w:jc w:val="right"/>
              <w:ind w:right="16"/>
              <w:spacing w:after="0"/>
              <w:rPr>
                <w:sz w:val="20"/>
                <w:szCs w:val="20"/>
                <w:color w:val="auto"/>
              </w:rPr>
            </w:pPr>
            <w:r>
              <w:rPr>
                <w:rFonts w:ascii="Arial" w:cs="Arial" w:eastAsia="Arial" w:hAnsi="Arial"/>
                <w:sz w:val="14"/>
                <w:szCs w:val="14"/>
                <w:color w:val="auto"/>
              </w:rPr>
              <w:t>103,568,238</w:t>
            </w:r>
          </w:p>
        </w:tc>
        <w:tc>
          <w:tcPr>
            <w:tcW w:w="0" w:type="dxa"/>
            <w:vAlign w:val="bottom"/>
          </w:tcPr>
          <w:p>
            <w:pPr>
              <w:spacing w:after="0"/>
              <w:rPr>
                <w:sz w:val="1"/>
                <w:szCs w:val="1"/>
                <w:color w:val="auto"/>
              </w:rPr>
            </w:pPr>
          </w:p>
        </w:tc>
      </w:tr>
      <w:tr>
        <w:trPr>
          <w:trHeight w:val="209"/>
        </w:trPr>
        <w:tc>
          <w:tcPr>
            <w:tcW w:w="5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907,600</w:t>
            </w:r>
          </w:p>
        </w:tc>
        <w:tc>
          <w:tcPr>
            <w:tcW w:w="50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29.725</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03/19/2025</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118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841,320</w:t>
            </w:r>
          </w:p>
        </w:tc>
        <w:tc>
          <w:tcPr>
            <w:tcW w:w="50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93,480</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29.880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03/17/2026</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118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653,480</w:t>
            </w:r>
          </w:p>
        </w:tc>
        <w:tc>
          <w:tcPr>
            <w:tcW w:w="50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115,320</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37.460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03/16/2027</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118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598,720</w:t>
            </w:r>
          </w:p>
        </w:tc>
        <w:tc>
          <w:tcPr>
            <w:tcW w:w="50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149,680</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35.830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03/15/2028</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118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507,300</w:t>
            </w:r>
          </w:p>
        </w:tc>
        <w:tc>
          <w:tcPr>
            <w:tcW w:w="50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169,100</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40.470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03/14/2029</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118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973,980</w:t>
            </w:r>
          </w:p>
        </w:tc>
        <w:tc>
          <w:tcPr>
            <w:tcW w:w="50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649,320</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42.520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03/01/2030</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118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527,520</w:t>
            </w:r>
          </w:p>
        </w:tc>
        <w:tc>
          <w:tcPr>
            <w:tcW w:w="50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351,680</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54.450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02/28/2031</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118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385,018</w:t>
            </w:r>
          </w:p>
        </w:tc>
        <w:tc>
          <w:tcPr>
            <w:tcW w:w="50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577,527</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46.390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02/29/2032</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118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220,889</w:t>
            </w:r>
          </w:p>
        </w:tc>
        <w:tc>
          <w:tcPr>
            <w:tcW w:w="50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883,556</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36.630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02/28/2033</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118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605,905</w:t>
            </w:r>
          </w:p>
        </w:tc>
        <w:tc>
          <w:tcPr>
            <w:tcW w:w="720" w:type="dxa"/>
            <w:vAlign w:val="bottom"/>
          </w:tcPr>
          <w:p>
            <w:pPr>
              <w:jc w:val="right"/>
              <w:spacing w:after="0"/>
              <w:rPr>
                <w:sz w:val="20"/>
                <w:szCs w:val="20"/>
                <w:color w:val="auto"/>
              </w:rPr>
            </w:pPr>
            <w:r>
              <w:rPr>
                <w:rFonts w:ascii="Arial" w:cs="Arial" w:eastAsia="Arial" w:hAnsi="Arial"/>
                <w:sz w:val="14"/>
                <w:szCs w:val="14"/>
                <w:color w:val="auto"/>
              </w:rPr>
              <w:t>42.800</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02/28/2034</w:t>
            </w: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80" w:type="dxa"/>
            <w:vAlign w:val="bottom"/>
            <w:tcBorders>
              <w:bottom w:val="single" w:sz="8" w:color="DCDDDE"/>
            </w:tcBorders>
          </w:tcPr>
          <w:p>
            <w:pPr>
              <w:spacing w:after="0"/>
              <w:rPr>
                <w:sz w:val="20"/>
                <w:szCs w:val="20"/>
                <w:color w:val="auto"/>
              </w:rPr>
            </w:pPr>
          </w:p>
        </w:tc>
        <w:tc>
          <w:tcPr>
            <w:tcW w:w="500" w:type="dxa"/>
            <w:vAlign w:val="bottom"/>
            <w:tcBorders>
              <w:bottom w:val="single" w:sz="8" w:color="DCDDDE"/>
            </w:tcBorders>
          </w:tcPr>
          <w:p>
            <w:pPr>
              <w:spacing w:after="0"/>
              <w:rPr>
                <w:sz w:val="20"/>
                <w:szCs w:val="20"/>
                <w:color w:val="auto"/>
              </w:rPr>
            </w:pPr>
          </w:p>
        </w:tc>
        <w:tc>
          <w:tcPr>
            <w:tcW w:w="1260" w:type="dxa"/>
            <w:vAlign w:val="bottom"/>
            <w:tcBorders>
              <w:bottom w:val="single" w:sz="8" w:color="DCDDDE"/>
            </w:tcBorders>
          </w:tcPr>
          <w:p>
            <w:pPr>
              <w:spacing w:after="0"/>
              <w:rPr>
                <w:sz w:val="20"/>
                <w:szCs w:val="20"/>
                <w:color w:val="auto"/>
              </w:rPr>
            </w:pPr>
          </w:p>
        </w:tc>
        <w:tc>
          <w:tcPr>
            <w:tcW w:w="720" w:type="dxa"/>
            <w:vAlign w:val="bottom"/>
            <w:tcBorders>
              <w:bottom w:val="single" w:sz="8" w:color="DCDDDE"/>
            </w:tcBorders>
          </w:tcPr>
          <w:p>
            <w:pPr>
              <w:spacing w:after="0"/>
              <w:rPr>
                <w:sz w:val="20"/>
                <w:szCs w:val="20"/>
                <w:color w:val="auto"/>
              </w:rPr>
            </w:pPr>
          </w:p>
        </w:tc>
        <w:tc>
          <w:tcPr>
            <w:tcW w:w="800" w:type="dxa"/>
            <w:vAlign w:val="bottom"/>
            <w:tcBorders>
              <w:bottom w:val="single" w:sz="8" w:color="DCDDDE"/>
            </w:tcBorders>
          </w:tcPr>
          <w:p>
            <w:pPr>
              <w:spacing w:after="0"/>
              <w:rPr>
                <w:sz w:val="20"/>
                <w:szCs w:val="20"/>
                <w:color w:val="auto"/>
              </w:rPr>
            </w:pPr>
          </w:p>
        </w:tc>
        <w:tc>
          <w:tcPr>
            <w:tcW w:w="80" w:type="dxa"/>
            <w:vAlign w:val="bottom"/>
            <w:tcBorders>
              <w:bottom w:val="single" w:sz="8" w:color="DCDDDE"/>
            </w:tcBorders>
          </w:tcPr>
          <w:p>
            <w:pPr>
              <w:spacing w:after="0"/>
              <w:rPr>
                <w:sz w:val="20"/>
                <w:szCs w:val="20"/>
                <w:color w:val="auto"/>
              </w:rPr>
            </w:pPr>
          </w:p>
        </w:tc>
        <w:tc>
          <w:tcPr>
            <w:tcW w:w="860" w:type="dxa"/>
            <w:vAlign w:val="bottom"/>
            <w:tcBorders>
              <w:bottom w:val="single" w:sz="8" w:color="DCDDDE"/>
            </w:tcBorders>
          </w:tcPr>
          <w:p>
            <w:pPr>
              <w:spacing w:after="0"/>
              <w:rPr>
                <w:sz w:val="20"/>
                <w:szCs w:val="20"/>
                <w:color w:val="auto"/>
              </w:rPr>
            </w:pPr>
          </w:p>
        </w:tc>
        <w:tc>
          <w:tcPr>
            <w:tcW w:w="900" w:type="dxa"/>
            <w:vAlign w:val="bottom"/>
            <w:tcBorders>
              <w:bottom w:val="single" w:sz="8" w:color="DCDDDE"/>
            </w:tcBorders>
          </w:tcPr>
          <w:p>
            <w:pPr>
              <w:spacing w:after="0"/>
              <w:rPr>
                <w:sz w:val="20"/>
                <w:szCs w:val="20"/>
                <w:color w:val="auto"/>
              </w:rPr>
            </w:pPr>
          </w:p>
        </w:tc>
        <w:tc>
          <w:tcPr>
            <w:tcW w:w="1180" w:type="dxa"/>
            <w:vAlign w:val="bottom"/>
            <w:tcBorders>
              <w:bottom w:val="single" w:sz="8" w:color="DCDDDE"/>
            </w:tcBorders>
          </w:tcPr>
          <w:p>
            <w:pPr>
              <w:jc w:val="right"/>
              <w:ind w:right="16"/>
              <w:spacing w:after="0"/>
              <w:rPr>
                <w:sz w:val="20"/>
                <w:szCs w:val="20"/>
                <w:color w:val="auto"/>
              </w:rPr>
            </w:pPr>
            <w:r>
              <w:rPr>
                <w:rFonts w:ascii="Arial" w:cs="Arial" w:eastAsia="Arial" w:hAnsi="Arial"/>
                <w:sz w:val="14"/>
                <w:szCs w:val="14"/>
                <w:color w:val="auto"/>
              </w:rPr>
              <w:t>2,077,074</w:t>
            </w:r>
          </w:p>
        </w:tc>
        <w:tc>
          <w:tcPr>
            <w:tcW w:w="1160" w:type="dxa"/>
            <w:vAlign w:val="bottom"/>
            <w:tcBorders>
              <w:bottom w:val="single" w:sz="8" w:color="DCDDDE"/>
            </w:tcBorders>
          </w:tcPr>
          <w:p>
            <w:pPr>
              <w:jc w:val="right"/>
              <w:ind w:right="16"/>
              <w:spacing w:after="0"/>
              <w:rPr>
                <w:sz w:val="20"/>
                <w:szCs w:val="20"/>
                <w:color w:val="auto"/>
              </w:rPr>
            </w:pPr>
            <w:r>
              <w:rPr>
                <w:rFonts w:ascii="Arial" w:cs="Arial" w:eastAsia="Arial" w:hAnsi="Arial"/>
                <w:sz w:val="14"/>
                <w:szCs w:val="14"/>
                <w:color w:val="auto"/>
              </w:rPr>
              <w:t>77,952,587</w:t>
            </w:r>
          </w:p>
        </w:tc>
        <w:tc>
          <w:tcPr>
            <w:tcW w:w="0" w:type="dxa"/>
            <w:vAlign w:val="bottom"/>
          </w:tcPr>
          <w:p>
            <w:pPr>
              <w:spacing w:after="0"/>
              <w:rPr>
                <w:sz w:val="1"/>
                <w:szCs w:val="1"/>
                <w:color w:val="auto"/>
              </w:rPr>
            </w:pPr>
          </w:p>
        </w:tc>
      </w:tr>
      <w:tr>
        <w:trPr>
          <w:trHeight w:val="210"/>
        </w:trPr>
        <w:tc>
          <w:tcPr>
            <w:tcW w:w="5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629,280</w:t>
            </w:r>
          </w:p>
        </w:tc>
        <w:tc>
          <w:tcPr>
            <w:tcW w:w="500" w:type="dxa"/>
            <w:vAlign w:val="bottom"/>
            <w:tcBorders>
              <w:bottom w:val="single" w:sz="8" w:color="DCDDDE"/>
            </w:tcBorders>
          </w:tcPr>
          <w:p>
            <w:pPr>
              <w:jc w:val="right"/>
              <w:ind w:right="259"/>
              <w:spacing w:after="0"/>
              <w:rPr>
                <w:sz w:val="20"/>
                <w:szCs w:val="20"/>
                <w:color w:val="auto"/>
              </w:rPr>
            </w:pPr>
            <w:r>
              <w:rPr>
                <w:rFonts w:ascii="Arial" w:cs="Arial" w:eastAsia="Arial" w:hAnsi="Arial"/>
                <w:sz w:val="12"/>
                <w:szCs w:val="12"/>
                <w:color w:val="auto"/>
              </w:rPr>
              <w:t>(1)</w:t>
            </w:r>
          </w:p>
        </w:tc>
        <w:tc>
          <w:tcPr>
            <w:tcW w:w="12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69,920</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29.880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03/17/2026</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118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488,495</w:t>
            </w:r>
          </w:p>
        </w:tc>
        <w:tc>
          <w:tcPr>
            <w:tcW w:w="500" w:type="dxa"/>
            <w:vAlign w:val="bottom"/>
            <w:tcBorders>
              <w:bottom w:val="single" w:sz="8" w:color="DCDDDE"/>
            </w:tcBorders>
          </w:tcPr>
          <w:p>
            <w:pPr>
              <w:jc w:val="right"/>
              <w:ind w:right="259"/>
              <w:spacing w:after="0"/>
              <w:rPr>
                <w:sz w:val="20"/>
                <w:szCs w:val="20"/>
                <w:color w:val="auto"/>
              </w:rPr>
            </w:pPr>
            <w:r>
              <w:rPr>
                <w:rFonts w:ascii="Arial" w:cs="Arial" w:eastAsia="Arial" w:hAnsi="Arial"/>
                <w:sz w:val="12"/>
                <w:szCs w:val="12"/>
                <w:color w:val="auto"/>
              </w:rPr>
              <w:t>(1)</w:t>
            </w:r>
          </w:p>
        </w:tc>
        <w:tc>
          <w:tcPr>
            <w:tcW w:w="12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86,205</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37.460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03/16/2027</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118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447,760</w:t>
            </w:r>
          </w:p>
        </w:tc>
        <w:tc>
          <w:tcPr>
            <w:tcW w:w="500" w:type="dxa"/>
            <w:vAlign w:val="bottom"/>
            <w:tcBorders>
              <w:bottom w:val="single" w:sz="8" w:color="DCDDDE"/>
            </w:tcBorders>
          </w:tcPr>
          <w:p>
            <w:pPr>
              <w:jc w:val="right"/>
              <w:ind w:right="259"/>
              <w:spacing w:after="0"/>
              <w:rPr>
                <w:sz w:val="20"/>
                <w:szCs w:val="20"/>
                <w:color w:val="auto"/>
              </w:rPr>
            </w:pPr>
            <w:r>
              <w:rPr>
                <w:rFonts w:ascii="Arial" w:cs="Arial" w:eastAsia="Arial" w:hAnsi="Arial"/>
                <w:sz w:val="12"/>
                <w:szCs w:val="12"/>
                <w:color w:val="auto"/>
              </w:rPr>
              <w:t>(1)</w:t>
            </w:r>
          </w:p>
        </w:tc>
        <w:tc>
          <w:tcPr>
            <w:tcW w:w="12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111,940</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35.830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03/15/2028</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118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450,375</w:t>
            </w:r>
          </w:p>
        </w:tc>
        <w:tc>
          <w:tcPr>
            <w:tcW w:w="50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150,125</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40.470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03/14/2029</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118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647,820</w:t>
            </w:r>
          </w:p>
        </w:tc>
        <w:tc>
          <w:tcPr>
            <w:tcW w:w="50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431,880</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42.520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03/01/2030</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118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393,060</w:t>
            </w:r>
          </w:p>
        </w:tc>
        <w:tc>
          <w:tcPr>
            <w:tcW w:w="50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262,040</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54.450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02/28/2031</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118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80" w:type="dxa"/>
            <w:vAlign w:val="bottom"/>
          </w:tcPr>
          <w:p>
            <w:pPr>
              <w:jc w:val="right"/>
              <w:spacing w:after="0"/>
              <w:rPr>
                <w:sz w:val="20"/>
                <w:szCs w:val="20"/>
                <w:color w:val="auto"/>
              </w:rPr>
            </w:pPr>
            <w:r>
              <w:rPr>
                <w:rFonts w:ascii="Arial" w:cs="Arial" w:eastAsia="Arial" w:hAnsi="Arial"/>
                <w:sz w:val="14"/>
                <w:szCs w:val="14"/>
                <w:color w:val="auto"/>
              </w:rPr>
              <w:t>286,948</w:t>
            </w:r>
          </w:p>
        </w:tc>
        <w:tc>
          <w:tcPr>
            <w:tcW w:w="5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430,422</w:t>
            </w:r>
          </w:p>
        </w:tc>
        <w:tc>
          <w:tcPr>
            <w:tcW w:w="720" w:type="dxa"/>
            <w:vAlign w:val="bottom"/>
          </w:tcPr>
          <w:p>
            <w:pPr>
              <w:jc w:val="right"/>
              <w:spacing w:after="0"/>
              <w:rPr>
                <w:sz w:val="20"/>
                <w:szCs w:val="20"/>
                <w:color w:val="auto"/>
              </w:rPr>
            </w:pPr>
            <w:r>
              <w:rPr>
                <w:rFonts w:ascii="Arial" w:cs="Arial" w:eastAsia="Arial" w:hAnsi="Arial"/>
                <w:sz w:val="14"/>
                <w:szCs w:val="14"/>
                <w:color w:val="auto"/>
              </w:rPr>
              <w:t>46.390</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02/29/2032</w:t>
            </w: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5100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00320" cy="889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-1160145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-2762885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—4,000,00034.970  12/29/2032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5100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003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160" w:type="dxa"/>
            <w:vAlign w:val="bottom"/>
            <w:tcBorders>
              <w:bottom w:val="single" w:sz="8" w:color="DCDDDD"/>
            </w:tcBorders>
          </w:tcPr>
          <w:p>
            <w:pPr>
              <w:jc w:val="right"/>
              <w:ind w:right="548"/>
              <w:spacing w:after="0"/>
              <w:rPr>
                <w:sz w:val="20"/>
                <w:szCs w:val="20"/>
                <w:color w:val="auto"/>
              </w:rPr>
            </w:pPr>
            <w:r>
              <w:rPr>
                <w:rFonts w:ascii="Arial" w:cs="Arial" w:eastAsia="Arial" w:hAnsi="Arial"/>
                <w:sz w:val="14"/>
                <w:szCs w:val="14"/>
                <w:color w:val="auto"/>
              </w:rPr>
              <w:t>168,068</w:t>
            </w:r>
          </w:p>
        </w:tc>
        <w:tc>
          <w:tcPr>
            <w:tcW w:w="1280" w:type="dxa"/>
            <w:vAlign w:val="bottom"/>
            <w:tcBorders>
              <w:bottom w:val="single" w:sz="8" w:color="DCDDDD"/>
            </w:tcBorders>
          </w:tcPr>
          <w:p>
            <w:pPr>
              <w:jc w:val="right"/>
              <w:ind w:right="88"/>
              <w:spacing w:after="0"/>
              <w:rPr>
                <w:sz w:val="20"/>
                <w:szCs w:val="20"/>
                <w:color w:val="auto"/>
              </w:rPr>
            </w:pPr>
            <w:r>
              <w:rPr>
                <w:rFonts w:ascii="Arial" w:cs="Arial" w:eastAsia="Arial" w:hAnsi="Arial"/>
                <w:sz w:val="14"/>
                <w:szCs w:val="14"/>
                <w:color w:val="auto"/>
              </w:rPr>
              <w:t>672,272</w:t>
            </w:r>
          </w:p>
        </w:tc>
        <w:tc>
          <w:tcPr>
            <w:tcW w:w="640" w:type="dxa"/>
            <w:vAlign w:val="bottom"/>
            <w:tcBorders>
              <w:bottom w:val="single" w:sz="8" w:color="DCDDDD"/>
            </w:tcBorders>
          </w:tcPr>
          <w:p>
            <w:pPr>
              <w:jc w:val="right"/>
              <w:spacing w:after="0"/>
              <w:rPr>
                <w:sz w:val="20"/>
                <w:szCs w:val="20"/>
                <w:color w:val="auto"/>
              </w:rPr>
            </w:pPr>
            <w:r>
              <w:rPr>
                <w:rFonts w:ascii="Arial" w:cs="Arial" w:eastAsia="Arial" w:hAnsi="Arial"/>
                <w:sz w:val="14"/>
                <w:szCs w:val="14"/>
                <w:color w:val="auto"/>
              </w:rPr>
              <w:t>36.630</w:t>
            </w:r>
          </w:p>
        </w:tc>
        <w:tc>
          <w:tcPr>
            <w:tcW w:w="1800" w:type="dxa"/>
            <w:vAlign w:val="bottom"/>
            <w:tcBorders>
              <w:bottom w:val="single" w:sz="8" w:color="DCDDDD"/>
            </w:tcBorders>
          </w:tcPr>
          <w:p>
            <w:pPr>
              <w:jc w:val="right"/>
              <w:ind w:right="948"/>
              <w:spacing w:after="0"/>
              <w:rPr>
                <w:sz w:val="20"/>
                <w:szCs w:val="20"/>
                <w:color w:val="auto"/>
              </w:rPr>
            </w:pPr>
            <w:r>
              <w:rPr>
                <w:rFonts w:ascii="Arial" w:cs="Arial" w:eastAsia="Arial" w:hAnsi="Arial"/>
                <w:sz w:val="14"/>
                <w:szCs w:val="14"/>
                <w:color w:val="auto"/>
              </w:rPr>
              <w:t>02/28/2033</w:t>
            </w:r>
          </w:p>
        </w:tc>
        <w:tc>
          <w:tcPr>
            <w:tcW w:w="1080" w:type="dxa"/>
            <w:vAlign w:val="bottom"/>
            <w:tcBorders>
              <w:bottom w:val="single" w:sz="8" w:color="DCDDDD"/>
            </w:tcBorders>
          </w:tcPr>
          <w:p>
            <w:pPr>
              <w:spacing w:after="0"/>
              <w:rPr>
                <w:sz w:val="16"/>
                <w:szCs w:val="16"/>
                <w:color w:val="auto"/>
              </w:rPr>
            </w:pPr>
          </w:p>
        </w:tc>
        <w:tc>
          <w:tcPr>
            <w:tcW w:w="1060" w:type="dxa"/>
            <w:vAlign w:val="bottom"/>
            <w:tcBorders>
              <w:bottom w:val="single" w:sz="8" w:color="DCDDDD"/>
            </w:tcBorders>
          </w:tcPr>
          <w:p>
            <w:pPr>
              <w:spacing w:after="0"/>
              <w:rPr>
                <w:sz w:val="16"/>
                <w:szCs w:val="16"/>
                <w:color w:val="auto"/>
              </w:rPr>
            </w:pPr>
          </w:p>
        </w:tc>
        <w:tc>
          <w:tcPr>
            <w:tcW w:w="1020" w:type="dxa"/>
            <w:vAlign w:val="bottom"/>
            <w:tcBorders>
              <w:bottom w:val="single" w:sz="8" w:color="DCDDDD"/>
            </w:tcBorders>
          </w:tcPr>
          <w:p>
            <w:pPr>
              <w:spacing w:after="0"/>
              <w:rPr>
                <w:sz w:val="16"/>
                <w:szCs w:val="16"/>
                <w:color w:val="auto"/>
              </w:rPr>
            </w:pPr>
          </w:p>
        </w:tc>
      </w:tr>
      <w:tr>
        <w:trPr>
          <w:trHeight w:val="205"/>
        </w:trPr>
        <w:tc>
          <w:tcPr>
            <w:tcW w:w="116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461,015</w:t>
            </w:r>
          </w:p>
        </w:tc>
        <w:tc>
          <w:tcPr>
            <w:tcW w:w="640" w:type="dxa"/>
            <w:vAlign w:val="bottom"/>
          </w:tcPr>
          <w:p>
            <w:pPr>
              <w:jc w:val="right"/>
              <w:spacing w:after="0"/>
              <w:rPr>
                <w:sz w:val="20"/>
                <w:szCs w:val="20"/>
                <w:color w:val="auto"/>
              </w:rPr>
            </w:pPr>
            <w:r>
              <w:rPr>
                <w:rFonts w:ascii="Arial" w:cs="Arial" w:eastAsia="Arial" w:hAnsi="Arial"/>
                <w:sz w:val="14"/>
                <w:szCs w:val="14"/>
                <w:color w:val="auto"/>
              </w:rPr>
              <w:t>42.800</w:t>
            </w:r>
          </w:p>
        </w:tc>
        <w:tc>
          <w:tcPr>
            <w:tcW w:w="1800" w:type="dxa"/>
            <w:vAlign w:val="bottom"/>
          </w:tcPr>
          <w:p>
            <w:pPr>
              <w:jc w:val="right"/>
              <w:ind w:right="948"/>
              <w:spacing w:after="0"/>
              <w:rPr>
                <w:sz w:val="20"/>
                <w:szCs w:val="20"/>
                <w:color w:val="auto"/>
              </w:rPr>
            </w:pPr>
            <w:r>
              <w:rPr>
                <w:rFonts w:ascii="Arial" w:cs="Arial" w:eastAsia="Arial" w:hAnsi="Arial"/>
                <w:sz w:val="14"/>
                <w:szCs w:val="14"/>
                <w:color w:val="auto"/>
              </w:rPr>
              <w:t>02/28/2034</w:t>
            </w: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3"/>
        </w:trPr>
        <w:tc>
          <w:tcPr>
            <w:tcW w:w="1160" w:type="dxa"/>
            <w:vAlign w:val="bottom"/>
            <w:tcBorders>
              <w:bottom w:val="single" w:sz="8" w:color="DCDDDE"/>
            </w:tcBorders>
          </w:tcPr>
          <w:p>
            <w:pPr>
              <w:spacing w:after="0"/>
              <w:rPr>
                <w:sz w:val="20"/>
                <w:szCs w:val="20"/>
                <w:color w:val="auto"/>
              </w:rPr>
            </w:pPr>
          </w:p>
        </w:tc>
        <w:tc>
          <w:tcPr>
            <w:tcW w:w="1280" w:type="dxa"/>
            <w:vAlign w:val="bottom"/>
            <w:tcBorders>
              <w:bottom w:val="single" w:sz="8" w:color="DCDDDE"/>
            </w:tcBorders>
          </w:tcPr>
          <w:p>
            <w:pPr>
              <w:spacing w:after="0"/>
              <w:rPr>
                <w:sz w:val="20"/>
                <w:szCs w:val="20"/>
                <w:color w:val="auto"/>
              </w:rPr>
            </w:pPr>
          </w:p>
        </w:tc>
        <w:tc>
          <w:tcPr>
            <w:tcW w:w="640" w:type="dxa"/>
            <w:vAlign w:val="bottom"/>
            <w:tcBorders>
              <w:bottom w:val="single" w:sz="8" w:color="DCDDDE"/>
            </w:tcBorders>
          </w:tcPr>
          <w:p>
            <w:pPr>
              <w:spacing w:after="0"/>
              <w:rPr>
                <w:sz w:val="20"/>
                <w:szCs w:val="20"/>
                <w:color w:val="auto"/>
              </w:rPr>
            </w:pPr>
          </w:p>
        </w:tc>
        <w:tc>
          <w:tcPr>
            <w:tcW w:w="1800" w:type="dxa"/>
            <w:vAlign w:val="bottom"/>
            <w:tcBorders>
              <w:bottom w:val="single" w:sz="8" w:color="DCDDDE"/>
            </w:tcBorders>
          </w:tcPr>
          <w:p>
            <w:pPr>
              <w:jc w:val="right"/>
              <w:ind w:right="48"/>
              <w:spacing w:after="0"/>
              <w:rPr>
                <w:sz w:val="20"/>
                <w:szCs w:val="20"/>
                <w:color w:val="auto"/>
              </w:rPr>
            </w:pPr>
            <w:r>
              <w:rPr>
                <w:rFonts w:ascii="Arial" w:cs="Arial" w:eastAsia="Arial" w:hAnsi="Arial"/>
                <w:sz w:val="14"/>
                <w:szCs w:val="14"/>
                <w:color w:val="auto"/>
              </w:rPr>
              <w:t>53,250</w:t>
            </w:r>
          </w:p>
        </w:tc>
        <w:tc>
          <w:tcPr>
            <w:tcW w:w="1080" w:type="dxa"/>
            <w:vAlign w:val="bottom"/>
            <w:tcBorders>
              <w:bottom w:val="single" w:sz="8" w:color="DCDDDE"/>
            </w:tcBorders>
          </w:tcPr>
          <w:p>
            <w:pPr>
              <w:jc w:val="right"/>
              <w:ind w:right="228"/>
              <w:spacing w:after="0"/>
              <w:rPr>
                <w:sz w:val="20"/>
                <w:szCs w:val="20"/>
                <w:color w:val="auto"/>
              </w:rPr>
            </w:pPr>
            <w:r>
              <w:rPr>
                <w:rFonts w:ascii="Arial" w:cs="Arial" w:eastAsia="Arial" w:hAnsi="Arial"/>
                <w:sz w:val="14"/>
                <w:szCs w:val="14"/>
                <w:color w:val="auto"/>
              </w:rPr>
              <w:t>1,998,473</w:t>
            </w:r>
          </w:p>
        </w:tc>
        <w:tc>
          <w:tcPr>
            <w:tcW w:w="1060" w:type="dxa"/>
            <w:vAlign w:val="bottom"/>
            <w:tcBorders>
              <w:bottom w:val="single" w:sz="8" w:color="DCDDDE"/>
            </w:tcBorders>
          </w:tcPr>
          <w:p>
            <w:pPr>
              <w:jc w:val="right"/>
              <w:ind w:right="148"/>
              <w:spacing w:after="0"/>
              <w:rPr>
                <w:sz w:val="20"/>
                <w:szCs w:val="20"/>
                <w:color w:val="auto"/>
              </w:rPr>
            </w:pPr>
            <w:r>
              <w:rPr>
                <w:rFonts w:ascii="Arial" w:cs="Arial" w:eastAsia="Arial" w:hAnsi="Arial"/>
                <w:sz w:val="14"/>
                <w:szCs w:val="14"/>
                <w:color w:val="auto"/>
              </w:rPr>
              <w:t>577,137</w:t>
            </w:r>
          </w:p>
        </w:tc>
        <w:tc>
          <w:tcPr>
            <w:tcW w:w="10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21,659,952</w:t>
            </w:r>
          </w:p>
        </w:tc>
      </w:tr>
      <w:tr>
        <w:trPr>
          <w:trHeight w:val="210"/>
        </w:trPr>
        <w:tc>
          <w:tcPr>
            <w:tcW w:w="1160" w:type="dxa"/>
            <w:vAlign w:val="bottom"/>
            <w:tcBorders>
              <w:bottom w:val="single" w:sz="8" w:color="DCDDDE"/>
            </w:tcBorders>
          </w:tcPr>
          <w:p>
            <w:pPr>
              <w:jc w:val="right"/>
              <w:ind w:right="548"/>
              <w:spacing w:after="0"/>
              <w:rPr>
                <w:sz w:val="20"/>
                <w:szCs w:val="20"/>
                <w:color w:val="auto"/>
              </w:rPr>
            </w:pPr>
            <w:r>
              <w:rPr>
                <w:rFonts w:ascii="Arial" w:cs="Arial" w:eastAsia="Arial" w:hAnsi="Arial"/>
                <w:sz w:val="14"/>
                <w:szCs w:val="14"/>
                <w:color w:val="auto"/>
              </w:rPr>
              <w:t>69,800</w:t>
            </w:r>
          </w:p>
        </w:tc>
        <w:tc>
          <w:tcPr>
            <w:tcW w:w="1280" w:type="dxa"/>
            <w:vAlign w:val="bottom"/>
            <w:tcBorders>
              <w:bottom w:val="single" w:sz="8" w:color="DCDDDE"/>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29.880</w:t>
            </w:r>
          </w:p>
        </w:tc>
        <w:tc>
          <w:tcPr>
            <w:tcW w:w="1800" w:type="dxa"/>
            <w:vAlign w:val="bottom"/>
            <w:tcBorders>
              <w:bottom w:val="single" w:sz="8" w:color="DCDDDE"/>
            </w:tcBorders>
          </w:tcPr>
          <w:p>
            <w:pPr>
              <w:jc w:val="right"/>
              <w:ind w:right="948"/>
              <w:spacing w:after="0"/>
              <w:rPr>
                <w:sz w:val="20"/>
                <w:szCs w:val="20"/>
                <w:color w:val="auto"/>
              </w:rPr>
            </w:pPr>
            <w:r>
              <w:rPr>
                <w:rFonts w:ascii="Arial" w:cs="Arial" w:eastAsia="Arial" w:hAnsi="Arial"/>
                <w:sz w:val="14"/>
                <w:szCs w:val="14"/>
                <w:color w:val="auto"/>
              </w:rPr>
              <w:t>03/17/2026</w:t>
            </w:r>
          </w:p>
        </w:tc>
        <w:tc>
          <w:tcPr>
            <w:tcW w:w="1080" w:type="dxa"/>
            <w:vAlign w:val="bottom"/>
            <w:tcBorders>
              <w:bottom w:val="single" w:sz="8" w:color="DCDDDE"/>
            </w:tcBorders>
          </w:tcPr>
          <w:p>
            <w:pPr>
              <w:spacing w:after="0"/>
              <w:rPr>
                <w:sz w:val="18"/>
                <w:szCs w:val="18"/>
                <w:color w:val="auto"/>
              </w:rPr>
            </w:pPr>
          </w:p>
        </w:tc>
        <w:tc>
          <w:tcPr>
            <w:tcW w:w="1060" w:type="dxa"/>
            <w:vAlign w:val="bottom"/>
            <w:tcBorders>
              <w:bottom w:val="single" w:sz="8" w:color="DCDDDE"/>
            </w:tcBorders>
          </w:tcPr>
          <w:p>
            <w:pPr>
              <w:spacing w:after="0"/>
              <w:rPr>
                <w:sz w:val="18"/>
                <w:szCs w:val="18"/>
                <w:color w:val="auto"/>
              </w:rPr>
            </w:pPr>
          </w:p>
        </w:tc>
        <w:tc>
          <w:tcPr>
            <w:tcW w:w="1020" w:type="dxa"/>
            <w:vAlign w:val="bottom"/>
            <w:tcBorders>
              <w:bottom w:val="single" w:sz="8" w:color="DCDDDE"/>
            </w:tcBorders>
          </w:tcPr>
          <w:p>
            <w:pPr>
              <w:spacing w:after="0"/>
              <w:rPr>
                <w:sz w:val="18"/>
                <w:szCs w:val="18"/>
                <w:color w:val="auto"/>
              </w:rPr>
            </w:pPr>
          </w:p>
        </w:tc>
      </w:tr>
      <w:tr>
        <w:trPr>
          <w:trHeight w:val="209"/>
        </w:trPr>
        <w:tc>
          <w:tcPr>
            <w:tcW w:w="1160" w:type="dxa"/>
            <w:vAlign w:val="bottom"/>
            <w:tcBorders>
              <w:bottom w:val="single" w:sz="8" w:color="DCDDDE"/>
            </w:tcBorders>
          </w:tcPr>
          <w:p>
            <w:pPr>
              <w:jc w:val="right"/>
              <w:ind w:right="548"/>
              <w:spacing w:after="0"/>
              <w:rPr>
                <w:sz w:val="20"/>
                <w:szCs w:val="20"/>
                <w:color w:val="auto"/>
              </w:rPr>
            </w:pPr>
            <w:r>
              <w:rPr>
                <w:rFonts w:ascii="Arial" w:cs="Arial" w:eastAsia="Arial" w:hAnsi="Arial"/>
                <w:sz w:val="14"/>
                <w:szCs w:val="14"/>
                <w:color w:val="auto"/>
              </w:rPr>
              <w:t>68,200</w:t>
            </w:r>
          </w:p>
        </w:tc>
        <w:tc>
          <w:tcPr>
            <w:tcW w:w="1280" w:type="dxa"/>
            <w:vAlign w:val="bottom"/>
            <w:tcBorders>
              <w:bottom w:val="single" w:sz="8" w:color="DCDDDE"/>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37.460</w:t>
            </w:r>
          </w:p>
        </w:tc>
        <w:tc>
          <w:tcPr>
            <w:tcW w:w="1800" w:type="dxa"/>
            <w:vAlign w:val="bottom"/>
            <w:tcBorders>
              <w:bottom w:val="single" w:sz="8" w:color="DCDDDE"/>
            </w:tcBorders>
          </w:tcPr>
          <w:p>
            <w:pPr>
              <w:jc w:val="right"/>
              <w:ind w:right="948"/>
              <w:spacing w:after="0"/>
              <w:rPr>
                <w:sz w:val="20"/>
                <w:szCs w:val="20"/>
                <w:color w:val="auto"/>
              </w:rPr>
            </w:pPr>
            <w:r>
              <w:rPr>
                <w:rFonts w:ascii="Arial" w:cs="Arial" w:eastAsia="Arial" w:hAnsi="Arial"/>
                <w:sz w:val="14"/>
                <w:szCs w:val="14"/>
                <w:color w:val="auto"/>
              </w:rPr>
              <w:t>03/16/2027</w:t>
            </w:r>
          </w:p>
        </w:tc>
        <w:tc>
          <w:tcPr>
            <w:tcW w:w="1080" w:type="dxa"/>
            <w:vAlign w:val="bottom"/>
            <w:tcBorders>
              <w:bottom w:val="single" w:sz="8" w:color="DCDDDE"/>
            </w:tcBorders>
          </w:tcPr>
          <w:p>
            <w:pPr>
              <w:spacing w:after="0"/>
              <w:rPr>
                <w:sz w:val="18"/>
                <w:szCs w:val="18"/>
                <w:color w:val="auto"/>
              </w:rPr>
            </w:pPr>
          </w:p>
        </w:tc>
        <w:tc>
          <w:tcPr>
            <w:tcW w:w="1060" w:type="dxa"/>
            <w:vAlign w:val="bottom"/>
            <w:tcBorders>
              <w:bottom w:val="single" w:sz="8" w:color="DCDDDE"/>
            </w:tcBorders>
          </w:tcPr>
          <w:p>
            <w:pPr>
              <w:spacing w:after="0"/>
              <w:rPr>
                <w:sz w:val="18"/>
                <w:szCs w:val="18"/>
                <w:color w:val="auto"/>
              </w:rPr>
            </w:pPr>
          </w:p>
        </w:tc>
        <w:tc>
          <w:tcPr>
            <w:tcW w:w="1020" w:type="dxa"/>
            <w:vAlign w:val="bottom"/>
            <w:tcBorders>
              <w:bottom w:val="single" w:sz="8" w:color="DCDDDE"/>
            </w:tcBorders>
          </w:tcPr>
          <w:p>
            <w:pPr>
              <w:spacing w:after="0"/>
              <w:rPr>
                <w:sz w:val="18"/>
                <w:szCs w:val="18"/>
                <w:color w:val="auto"/>
              </w:rPr>
            </w:pPr>
          </w:p>
        </w:tc>
      </w:tr>
      <w:tr>
        <w:trPr>
          <w:trHeight w:val="210"/>
        </w:trPr>
        <w:tc>
          <w:tcPr>
            <w:tcW w:w="1160" w:type="dxa"/>
            <w:vAlign w:val="bottom"/>
            <w:tcBorders>
              <w:bottom w:val="single" w:sz="8" w:color="DCDDDE"/>
            </w:tcBorders>
          </w:tcPr>
          <w:p>
            <w:pPr>
              <w:jc w:val="right"/>
              <w:ind w:right="548"/>
              <w:spacing w:after="0"/>
              <w:rPr>
                <w:sz w:val="20"/>
                <w:szCs w:val="20"/>
                <w:color w:val="auto"/>
              </w:rPr>
            </w:pPr>
            <w:r>
              <w:rPr>
                <w:rFonts w:ascii="Arial" w:cs="Arial" w:eastAsia="Arial" w:hAnsi="Arial"/>
                <w:sz w:val="14"/>
                <w:szCs w:val="14"/>
                <w:color w:val="auto"/>
              </w:rPr>
              <w:t>69,800</w:t>
            </w:r>
          </w:p>
        </w:tc>
        <w:tc>
          <w:tcPr>
            <w:tcW w:w="1280" w:type="dxa"/>
            <w:vAlign w:val="bottom"/>
            <w:tcBorders>
              <w:bottom w:val="single" w:sz="8" w:color="DCDDDE"/>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35.830</w:t>
            </w:r>
          </w:p>
        </w:tc>
        <w:tc>
          <w:tcPr>
            <w:tcW w:w="1800" w:type="dxa"/>
            <w:vAlign w:val="bottom"/>
            <w:tcBorders>
              <w:bottom w:val="single" w:sz="8" w:color="DCDDDE"/>
            </w:tcBorders>
          </w:tcPr>
          <w:p>
            <w:pPr>
              <w:jc w:val="right"/>
              <w:ind w:right="948"/>
              <w:spacing w:after="0"/>
              <w:rPr>
                <w:sz w:val="20"/>
                <w:szCs w:val="20"/>
                <w:color w:val="auto"/>
              </w:rPr>
            </w:pPr>
            <w:r>
              <w:rPr>
                <w:rFonts w:ascii="Arial" w:cs="Arial" w:eastAsia="Arial" w:hAnsi="Arial"/>
                <w:sz w:val="14"/>
                <w:szCs w:val="14"/>
                <w:color w:val="auto"/>
              </w:rPr>
              <w:t>03/15/2028</w:t>
            </w:r>
          </w:p>
        </w:tc>
        <w:tc>
          <w:tcPr>
            <w:tcW w:w="1080" w:type="dxa"/>
            <w:vAlign w:val="bottom"/>
            <w:tcBorders>
              <w:bottom w:val="single" w:sz="8" w:color="DCDDDE"/>
            </w:tcBorders>
          </w:tcPr>
          <w:p>
            <w:pPr>
              <w:spacing w:after="0"/>
              <w:rPr>
                <w:sz w:val="18"/>
                <w:szCs w:val="18"/>
                <w:color w:val="auto"/>
              </w:rPr>
            </w:pPr>
          </w:p>
        </w:tc>
        <w:tc>
          <w:tcPr>
            <w:tcW w:w="1060" w:type="dxa"/>
            <w:vAlign w:val="bottom"/>
            <w:tcBorders>
              <w:bottom w:val="single" w:sz="8" w:color="DCDDDE"/>
            </w:tcBorders>
          </w:tcPr>
          <w:p>
            <w:pPr>
              <w:spacing w:after="0"/>
              <w:rPr>
                <w:sz w:val="18"/>
                <w:szCs w:val="18"/>
                <w:color w:val="auto"/>
              </w:rPr>
            </w:pPr>
          </w:p>
        </w:tc>
        <w:tc>
          <w:tcPr>
            <w:tcW w:w="1020" w:type="dxa"/>
            <w:vAlign w:val="bottom"/>
            <w:tcBorders>
              <w:bottom w:val="single" w:sz="8" w:color="DCDDDE"/>
            </w:tcBorders>
          </w:tcPr>
          <w:p>
            <w:pPr>
              <w:spacing w:after="0"/>
              <w:rPr>
                <w:sz w:val="18"/>
                <w:szCs w:val="18"/>
                <w:color w:val="auto"/>
              </w:rPr>
            </w:pPr>
          </w:p>
        </w:tc>
      </w:tr>
      <w:tr>
        <w:trPr>
          <w:trHeight w:val="210"/>
        </w:trPr>
        <w:tc>
          <w:tcPr>
            <w:tcW w:w="1160" w:type="dxa"/>
            <w:vAlign w:val="bottom"/>
            <w:tcBorders>
              <w:bottom w:val="single" w:sz="8" w:color="DCDDDE"/>
            </w:tcBorders>
          </w:tcPr>
          <w:p>
            <w:pPr>
              <w:jc w:val="right"/>
              <w:ind w:right="548"/>
              <w:spacing w:after="0"/>
              <w:rPr>
                <w:sz w:val="20"/>
                <w:szCs w:val="20"/>
                <w:color w:val="auto"/>
              </w:rPr>
            </w:pPr>
            <w:r>
              <w:rPr>
                <w:rFonts w:ascii="Arial" w:cs="Arial" w:eastAsia="Arial" w:hAnsi="Arial"/>
                <w:sz w:val="14"/>
                <w:szCs w:val="14"/>
                <w:color w:val="auto"/>
              </w:rPr>
              <w:t>82,000</w:t>
            </w:r>
          </w:p>
        </w:tc>
        <w:tc>
          <w:tcPr>
            <w:tcW w:w="1280" w:type="dxa"/>
            <w:vAlign w:val="bottom"/>
            <w:tcBorders>
              <w:bottom w:val="single" w:sz="8" w:color="DCDDDE"/>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40.470</w:t>
            </w:r>
          </w:p>
        </w:tc>
        <w:tc>
          <w:tcPr>
            <w:tcW w:w="1800" w:type="dxa"/>
            <w:vAlign w:val="bottom"/>
            <w:tcBorders>
              <w:bottom w:val="single" w:sz="8" w:color="DCDDDE"/>
            </w:tcBorders>
          </w:tcPr>
          <w:p>
            <w:pPr>
              <w:jc w:val="right"/>
              <w:ind w:right="948"/>
              <w:spacing w:after="0"/>
              <w:rPr>
                <w:sz w:val="20"/>
                <w:szCs w:val="20"/>
                <w:color w:val="auto"/>
              </w:rPr>
            </w:pPr>
            <w:r>
              <w:rPr>
                <w:rFonts w:ascii="Arial" w:cs="Arial" w:eastAsia="Arial" w:hAnsi="Arial"/>
                <w:sz w:val="14"/>
                <w:szCs w:val="14"/>
                <w:color w:val="auto"/>
              </w:rPr>
              <w:t>03/14/2029</w:t>
            </w:r>
          </w:p>
        </w:tc>
        <w:tc>
          <w:tcPr>
            <w:tcW w:w="1080" w:type="dxa"/>
            <w:vAlign w:val="bottom"/>
            <w:tcBorders>
              <w:bottom w:val="single" w:sz="8" w:color="DCDDDE"/>
            </w:tcBorders>
          </w:tcPr>
          <w:p>
            <w:pPr>
              <w:spacing w:after="0"/>
              <w:rPr>
                <w:sz w:val="18"/>
                <w:szCs w:val="18"/>
                <w:color w:val="auto"/>
              </w:rPr>
            </w:pPr>
          </w:p>
        </w:tc>
        <w:tc>
          <w:tcPr>
            <w:tcW w:w="1060" w:type="dxa"/>
            <w:vAlign w:val="bottom"/>
            <w:tcBorders>
              <w:bottom w:val="single" w:sz="8" w:color="DCDDDE"/>
            </w:tcBorders>
          </w:tcPr>
          <w:p>
            <w:pPr>
              <w:spacing w:after="0"/>
              <w:rPr>
                <w:sz w:val="18"/>
                <w:szCs w:val="18"/>
                <w:color w:val="auto"/>
              </w:rPr>
            </w:pPr>
          </w:p>
        </w:tc>
        <w:tc>
          <w:tcPr>
            <w:tcW w:w="1020" w:type="dxa"/>
            <w:vAlign w:val="bottom"/>
            <w:tcBorders>
              <w:bottom w:val="single" w:sz="8" w:color="DCDDDE"/>
            </w:tcBorders>
          </w:tcPr>
          <w:p>
            <w:pPr>
              <w:spacing w:after="0"/>
              <w:rPr>
                <w:sz w:val="18"/>
                <w:szCs w:val="18"/>
                <w:color w:val="auto"/>
              </w:rPr>
            </w:pPr>
          </w:p>
        </w:tc>
      </w:tr>
      <w:tr>
        <w:trPr>
          <w:trHeight w:val="209"/>
        </w:trPr>
        <w:tc>
          <w:tcPr>
            <w:tcW w:w="1160" w:type="dxa"/>
            <w:vAlign w:val="bottom"/>
            <w:tcBorders>
              <w:bottom w:val="single" w:sz="8" w:color="DCDDDE"/>
            </w:tcBorders>
          </w:tcPr>
          <w:p>
            <w:pPr>
              <w:jc w:val="right"/>
              <w:ind w:right="548"/>
              <w:spacing w:after="0"/>
              <w:rPr>
                <w:sz w:val="20"/>
                <w:szCs w:val="20"/>
                <w:color w:val="auto"/>
              </w:rPr>
            </w:pPr>
            <w:r>
              <w:rPr>
                <w:rFonts w:ascii="Arial" w:cs="Arial" w:eastAsia="Arial" w:hAnsi="Arial"/>
                <w:sz w:val="14"/>
                <w:szCs w:val="14"/>
                <w:color w:val="auto"/>
              </w:rPr>
              <w:t>46,620</w:t>
            </w:r>
          </w:p>
        </w:tc>
        <w:tc>
          <w:tcPr>
            <w:tcW w:w="1280" w:type="dxa"/>
            <w:vAlign w:val="bottom"/>
            <w:tcBorders>
              <w:bottom w:val="single" w:sz="8" w:color="DCDDDE"/>
            </w:tcBorders>
          </w:tcPr>
          <w:p>
            <w:pPr>
              <w:jc w:val="right"/>
              <w:ind w:right="88"/>
              <w:spacing w:after="0"/>
              <w:rPr>
                <w:sz w:val="20"/>
                <w:szCs w:val="20"/>
                <w:color w:val="auto"/>
              </w:rPr>
            </w:pPr>
            <w:r>
              <w:rPr>
                <w:rFonts w:ascii="Arial" w:cs="Arial" w:eastAsia="Arial" w:hAnsi="Arial"/>
                <w:sz w:val="14"/>
                <w:szCs w:val="14"/>
                <w:color w:val="auto"/>
              </w:rPr>
              <w:t>31,080</w:t>
            </w:r>
          </w:p>
        </w:tc>
        <w:tc>
          <w:tcPr>
            <w:tcW w:w="6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54.450</w:t>
            </w:r>
          </w:p>
        </w:tc>
        <w:tc>
          <w:tcPr>
            <w:tcW w:w="1800" w:type="dxa"/>
            <w:vAlign w:val="bottom"/>
            <w:tcBorders>
              <w:bottom w:val="single" w:sz="8" w:color="DCDDDE"/>
            </w:tcBorders>
          </w:tcPr>
          <w:p>
            <w:pPr>
              <w:jc w:val="right"/>
              <w:ind w:right="948"/>
              <w:spacing w:after="0"/>
              <w:rPr>
                <w:sz w:val="20"/>
                <w:szCs w:val="20"/>
                <w:color w:val="auto"/>
              </w:rPr>
            </w:pPr>
            <w:r>
              <w:rPr>
                <w:rFonts w:ascii="Arial" w:cs="Arial" w:eastAsia="Arial" w:hAnsi="Arial"/>
                <w:sz w:val="14"/>
                <w:szCs w:val="14"/>
                <w:color w:val="auto"/>
              </w:rPr>
              <w:t>02/28/2031</w:t>
            </w:r>
          </w:p>
        </w:tc>
        <w:tc>
          <w:tcPr>
            <w:tcW w:w="1080" w:type="dxa"/>
            <w:vAlign w:val="bottom"/>
            <w:tcBorders>
              <w:bottom w:val="single" w:sz="8" w:color="DCDDDE"/>
            </w:tcBorders>
          </w:tcPr>
          <w:p>
            <w:pPr>
              <w:spacing w:after="0"/>
              <w:rPr>
                <w:sz w:val="18"/>
                <w:szCs w:val="18"/>
                <w:color w:val="auto"/>
              </w:rPr>
            </w:pPr>
          </w:p>
        </w:tc>
        <w:tc>
          <w:tcPr>
            <w:tcW w:w="1060" w:type="dxa"/>
            <w:vAlign w:val="bottom"/>
            <w:tcBorders>
              <w:bottom w:val="single" w:sz="8" w:color="DCDDDE"/>
            </w:tcBorders>
          </w:tcPr>
          <w:p>
            <w:pPr>
              <w:spacing w:after="0"/>
              <w:rPr>
                <w:sz w:val="18"/>
                <w:szCs w:val="18"/>
                <w:color w:val="auto"/>
              </w:rPr>
            </w:pPr>
          </w:p>
        </w:tc>
        <w:tc>
          <w:tcPr>
            <w:tcW w:w="1020" w:type="dxa"/>
            <w:vAlign w:val="bottom"/>
            <w:tcBorders>
              <w:bottom w:val="single" w:sz="8" w:color="DCDDDE"/>
            </w:tcBorders>
          </w:tcPr>
          <w:p>
            <w:pPr>
              <w:spacing w:after="0"/>
              <w:rPr>
                <w:sz w:val="18"/>
                <w:szCs w:val="18"/>
                <w:color w:val="auto"/>
              </w:rPr>
            </w:pPr>
          </w:p>
        </w:tc>
      </w:tr>
      <w:tr>
        <w:trPr>
          <w:trHeight w:val="210"/>
        </w:trPr>
        <w:tc>
          <w:tcPr>
            <w:tcW w:w="1160" w:type="dxa"/>
            <w:vAlign w:val="bottom"/>
            <w:tcBorders>
              <w:bottom w:val="single" w:sz="8" w:color="DCDDDE"/>
            </w:tcBorders>
          </w:tcPr>
          <w:p>
            <w:pPr>
              <w:jc w:val="right"/>
              <w:ind w:right="548"/>
              <w:spacing w:after="0"/>
              <w:rPr>
                <w:sz w:val="20"/>
                <w:szCs w:val="20"/>
                <w:color w:val="auto"/>
              </w:rPr>
            </w:pPr>
            <w:r>
              <w:rPr>
                <w:rFonts w:ascii="Arial" w:cs="Arial" w:eastAsia="Arial" w:hAnsi="Arial"/>
                <w:sz w:val="14"/>
                <w:szCs w:val="14"/>
                <w:color w:val="auto"/>
              </w:rPr>
              <w:t>45,404</w:t>
            </w:r>
          </w:p>
        </w:tc>
        <w:tc>
          <w:tcPr>
            <w:tcW w:w="1280" w:type="dxa"/>
            <w:vAlign w:val="bottom"/>
            <w:tcBorders>
              <w:bottom w:val="single" w:sz="8" w:color="DCDDDE"/>
            </w:tcBorders>
          </w:tcPr>
          <w:p>
            <w:pPr>
              <w:jc w:val="right"/>
              <w:ind w:right="88"/>
              <w:spacing w:after="0"/>
              <w:rPr>
                <w:sz w:val="20"/>
                <w:szCs w:val="20"/>
                <w:color w:val="auto"/>
              </w:rPr>
            </w:pPr>
            <w:r>
              <w:rPr>
                <w:rFonts w:ascii="Arial" w:cs="Arial" w:eastAsia="Arial" w:hAnsi="Arial"/>
                <w:sz w:val="14"/>
                <w:szCs w:val="14"/>
                <w:color w:val="auto"/>
              </w:rPr>
              <w:t>68,106</w:t>
            </w:r>
          </w:p>
        </w:tc>
        <w:tc>
          <w:tcPr>
            <w:tcW w:w="6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46.390</w:t>
            </w:r>
          </w:p>
        </w:tc>
        <w:tc>
          <w:tcPr>
            <w:tcW w:w="1800" w:type="dxa"/>
            <w:vAlign w:val="bottom"/>
            <w:tcBorders>
              <w:bottom w:val="single" w:sz="8" w:color="DCDDDE"/>
            </w:tcBorders>
          </w:tcPr>
          <w:p>
            <w:pPr>
              <w:jc w:val="right"/>
              <w:ind w:right="948"/>
              <w:spacing w:after="0"/>
              <w:rPr>
                <w:sz w:val="20"/>
                <w:szCs w:val="20"/>
                <w:color w:val="auto"/>
              </w:rPr>
            </w:pPr>
            <w:r>
              <w:rPr>
                <w:rFonts w:ascii="Arial" w:cs="Arial" w:eastAsia="Arial" w:hAnsi="Arial"/>
                <w:sz w:val="14"/>
                <w:szCs w:val="14"/>
                <w:color w:val="auto"/>
              </w:rPr>
              <w:t>02/29/2032</w:t>
            </w:r>
          </w:p>
        </w:tc>
        <w:tc>
          <w:tcPr>
            <w:tcW w:w="1080" w:type="dxa"/>
            <w:vAlign w:val="bottom"/>
            <w:tcBorders>
              <w:bottom w:val="single" w:sz="8" w:color="DCDDDE"/>
            </w:tcBorders>
          </w:tcPr>
          <w:p>
            <w:pPr>
              <w:spacing w:after="0"/>
              <w:rPr>
                <w:sz w:val="18"/>
                <w:szCs w:val="18"/>
                <w:color w:val="auto"/>
              </w:rPr>
            </w:pPr>
          </w:p>
        </w:tc>
        <w:tc>
          <w:tcPr>
            <w:tcW w:w="1060" w:type="dxa"/>
            <w:vAlign w:val="bottom"/>
            <w:tcBorders>
              <w:bottom w:val="single" w:sz="8" w:color="DCDDDE"/>
            </w:tcBorders>
          </w:tcPr>
          <w:p>
            <w:pPr>
              <w:spacing w:after="0"/>
              <w:rPr>
                <w:sz w:val="18"/>
                <w:szCs w:val="18"/>
                <w:color w:val="auto"/>
              </w:rPr>
            </w:pPr>
          </w:p>
        </w:tc>
        <w:tc>
          <w:tcPr>
            <w:tcW w:w="1020" w:type="dxa"/>
            <w:vAlign w:val="bottom"/>
            <w:tcBorders>
              <w:bottom w:val="single" w:sz="8" w:color="DCDDDE"/>
            </w:tcBorders>
          </w:tcPr>
          <w:p>
            <w:pPr>
              <w:spacing w:after="0"/>
              <w:rPr>
                <w:sz w:val="18"/>
                <w:szCs w:val="18"/>
                <w:color w:val="auto"/>
              </w:rPr>
            </w:pPr>
          </w:p>
        </w:tc>
      </w:tr>
      <w:tr>
        <w:trPr>
          <w:trHeight w:val="210"/>
        </w:trPr>
        <w:tc>
          <w:tcPr>
            <w:tcW w:w="1160" w:type="dxa"/>
            <w:vAlign w:val="bottom"/>
            <w:tcBorders>
              <w:bottom w:val="single" w:sz="8" w:color="DCDDDD"/>
            </w:tcBorders>
          </w:tcPr>
          <w:p>
            <w:pPr>
              <w:jc w:val="right"/>
              <w:ind w:right="548"/>
              <w:spacing w:after="0"/>
              <w:rPr>
                <w:sz w:val="20"/>
                <w:szCs w:val="20"/>
                <w:color w:val="auto"/>
              </w:rPr>
            </w:pPr>
            <w:r>
              <w:rPr>
                <w:rFonts w:ascii="Arial" w:cs="Arial" w:eastAsia="Arial" w:hAnsi="Arial"/>
                <w:sz w:val="14"/>
                <w:szCs w:val="14"/>
                <w:color w:val="auto"/>
              </w:rPr>
              <w:t>48,020</w:t>
            </w:r>
          </w:p>
        </w:tc>
        <w:tc>
          <w:tcPr>
            <w:tcW w:w="1280" w:type="dxa"/>
            <w:vAlign w:val="bottom"/>
            <w:tcBorders>
              <w:bottom w:val="single" w:sz="8" w:color="DCDDDD"/>
            </w:tcBorders>
          </w:tcPr>
          <w:p>
            <w:pPr>
              <w:jc w:val="right"/>
              <w:ind w:right="88"/>
              <w:spacing w:after="0"/>
              <w:rPr>
                <w:sz w:val="20"/>
                <w:szCs w:val="20"/>
                <w:color w:val="auto"/>
              </w:rPr>
            </w:pPr>
            <w:r>
              <w:rPr>
                <w:rFonts w:ascii="Arial" w:cs="Arial" w:eastAsia="Arial" w:hAnsi="Arial"/>
                <w:sz w:val="14"/>
                <w:szCs w:val="14"/>
                <w:color w:val="auto"/>
              </w:rPr>
              <w:t>192,080</w:t>
            </w:r>
          </w:p>
        </w:tc>
        <w:tc>
          <w:tcPr>
            <w:tcW w:w="640" w:type="dxa"/>
            <w:vAlign w:val="bottom"/>
            <w:tcBorders>
              <w:bottom w:val="single" w:sz="8" w:color="DCDDDD"/>
            </w:tcBorders>
          </w:tcPr>
          <w:p>
            <w:pPr>
              <w:jc w:val="right"/>
              <w:spacing w:after="0"/>
              <w:rPr>
                <w:sz w:val="20"/>
                <w:szCs w:val="20"/>
                <w:color w:val="auto"/>
              </w:rPr>
            </w:pPr>
            <w:r>
              <w:rPr>
                <w:rFonts w:ascii="Arial" w:cs="Arial" w:eastAsia="Arial" w:hAnsi="Arial"/>
                <w:sz w:val="14"/>
                <w:szCs w:val="14"/>
                <w:color w:val="auto"/>
              </w:rPr>
              <w:t>36.630</w:t>
            </w:r>
          </w:p>
        </w:tc>
        <w:tc>
          <w:tcPr>
            <w:tcW w:w="1800" w:type="dxa"/>
            <w:vAlign w:val="bottom"/>
            <w:tcBorders>
              <w:bottom w:val="single" w:sz="8" w:color="DCDDDD"/>
            </w:tcBorders>
          </w:tcPr>
          <w:p>
            <w:pPr>
              <w:jc w:val="right"/>
              <w:ind w:right="948"/>
              <w:spacing w:after="0"/>
              <w:rPr>
                <w:sz w:val="20"/>
                <w:szCs w:val="20"/>
                <w:color w:val="auto"/>
              </w:rPr>
            </w:pPr>
            <w:r>
              <w:rPr>
                <w:rFonts w:ascii="Arial" w:cs="Arial" w:eastAsia="Arial" w:hAnsi="Arial"/>
                <w:sz w:val="14"/>
                <w:szCs w:val="14"/>
                <w:color w:val="auto"/>
              </w:rPr>
              <w:t>02/28/2033</w:t>
            </w:r>
          </w:p>
        </w:tc>
        <w:tc>
          <w:tcPr>
            <w:tcW w:w="1080" w:type="dxa"/>
            <w:vAlign w:val="bottom"/>
            <w:tcBorders>
              <w:bottom w:val="single" w:sz="8" w:color="DCDDDD"/>
            </w:tcBorders>
          </w:tcPr>
          <w:p>
            <w:pPr>
              <w:spacing w:after="0"/>
              <w:rPr>
                <w:sz w:val="18"/>
                <w:szCs w:val="18"/>
                <w:color w:val="auto"/>
              </w:rPr>
            </w:pPr>
          </w:p>
        </w:tc>
        <w:tc>
          <w:tcPr>
            <w:tcW w:w="1060" w:type="dxa"/>
            <w:vAlign w:val="bottom"/>
            <w:tcBorders>
              <w:bottom w:val="single" w:sz="8" w:color="DCDDDD"/>
            </w:tcBorders>
          </w:tcPr>
          <w:p>
            <w:pPr>
              <w:spacing w:after="0"/>
              <w:rPr>
                <w:sz w:val="18"/>
                <w:szCs w:val="18"/>
                <w:color w:val="auto"/>
              </w:rPr>
            </w:pPr>
          </w:p>
        </w:tc>
        <w:tc>
          <w:tcPr>
            <w:tcW w:w="1020" w:type="dxa"/>
            <w:vAlign w:val="bottom"/>
            <w:tcBorders>
              <w:bottom w:val="single" w:sz="8" w:color="DCDDDD"/>
            </w:tcBorders>
          </w:tcPr>
          <w:p>
            <w:pPr>
              <w:spacing w:after="0"/>
              <w:rPr>
                <w:sz w:val="18"/>
                <w:szCs w:val="18"/>
                <w:color w:val="auto"/>
              </w:rPr>
            </w:pPr>
          </w:p>
        </w:tc>
      </w:tr>
      <w:tr>
        <w:trPr>
          <w:trHeight w:val="205"/>
        </w:trPr>
        <w:tc>
          <w:tcPr>
            <w:tcW w:w="116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223,920</w:t>
            </w:r>
          </w:p>
        </w:tc>
        <w:tc>
          <w:tcPr>
            <w:tcW w:w="640" w:type="dxa"/>
            <w:vAlign w:val="bottom"/>
          </w:tcPr>
          <w:p>
            <w:pPr>
              <w:jc w:val="right"/>
              <w:spacing w:after="0"/>
              <w:rPr>
                <w:sz w:val="20"/>
                <w:szCs w:val="20"/>
                <w:color w:val="auto"/>
              </w:rPr>
            </w:pPr>
            <w:r>
              <w:rPr>
                <w:rFonts w:ascii="Arial" w:cs="Arial" w:eastAsia="Arial" w:hAnsi="Arial"/>
                <w:sz w:val="14"/>
                <w:szCs w:val="14"/>
                <w:color w:val="auto"/>
              </w:rPr>
              <w:t>42.800</w:t>
            </w:r>
          </w:p>
        </w:tc>
        <w:tc>
          <w:tcPr>
            <w:tcW w:w="1800" w:type="dxa"/>
            <w:vAlign w:val="bottom"/>
          </w:tcPr>
          <w:p>
            <w:pPr>
              <w:jc w:val="right"/>
              <w:ind w:right="948"/>
              <w:spacing w:after="0"/>
              <w:rPr>
                <w:sz w:val="20"/>
                <w:szCs w:val="20"/>
                <w:color w:val="auto"/>
              </w:rPr>
            </w:pPr>
            <w:r>
              <w:rPr>
                <w:rFonts w:ascii="Arial" w:cs="Arial" w:eastAsia="Arial" w:hAnsi="Arial"/>
                <w:sz w:val="14"/>
                <w:szCs w:val="14"/>
                <w:color w:val="auto"/>
              </w:rPr>
              <w:t>02/28/2034</w:t>
            </w: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5080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-1305560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20"/>
            <w:col w:w="8040"/>
          </w:cols>
          <w:pgMar w:left="320" w:top="122" w:right="339" w:bottom="1440" w:gutter="0" w:footer="0" w:header="0"/>
          <w:type w:val="continuous"/>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43</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NAME</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Thomas J.</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Reid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Jennifer</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Khoury</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9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3"/>
                <w:szCs w:val="13"/>
                <w:b w:val="1"/>
                <w:bCs w:val="1"/>
                <w:color w:val="auto"/>
              </w:rPr>
              <w:t>OPTION AWARDS</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ind w:left="680"/>
              <w:spacing w:after="0"/>
              <w:rPr>
                <w:sz w:val="20"/>
                <w:szCs w:val="20"/>
                <w:color w:val="auto"/>
              </w:rPr>
            </w:pPr>
            <w:r>
              <w:rPr>
                <w:rFonts w:ascii="Arial" w:cs="Arial" w:eastAsia="Arial" w:hAnsi="Arial"/>
                <w:sz w:val="13"/>
                <w:szCs w:val="13"/>
                <w:b w:val="1"/>
                <w:bCs w:val="1"/>
                <w:color w:val="auto"/>
                <w:w w:val="96"/>
              </w:rPr>
              <w:t>STOCK AWARDS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ind w:right="18"/>
              <w:spacing w:after="0" w:line="142"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INCENTIVE</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gridSpan w:val="2"/>
            <w:vMerge w:val="restart"/>
          </w:tcPr>
          <w:p>
            <w:pPr>
              <w:jc w:val="right"/>
              <w:ind w:right="22"/>
              <w:spacing w:after="0"/>
              <w:rPr>
                <w:sz w:val="20"/>
                <w:szCs w:val="20"/>
                <w:color w:val="auto"/>
              </w:rPr>
            </w:pPr>
            <w:r>
              <w:rPr>
                <w:rFonts w:ascii="Arial" w:cs="Arial" w:eastAsia="Arial" w:hAnsi="Arial"/>
                <w:sz w:val="13"/>
                <w:szCs w:val="13"/>
                <w:b w:val="1"/>
                <w:bCs w:val="1"/>
                <w:color w:val="auto"/>
              </w:rPr>
              <w:t>EQUITY</w:t>
            </w:r>
          </w:p>
        </w:tc>
        <w:tc>
          <w:tcPr>
            <w:tcW w:w="116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PLAN AWARDS:</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60" w:type="dxa"/>
            <w:vAlign w:val="bottom"/>
          </w:tcPr>
          <w:p>
            <w:pPr>
              <w:jc w:val="right"/>
              <w:ind w:right="18"/>
              <w:spacing w:after="0" w:line="126" w:lineRule="exact"/>
              <w:rPr>
                <w:sz w:val="20"/>
                <w:szCs w:val="20"/>
                <w:color w:val="auto"/>
              </w:rPr>
            </w:pPr>
            <w:r>
              <w:rPr>
                <w:rFonts w:ascii="Arial" w:cs="Arial" w:eastAsia="Arial" w:hAnsi="Arial"/>
                <w:sz w:val="13"/>
                <w:szCs w:val="13"/>
                <w:b w:val="1"/>
                <w:bCs w:val="1"/>
                <w:color w:val="auto"/>
              </w:rPr>
              <w:t>MARKET VALUE</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MARKET</w:t>
            </w:r>
          </w:p>
        </w:tc>
        <w:tc>
          <w:tcPr>
            <w:tcW w:w="1180" w:type="dxa"/>
            <w:vAlign w:val="bottom"/>
            <w:gridSpan w:val="2"/>
          </w:tcPr>
          <w:p>
            <w:pPr>
              <w:jc w:val="right"/>
              <w:ind w:right="22"/>
              <w:spacing w:after="0" w:line="135" w:lineRule="exact"/>
              <w:rPr>
                <w:sz w:val="20"/>
                <w:szCs w:val="20"/>
                <w:color w:val="auto"/>
              </w:rPr>
            </w:pPr>
            <w:r>
              <w:rPr>
                <w:rFonts w:ascii="Arial" w:cs="Arial" w:eastAsia="Arial" w:hAnsi="Arial"/>
                <w:sz w:val="13"/>
                <w:szCs w:val="13"/>
                <w:b w:val="1"/>
                <w:bCs w:val="1"/>
                <w:color w:val="auto"/>
              </w:rPr>
              <w:t>INCENTIVE</w:t>
            </w:r>
          </w:p>
        </w:tc>
        <w:tc>
          <w:tcPr>
            <w:tcW w:w="116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OR PAYOUT</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180" w:type="dxa"/>
            <w:vAlign w:val="bottom"/>
            <w:gridSpan w:val="2"/>
          </w:tcPr>
          <w:p>
            <w:pPr>
              <w:jc w:val="right"/>
              <w:ind w:right="22"/>
              <w:spacing w:after="0" w:line="135" w:lineRule="exact"/>
              <w:rPr>
                <w:sz w:val="20"/>
                <w:szCs w:val="20"/>
                <w:color w:val="auto"/>
              </w:rPr>
            </w:pPr>
            <w:r>
              <w:rPr>
                <w:rFonts w:ascii="Arial" w:cs="Arial" w:eastAsia="Arial" w:hAnsi="Arial"/>
                <w:sz w:val="13"/>
                <w:szCs w:val="13"/>
                <w:b w:val="1"/>
                <w:bCs w:val="1"/>
                <w:color w:val="auto"/>
              </w:rPr>
              <w:t>PLAN AWARDS:</w:t>
            </w:r>
          </w:p>
        </w:tc>
        <w:tc>
          <w:tcPr>
            <w:tcW w:w="116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35"/>
        </w:trPr>
        <w:tc>
          <w:tcPr>
            <w:tcW w:w="9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1300" w:type="dxa"/>
            <w:vAlign w:val="bottom"/>
            <w:gridSpan w:val="2"/>
            <w:vMerge w:val="restart"/>
          </w:tcPr>
          <w:p>
            <w:pPr>
              <w:jc w:val="right"/>
              <w:ind w:right="8"/>
              <w:spacing w:after="0"/>
              <w:rPr>
                <w:sz w:val="20"/>
                <w:szCs w:val="20"/>
                <w:color w:val="auto"/>
              </w:rPr>
            </w:pPr>
            <w:r>
              <w:rPr>
                <w:rFonts w:ascii="Arial" w:cs="Arial" w:eastAsia="Arial" w:hAnsi="Arial"/>
                <w:sz w:val="13"/>
                <w:szCs w:val="13"/>
                <w:b w:val="1"/>
                <w:bCs w:val="1"/>
                <w:color w:val="auto"/>
              </w:rPr>
              <w:t>NUMBER OF</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VALUE OF</w:t>
            </w:r>
          </w:p>
        </w:tc>
        <w:tc>
          <w:tcPr>
            <w:tcW w:w="1180" w:type="dxa"/>
            <w:vAlign w:val="bottom"/>
            <w:gridSpan w:val="2"/>
          </w:tcPr>
          <w:p>
            <w:pPr>
              <w:jc w:val="right"/>
              <w:ind w:right="22"/>
              <w:spacing w:after="0" w:line="135" w:lineRule="exact"/>
              <w:rPr>
                <w:sz w:val="20"/>
                <w:szCs w:val="20"/>
                <w:color w:val="auto"/>
              </w:rPr>
            </w:pPr>
            <w:r>
              <w:rPr>
                <w:rFonts w:ascii="Arial" w:cs="Arial" w:eastAsia="Arial" w:hAnsi="Arial"/>
                <w:sz w:val="13"/>
                <w:szCs w:val="13"/>
                <w:b w:val="1"/>
                <w:bCs w:val="1"/>
                <w:color w:val="auto"/>
              </w:rPr>
              <w:t>NUMBER OF</w:t>
            </w:r>
          </w:p>
        </w:tc>
        <w:tc>
          <w:tcPr>
            <w:tcW w:w="116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UNEARNED</w:t>
            </w:r>
          </w:p>
        </w:tc>
        <w:tc>
          <w:tcPr>
            <w:tcW w:w="0" w:type="dxa"/>
            <w:vAlign w:val="bottom"/>
          </w:tcPr>
          <w:p>
            <w:pPr>
              <w:spacing w:after="0"/>
              <w:rPr>
                <w:sz w:val="1"/>
                <w:szCs w:val="1"/>
                <w:color w:val="auto"/>
              </w:rPr>
            </w:pPr>
          </w:p>
        </w:tc>
      </w:tr>
      <w:tr>
        <w:trPr>
          <w:trHeight w:val="135"/>
        </w:trPr>
        <w:tc>
          <w:tcPr>
            <w:tcW w:w="98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 OR</w:t>
            </w:r>
          </w:p>
        </w:tc>
        <w:tc>
          <w:tcPr>
            <w:tcW w:w="1180" w:type="dxa"/>
            <w:vAlign w:val="bottom"/>
            <w:gridSpan w:val="2"/>
          </w:tcPr>
          <w:p>
            <w:pPr>
              <w:jc w:val="right"/>
              <w:ind w:right="22"/>
              <w:spacing w:after="0" w:line="135" w:lineRule="exact"/>
              <w:rPr>
                <w:sz w:val="20"/>
                <w:szCs w:val="20"/>
                <w:color w:val="auto"/>
              </w:rPr>
            </w:pPr>
            <w:r>
              <w:rPr>
                <w:rFonts w:ascii="Arial" w:cs="Arial" w:eastAsia="Arial" w:hAnsi="Arial"/>
                <w:sz w:val="13"/>
                <w:szCs w:val="13"/>
                <w:b w:val="1"/>
                <w:bCs w:val="1"/>
                <w:color w:val="auto"/>
              </w:rPr>
              <w:t>UNEARNED</w:t>
            </w:r>
          </w:p>
        </w:tc>
        <w:tc>
          <w:tcPr>
            <w:tcW w:w="116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135"/>
        </w:trPr>
        <w:tc>
          <w:tcPr>
            <w:tcW w:w="9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SECURITIES</w:t>
            </w:r>
          </w:p>
        </w:tc>
        <w:tc>
          <w:tcPr>
            <w:tcW w:w="1300" w:type="dxa"/>
            <w:vAlign w:val="bottom"/>
            <w:gridSpan w:val="2"/>
          </w:tcPr>
          <w:p>
            <w:pPr>
              <w:jc w:val="right"/>
              <w:ind w:right="8"/>
              <w:spacing w:after="0" w:line="135" w:lineRule="exact"/>
              <w:rPr>
                <w:sz w:val="20"/>
                <w:szCs w:val="20"/>
                <w:color w:val="auto"/>
              </w:rPr>
            </w:pPr>
            <w:r>
              <w:rPr>
                <w:rFonts w:ascii="Arial" w:cs="Arial" w:eastAsia="Arial" w:hAnsi="Arial"/>
                <w:sz w:val="13"/>
                <w:szCs w:val="13"/>
                <w:b w:val="1"/>
                <w:bCs w:val="1"/>
                <w:color w:val="auto"/>
              </w:rPr>
              <w:t>SECURITIES</w:t>
            </w: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OPTION</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 OR</w:t>
            </w: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UNITS OF</w:t>
            </w:r>
          </w:p>
        </w:tc>
        <w:tc>
          <w:tcPr>
            <w:tcW w:w="1180" w:type="dxa"/>
            <w:vAlign w:val="bottom"/>
            <w:gridSpan w:val="2"/>
          </w:tcPr>
          <w:p>
            <w:pPr>
              <w:jc w:val="right"/>
              <w:ind w:right="22"/>
              <w:spacing w:after="0" w:line="135" w:lineRule="exact"/>
              <w:rPr>
                <w:sz w:val="20"/>
                <w:szCs w:val="20"/>
                <w:color w:val="auto"/>
              </w:rPr>
            </w:pPr>
            <w:r>
              <w:rPr>
                <w:rFonts w:ascii="Arial" w:cs="Arial" w:eastAsia="Arial" w:hAnsi="Arial"/>
                <w:sz w:val="13"/>
                <w:szCs w:val="13"/>
                <w:b w:val="1"/>
                <w:bCs w:val="1"/>
                <w:color w:val="auto"/>
              </w:rPr>
              <w:t>SHARES,</w:t>
            </w:r>
          </w:p>
        </w:tc>
        <w:tc>
          <w:tcPr>
            <w:tcW w:w="116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UNITS OR</w:t>
            </w:r>
          </w:p>
        </w:tc>
        <w:tc>
          <w:tcPr>
            <w:tcW w:w="0" w:type="dxa"/>
            <w:vAlign w:val="bottom"/>
          </w:tcPr>
          <w:p>
            <w:pPr>
              <w:spacing w:after="0"/>
              <w:rPr>
                <w:sz w:val="1"/>
                <w:szCs w:val="1"/>
                <w:color w:val="auto"/>
              </w:rPr>
            </w:pPr>
          </w:p>
        </w:tc>
      </w:tr>
      <w:tr>
        <w:trPr>
          <w:trHeight w:val="135"/>
        </w:trPr>
        <w:tc>
          <w:tcPr>
            <w:tcW w:w="9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UNDERLYING</w:t>
            </w:r>
          </w:p>
        </w:tc>
        <w:tc>
          <w:tcPr>
            <w:tcW w:w="1300" w:type="dxa"/>
            <w:vAlign w:val="bottom"/>
            <w:gridSpan w:val="2"/>
          </w:tcPr>
          <w:p>
            <w:pPr>
              <w:jc w:val="right"/>
              <w:ind w:right="8"/>
              <w:spacing w:after="0" w:line="135" w:lineRule="exact"/>
              <w:rPr>
                <w:sz w:val="20"/>
                <w:szCs w:val="20"/>
                <w:color w:val="auto"/>
              </w:rPr>
            </w:pPr>
            <w:r>
              <w:rPr>
                <w:rFonts w:ascii="Arial" w:cs="Arial" w:eastAsia="Arial" w:hAnsi="Arial"/>
                <w:sz w:val="13"/>
                <w:szCs w:val="13"/>
                <w:b w:val="1"/>
                <w:bCs w:val="1"/>
                <w:color w:val="auto"/>
              </w:rPr>
              <w:t>UNDERLYING</w:t>
            </w:r>
          </w:p>
        </w:tc>
        <w:tc>
          <w:tcPr>
            <w:tcW w:w="720" w:type="dxa"/>
            <w:vAlign w:val="bottom"/>
            <w:vMerge w:val="continue"/>
          </w:tcPr>
          <w:p>
            <w:pPr>
              <w:spacing w:after="0"/>
              <w:rPr>
                <w:sz w:val="11"/>
                <w:szCs w:val="11"/>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OPTION</w:t>
            </w: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UNITS OF</w:t>
            </w: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STOCK</w:t>
            </w:r>
          </w:p>
        </w:tc>
        <w:tc>
          <w:tcPr>
            <w:tcW w:w="1180" w:type="dxa"/>
            <w:vAlign w:val="bottom"/>
            <w:gridSpan w:val="2"/>
          </w:tcPr>
          <w:p>
            <w:pPr>
              <w:jc w:val="right"/>
              <w:ind w:right="22"/>
              <w:spacing w:after="0" w:line="135" w:lineRule="exact"/>
              <w:rPr>
                <w:sz w:val="20"/>
                <w:szCs w:val="20"/>
                <w:color w:val="auto"/>
              </w:rPr>
            </w:pPr>
            <w:r>
              <w:rPr>
                <w:rFonts w:ascii="Arial" w:cs="Arial" w:eastAsia="Arial" w:hAnsi="Arial"/>
                <w:sz w:val="13"/>
                <w:szCs w:val="13"/>
                <w:b w:val="1"/>
                <w:bCs w:val="1"/>
                <w:color w:val="auto"/>
              </w:rPr>
              <w:t>UNITS OR</w:t>
            </w:r>
          </w:p>
        </w:tc>
        <w:tc>
          <w:tcPr>
            <w:tcW w:w="116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OTHER RIGHTS</w:t>
            </w:r>
          </w:p>
        </w:tc>
        <w:tc>
          <w:tcPr>
            <w:tcW w:w="0" w:type="dxa"/>
            <w:vAlign w:val="bottom"/>
          </w:tcPr>
          <w:p>
            <w:pPr>
              <w:spacing w:after="0"/>
              <w:rPr>
                <w:sz w:val="1"/>
                <w:szCs w:val="1"/>
                <w:color w:val="auto"/>
              </w:rPr>
            </w:pPr>
          </w:p>
        </w:tc>
      </w:tr>
      <w:tr>
        <w:trPr>
          <w:trHeight w:val="135"/>
        </w:trPr>
        <w:tc>
          <w:tcPr>
            <w:tcW w:w="9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7"/>
              </w:rPr>
              <w:t>UNEXERCISED</w:t>
            </w:r>
          </w:p>
        </w:tc>
        <w:tc>
          <w:tcPr>
            <w:tcW w:w="1300" w:type="dxa"/>
            <w:vAlign w:val="bottom"/>
            <w:gridSpan w:val="2"/>
          </w:tcPr>
          <w:p>
            <w:pPr>
              <w:jc w:val="right"/>
              <w:ind w:right="8"/>
              <w:spacing w:after="0" w:line="135" w:lineRule="exact"/>
              <w:rPr>
                <w:sz w:val="20"/>
                <w:szCs w:val="20"/>
                <w:color w:val="auto"/>
              </w:rPr>
            </w:pPr>
            <w:r>
              <w:rPr>
                <w:rFonts w:ascii="Arial" w:cs="Arial" w:eastAsia="Arial" w:hAnsi="Arial"/>
                <w:sz w:val="13"/>
                <w:szCs w:val="13"/>
                <w:b w:val="1"/>
                <w:bCs w:val="1"/>
                <w:color w:val="auto"/>
              </w:rPr>
              <w:t>UNEXERCISED</w:t>
            </w:r>
          </w:p>
        </w:tc>
        <w:tc>
          <w:tcPr>
            <w:tcW w:w="7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EXERCISE</w:t>
            </w:r>
          </w:p>
        </w:tc>
        <w:tc>
          <w:tcPr>
            <w:tcW w:w="880" w:type="dxa"/>
            <w:vAlign w:val="bottom"/>
            <w:gridSpan w:val="2"/>
            <w:vMerge w:val="continue"/>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5"/>
              </w:rPr>
              <w:t>STOCK THAT</w:t>
            </w: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THAT HAVE</w:t>
            </w:r>
          </w:p>
        </w:tc>
        <w:tc>
          <w:tcPr>
            <w:tcW w:w="1180" w:type="dxa"/>
            <w:vAlign w:val="bottom"/>
            <w:gridSpan w:val="2"/>
          </w:tcPr>
          <w:p>
            <w:pPr>
              <w:jc w:val="right"/>
              <w:ind w:right="22"/>
              <w:spacing w:after="0" w:line="135" w:lineRule="exact"/>
              <w:rPr>
                <w:sz w:val="20"/>
                <w:szCs w:val="20"/>
                <w:color w:val="auto"/>
              </w:rPr>
            </w:pPr>
            <w:r>
              <w:rPr>
                <w:rFonts w:ascii="Arial" w:cs="Arial" w:eastAsia="Arial" w:hAnsi="Arial"/>
                <w:sz w:val="13"/>
                <w:szCs w:val="13"/>
                <w:b w:val="1"/>
                <w:bCs w:val="1"/>
                <w:color w:val="auto"/>
              </w:rPr>
              <w:t>OTHER RIGHTS</w:t>
            </w:r>
          </w:p>
        </w:tc>
        <w:tc>
          <w:tcPr>
            <w:tcW w:w="116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THAT HAVE</w:t>
            </w:r>
          </w:p>
        </w:tc>
        <w:tc>
          <w:tcPr>
            <w:tcW w:w="0" w:type="dxa"/>
            <w:vAlign w:val="bottom"/>
          </w:tcPr>
          <w:p>
            <w:pPr>
              <w:spacing w:after="0"/>
              <w:rPr>
                <w:sz w:val="1"/>
                <w:szCs w:val="1"/>
                <w:color w:val="auto"/>
              </w:rPr>
            </w:pPr>
          </w:p>
        </w:tc>
      </w:tr>
      <w:tr>
        <w:trPr>
          <w:trHeight w:val="111"/>
        </w:trPr>
        <w:tc>
          <w:tcPr>
            <w:tcW w:w="9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OPTIONS</w:t>
            </w:r>
          </w:p>
        </w:tc>
        <w:tc>
          <w:tcPr>
            <w:tcW w:w="1300" w:type="dxa"/>
            <w:vAlign w:val="bottom"/>
            <w:gridSpan w:val="2"/>
          </w:tcPr>
          <w:p>
            <w:pPr>
              <w:jc w:val="right"/>
              <w:ind w:right="28"/>
              <w:spacing w:after="0" w:line="111" w:lineRule="exact"/>
              <w:rPr>
                <w:sz w:val="20"/>
                <w:szCs w:val="20"/>
                <w:color w:val="auto"/>
              </w:rPr>
            </w:pPr>
            <w:r>
              <w:rPr>
                <w:rFonts w:ascii="Arial" w:cs="Arial" w:eastAsia="Arial" w:hAnsi="Arial"/>
                <w:sz w:val="12"/>
                <w:szCs w:val="12"/>
                <w:b w:val="1"/>
                <w:bCs w:val="1"/>
                <w:color w:val="auto"/>
              </w:rPr>
              <w:t>OPTIONS</w:t>
            </w: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PRICE</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w w:val="98"/>
              </w:rPr>
              <w:t>EXPIRATION</w:t>
            </w:r>
          </w:p>
        </w:tc>
        <w:tc>
          <w:tcPr>
            <w:tcW w:w="86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HAVE NOT</w:t>
            </w: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NOT VESTED</w:t>
            </w:r>
          </w:p>
        </w:tc>
        <w:tc>
          <w:tcPr>
            <w:tcW w:w="1180" w:type="dxa"/>
            <w:vAlign w:val="bottom"/>
            <w:gridSpan w:val="2"/>
          </w:tcPr>
          <w:p>
            <w:pPr>
              <w:jc w:val="right"/>
              <w:ind w:right="22"/>
              <w:spacing w:after="0" w:line="111" w:lineRule="exact"/>
              <w:rPr>
                <w:sz w:val="20"/>
                <w:szCs w:val="20"/>
                <w:color w:val="auto"/>
              </w:rPr>
            </w:pPr>
            <w:r>
              <w:rPr>
                <w:rFonts w:ascii="Arial" w:cs="Arial" w:eastAsia="Arial" w:hAnsi="Arial"/>
                <w:sz w:val="12"/>
                <w:szCs w:val="12"/>
                <w:b w:val="1"/>
                <w:bCs w:val="1"/>
                <w:color w:val="auto"/>
              </w:rPr>
              <w:t>THAT HAVE</w:t>
            </w:r>
          </w:p>
        </w:tc>
        <w:tc>
          <w:tcPr>
            <w:tcW w:w="1160" w:type="dxa"/>
            <w:vAlign w:val="bottom"/>
            <w:vMerge w:val="restart"/>
          </w:tcPr>
          <w:p>
            <w:pPr>
              <w:jc w:val="right"/>
              <w:ind w:right="18"/>
              <w:spacing w:after="0"/>
              <w:rPr>
                <w:sz w:val="20"/>
                <w:szCs w:val="20"/>
                <w:color w:val="auto"/>
              </w:rPr>
            </w:pPr>
            <w:r>
              <w:rPr>
                <w:rFonts w:ascii="Arial" w:cs="Arial" w:eastAsia="Arial" w:hAnsi="Arial"/>
                <w:sz w:val="13"/>
                <w:szCs w:val="13"/>
                <w:b w:val="1"/>
                <w:bCs w:val="1"/>
                <w:color w:val="auto"/>
              </w:rPr>
              <w:t>NOT VESTED</w:t>
            </w:r>
          </w:p>
        </w:tc>
        <w:tc>
          <w:tcPr>
            <w:tcW w:w="0" w:type="dxa"/>
            <w:vAlign w:val="bottom"/>
          </w:tcPr>
          <w:p>
            <w:pPr>
              <w:spacing w:after="0"/>
              <w:rPr>
                <w:sz w:val="1"/>
                <w:szCs w:val="1"/>
                <w:color w:val="auto"/>
              </w:rPr>
            </w:pPr>
          </w:p>
        </w:tc>
      </w:tr>
      <w:tr>
        <w:trPr>
          <w:trHeight w:val="105"/>
        </w:trPr>
        <w:tc>
          <w:tcPr>
            <w:tcW w:w="980" w:type="dxa"/>
            <w:vAlign w:val="bottom"/>
            <w:vMerge w:val="continue"/>
          </w:tcPr>
          <w:p>
            <w:pPr>
              <w:spacing w:after="0"/>
              <w:rPr>
                <w:sz w:val="9"/>
                <w:szCs w:val="9"/>
                <w:color w:val="auto"/>
              </w:rPr>
            </w:pPr>
          </w:p>
        </w:tc>
        <w:tc>
          <w:tcPr>
            <w:tcW w:w="1120" w:type="dxa"/>
            <w:vAlign w:val="bottom"/>
            <w:vMerge w:val="restart"/>
          </w:tcPr>
          <w:p>
            <w:pPr>
              <w:ind w:left="40"/>
              <w:spacing w:after="0"/>
              <w:rPr>
                <w:sz w:val="20"/>
                <w:szCs w:val="20"/>
                <w:color w:val="auto"/>
              </w:rPr>
            </w:pPr>
            <w:r>
              <w:rPr>
                <w:rFonts w:ascii="Arial" w:cs="Arial" w:eastAsia="Arial" w:hAnsi="Arial"/>
                <w:sz w:val="13"/>
                <w:szCs w:val="13"/>
                <w:b w:val="1"/>
                <w:bCs w:val="1"/>
                <w:color w:val="auto"/>
                <w:w w:val="95"/>
              </w:rPr>
              <w:t>UNEXERCISABLE</w:t>
            </w:r>
          </w:p>
        </w:tc>
        <w:tc>
          <w:tcPr>
            <w:tcW w:w="180" w:type="dxa"/>
            <w:vAlign w:val="bottom"/>
          </w:tcPr>
          <w:p>
            <w:pPr>
              <w:jc w:val="right"/>
              <w:ind w:right="8"/>
              <w:spacing w:after="0" w:line="105" w:lineRule="exact"/>
              <w:rPr>
                <w:sz w:val="20"/>
                <w:szCs w:val="20"/>
                <w:color w:val="auto"/>
              </w:rPr>
            </w:pPr>
            <w:r>
              <w:rPr>
                <w:rFonts w:ascii="Arial" w:cs="Arial" w:eastAsia="Arial" w:hAnsi="Arial"/>
                <w:sz w:val="10"/>
                <w:szCs w:val="10"/>
                <w:b w:val="1"/>
                <w:bCs w:val="1"/>
                <w:color w:val="auto"/>
                <w:w w:val="81"/>
              </w:rPr>
              <w:t>(2)</w:t>
            </w:r>
          </w:p>
        </w:tc>
        <w:tc>
          <w:tcPr>
            <w:tcW w:w="72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60" w:type="dxa"/>
            <w:vAlign w:val="bottom"/>
          </w:tcPr>
          <w:p>
            <w:pPr>
              <w:jc w:val="right"/>
              <w:spacing w:after="0" w:line="105" w:lineRule="exact"/>
              <w:rPr>
                <w:sz w:val="20"/>
                <w:szCs w:val="20"/>
                <w:color w:val="auto"/>
              </w:rPr>
            </w:pPr>
            <w:r>
              <w:rPr>
                <w:rFonts w:ascii="Arial" w:cs="Arial" w:eastAsia="Arial" w:hAnsi="Arial"/>
                <w:sz w:val="10"/>
                <w:szCs w:val="10"/>
                <w:b w:val="1"/>
                <w:bCs w:val="1"/>
                <w:color w:val="auto"/>
              </w:rPr>
              <w:t>(3)(4)</w:t>
            </w:r>
          </w:p>
        </w:tc>
        <w:tc>
          <w:tcPr>
            <w:tcW w:w="900" w:type="dxa"/>
            <w:vAlign w:val="bottom"/>
            <w:vMerge w:val="continue"/>
          </w:tcPr>
          <w:p>
            <w:pPr>
              <w:spacing w:after="0"/>
              <w:rPr>
                <w:sz w:val="9"/>
                <w:szCs w:val="9"/>
                <w:color w:val="auto"/>
              </w:rPr>
            </w:pPr>
          </w:p>
        </w:tc>
        <w:tc>
          <w:tcPr>
            <w:tcW w:w="840" w:type="dxa"/>
            <w:vAlign w:val="bottom"/>
            <w:vMerge w:val="restart"/>
          </w:tcPr>
          <w:p>
            <w:pPr>
              <w:ind w:left="40"/>
              <w:spacing w:after="0"/>
              <w:rPr>
                <w:sz w:val="20"/>
                <w:szCs w:val="20"/>
                <w:color w:val="auto"/>
              </w:rPr>
            </w:pPr>
            <w:r>
              <w:rPr>
                <w:rFonts w:ascii="Arial" w:cs="Arial" w:eastAsia="Arial" w:hAnsi="Arial"/>
                <w:sz w:val="13"/>
                <w:szCs w:val="13"/>
                <w:b w:val="1"/>
                <w:bCs w:val="1"/>
                <w:color w:val="auto"/>
                <w:w w:val="93"/>
              </w:rPr>
              <w:t>NOT VESTED</w:t>
            </w:r>
          </w:p>
        </w:tc>
        <w:tc>
          <w:tcPr>
            <w:tcW w:w="340" w:type="dxa"/>
            <w:vAlign w:val="bottom"/>
          </w:tcPr>
          <w:p>
            <w:pPr>
              <w:jc w:val="right"/>
              <w:ind w:right="22"/>
              <w:spacing w:after="0" w:line="105" w:lineRule="exact"/>
              <w:rPr>
                <w:sz w:val="20"/>
                <w:szCs w:val="20"/>
                <w:color w:val="auto"/>
              </w:rPr>
            </w:pPr>
            <w:r>
              <w:rPr>
                <w:rFonts w:ascii="Arial" w:cs="Arial" w:eastAsia="Arial" w:hAnsi="Arial"/>
                <w:sz w:val="10"/>
                <w:szCs w:val="10"/>
                <w:b w:val="1"/>
                <w:bCs w:val="1"/>
                <w:color w:val="auto"/>
                <w:w w:val="97"/>
              </w:rPr>
              <w:t>(3)(4)</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980" w:type="dxa"/>
            <w:vAlign w:val="bottom"/>
          </w:tcPr>
          <w:p>
            <w:pPr>
              <w:jc w:val="right"/>
              <w:ind w:right="12"/>
              <w:spacing w:after="0" w:line="63" w:lineRule="exact"/>
              <w:rPr>
                <w:sz w:val="20"/>
                <w:szCs w:val="20"/>
                <w:color w:val="auto"/>
              </w:rPr>
            </w:pPr>
            <w:r>
              <w:rPr>
                <w:rFonts w:ascii="Arial" w:cs="Arial" w:eastAsia="Arial" w:hAnsi="Arial"/>
                <w:sz w:val="7"/>
                <w:szCs w:val="7"/>
                <w:b w:val="1"/>
                <w:bCs w:val="1"/>
                <w:color w:val="auto"/>
              </w:rPr>
              <w:t>EXERCISABLE</w:t>
            </w:r>
          </w:p>
        </w:tc>
        <w:tc>
          <w:tcPr>
            <w:tcW w:w="11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jc w:val="right"/>
              <w:spacing w:after="0" w:line="63" w:lineRule="exact"/>
              <w:rPr>
                <w:sz w:val="20"/>
                <w:szCs w:val="20"/>
                <w:color w:val="auto"/>
              </w:rPr>
            </w:pPr>
            <w:r>
              <w:rPr>
                <w:rFonts w:ascii="Arial" w:cs="Arial" w:eastAsia="Arial" w:hAnsi="Arial"/>
                <w:sz w:val="7"/>
                <w:szCs w:val="7"/>
                <w:b w:val="1"/>
                <w:bCs w:val="1"/>
                <w:color w:val="auto"/>
              </w:rPr>
              <w:t>($)</w:t>
            </w:r>
          </w:p>
        </w:tc>
        <w:tc>
          <w:tcPr>
            <w:tcW w:w="880" w:type="dxa"/>
            <w:vAlign w:val="bottom"/>
            <w:gridSpan w:val="2"/>
          </w:tcPr>
          <w:p>
            <w:pPr>
              <w:jc w:val="right"/>
              <w:ind w:right="80"/>
              <w:spacing w:after="0" w:line="63" w:lineRule="exact"/>
              <w:rPr>
                <w:sz w:val="20"/>
                <w:szCs w:val="20"/>
                <w:color w:val="auto"/>
              </w:rPr>
            </w:pPr>
            <w:r>
              <w:rPr>
                <w:rFonts w:ascii="Arial" w:cs="Arial" w:eastAsia="Arial" w:hAnsi="Arial"/>
                <w:sz w:val="7"/>
                <w:szCs w:val="7"/>
                <w:b w:val="1"/>
                <w:bCs w:val="1"/>
                <w:color w:val="auto"/>
              </w:rPr>
              <w:t>DATE</w:t>
            </w:r>
          </w:p>
        </w:tc>
        <w:tc>
          <w:tcPr>
            <w:tcW w:w="860" w:type="dxa"/>
            <w:vAlign w:val="bottom"/>
          </w:tcPr>
          <w:p>
            <w:pPr>
              <w:jc w:val="right"/>
              <w:ind w:right="239"/>
              <w:spacing w:after="0" w:line="63" w:lineRule="exact"/>
              <w:rPr>
                <w:sz w:val="20"/>
                <w:szCs w:val="20"/>
                <w:color w:val="auto"/>
              </w:rPr>
            </w:pPr>
            <w:r>
              <w:rPr>
                <w:rFonts w:ascii="Arial" w:cs="Arial" w:eastAsia="Arial" w:hAnsi="Arial"/>
                <w:sz w:val="7"/>
                <w:szCs w:val="7"/>
                <w:b w:val="1"/>
                <w:bCs w:val="1"/>
                <w:color w:val="auto"/>
              </w:rPr>
              <w:t>VESTED</w:t>
            </w:r>
          </w:p>
        </w:tc>
        <w:tc>
          <w:tcPr>
            <w:tcW w:w="900" w:type="dxa"/>
            <w:vAlign w:val="bottom"/>
          </w:tcPr>
          <w:p>
            <w:pPr>
              <w:jc w:val="right"/>
              <w:spacing w:after="0" w:line="63" w:lineRule="exact"/>
              <w:rPr>
                <w:sz w:val="20"/>
                <w:szCs w:val="20"/>
                <w:color w:val="auto"/>
              </w:rPr>
            </w:pPr>
            <w:r>
              <w:rPr>
                <w:rFonts w:ascii="Arial" w:cs="Arial" w:eastAsia="Arial" w:hAnsi="Arial"/>
                <w:sz w:val="7"/>
                <w:szCs w:val="7"/>
                <w:b w:val="1"/>
                <w:bCs w:val="1"/>
                <w:color w:val="auto"/>
              </w:rPr>
              <w:t>($)</w:t>
            </w:r>
          </w:p>
        </w:tc>
        <w:tc>
          <w:tcPr>
            <w:tcW w:w="840" w:type="dxa"/>
            <w:vAlign w:val="bottom"/>
            <w:vMerge w:val="continue"/>
          </w:tcPr>
          <w:p>
            <w:pPr>
              <w:spacing w:after="0"/>
              <w:rPr>
                <w:sz w:val="5"/>
                <w:szCs w:val="5"/>
                <w:color w:val="auto"/>
              </w:rPr>
            </w:pPr>
          </w:p>
        </w:tc>
        <w:tc>
          <w:tcPr>
            <w:tcW w:w="340" w:type="dxa"/>
            <w:vAlign w:val="bottom"/>
            <w:vMerge w:val="restart"/>
          </w:tcPr>
          <w:p>
            <w:pPr>
              <w:jc w:val="right"/>
              <w:ind w:right="22"/>
              <w:spacing w:after="0"/>
              <w:rPr>
                <w:sz w:val="20"/>
                <w:szCs w:val="20"/>
                <w:color w:val="auto"/>
              </w:rPr>
            </w:pPr>
            <w:r>
              <w:rPr>
                <w:rFonts w:ascii="Arial" w:cs="Arial" w:eastAsia="Arial" w:hAnsi="Arial"/>
                <w:sz w:val="13"/>
                <w:szCs w:val="13"/>
                <w:b w:val="1"/>
                <w:bCs w:val="1"/>
                <w:color w:val="auto"/>
              </w:rPr>
              <w:t>(g)</w:t>
            </w:r>
          </w:p>
        </w:tc>
        <w:tc>
          <w:tcPr>
            <w:tcW w:w="1160" w:type="dxa"/>
            <w:vAlign w:val="bottom"/>
          </w:tcPr>
          <w:p>
            <w:pPr>
              <w:jc w:val="right"/>
              <w:ind w:right="18"/>
              <w:spacing w:after="0" w:line="63" w:lineRule="exact"/>
              <w:rPr>
                <w:sz w:val="20"/>
                <w:szCs w:val="20"/>
                <w:color w:val="auto"/>
              </w:rPr>
            </w:pPr>
            <w:r>
              <w:rPr>
                <w:rFonts w:ascii="Arial" w:cs="Arial" w:eastAsia="Arial" w:hAnsi="Arial"/>
                <w:sz w:val="7"/>
                <w:szCs w:val="7"/>
                <w:b w:val="1"/>
                <w:bCs w:val="1"/>
                <w:color w:val="auto"/>
              </w:rPr>
              <w:t>($)</w:t>
            </w:r>
          </w:p>
        </w:tc>
        <w:tc>
          <w:tcPr>
            <w:tcW w:w="0" w:type="dxa"/>
            <w:vAlign w:val="bottom"/>
          </w:tcPr>
          <w:p>
            <w:pPr>
              <w:spacing w:after="0"/>
              <w:rPr>
                <w:sz w:val="1"/>
                <w:szCs w:val="1"/>
                <w:color w:val="auto"/>
              </w:rPr>
            </w:pPr>
          </w:p>
        </w:tc>
      </w:tr>
      <w:tr>
        <w:trPr>
          <w:trHeight w:val="172"/>
        </w:trPr>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(a)</w:t>
            </w:r>
          </w:p>
        </w:tc>
        <w:tc>
          <w:tcPr>
            <w:tcW w:w="130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(b)</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(c)</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(d)</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(e)</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(f)</w:t>
            </w:r>
          </w:p>
        </w:tc>
        <w:tc>
          <w:tcPr>
            <w:tcW w:w="8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160" w:type="dxa"/>
            <w:vAlign w:val="bottom"/>
          </w:tcPr>
          <w:p>
            <w:pPr>
              <w:jc w:val="right"/>
              <w:ind w:right="18"/>
              <w:spacing w:after="0"/>
              <w:rPr>
                <w:sz w:val="20"/>
                <w:szCs w:val="20"/>
                <w:color w:val="auto"/>
              </w:rPr>
            </w:pPr>
            <w:r>
              <w:rPr>
                <w:rFonts w:ascii="Arial" w:cs="Arial" w:eastAsia="Arial" w:hAnsi="Arial"/>
                <w:sz w:val="13"/>
                <w:szCs w:val="13"/>
                <w:b w:val="1"/>
                <w:bCs w:val="1"/>
                <w:color w:val="auto"/>
              </w:rPr>
              <w:t>(h)</w:t>
            </w:r>
          </w:p>
        </w:tc>
        <w:tc>
          <w:tcPr>
            <w:tcW w:w="0" w:type="dxa"/>
            <w:vAlign w:val="bottom"/>
          </w:tcPr>
          <w:p>
            <w:pPr>
              <w:spacing w:after="0"/>
              <w:rPr>
                <w:sz w:val="1"/>
                <w:szCs w:val="1"/>
                <w:color w:val="auto"/>
              </w:rPr>
            </w:pPr>
          </w:p>
        </w:tc>
      </w:tr>
      <w:tr>
        <w:trPr>
          <w:trHeight w:val="233"/>
        </w:trPr>
        <w:tc>
          <w:tcPr>
            <w:tcW w:w="980" w:type="dxa"/>
            <w:vAlign w:val="bottom"/>
            <w:tcBorders>
              <w:bottom w:val="single" w:sz="8" w:color="DCDDDE"/>
            </w:tcBorders>
          </w:tcPr>
          <w:p>
            <w:pPr>
              <w:spacing w:after="0"/>
              <w:rPr>
                <w:sz w:val="20"/>
                <w:szCs w:val="20"/>
                <w:color w:val="auto"/>
              </w:rPr>
            </w:pPr>
          </w:p>
        </w:tc>
        <w:tc>
          <w:tcPr>
            <w:tcW w:w="1120" w:type="dxa"/>
            <w:vAlign w:val="bottom"/>
            <w:tcBorders>
              <w:bottom w:val="single" w:sz="8" w:color="DCDDDE"/>
            </w:tcBorders>
          </w:tcPr>
          <w:p>
            <w:pPr>
              <w:spacing w:after="0"/>
              <w:rPr>
                <w:sz w:val="20"/>
                <w:szCs w:val="20"/>
                <w:color w:val="auto"/>
              </w:rPr>
            </w:pPr>
          </w:p>
        </w:tc>
        <w:tc>
          <w:tcPr>
            <w:tcW w:w="180" w:type="dxa"/>
            <w:vAlign w:val="bottom"/>
            <w:tcBorders>
              <w:bottom w:val="single" w:sz="8" w:color="DCDDDE"/>
            </w:tcBorders>
          </w:tcPr>
          <w:p>
            <w:pPr>
              <w:spacing w:after="0"/>
              <w:rPr>
                <w:sz w:val="20"/>
                <w:szCs w:val="20"/>
                <w:color w:val="auto"/>
              </w:rPr>
            </w:pPr>
          </w:p>
        </w:tc>
        <w:tc>
          <w:tcPr>
            <w:tcW w:w="720" w:type="dxa"/>
            <w:vAlign w:val="bottom"/>
            <w:tcBorders>
              <w:bottom w:val="single" w:sz="8" w:color="DCDDDE"/>
            </w:tcBorders>
          </w:tcPr>
          <w:p>
            <w:pPr>
              <w:spacing w:after="0"/>
              <w:rPr>
                <w:sz w:val="20"/>
                <w:szCs w:val="20"/>
                <w:color w:val="auto"/>
              </w:rPr>
            </w:pPr>
          </w:p>
        </w:tc>
        <w:tc>
          <w:tcPr>
            <w:tcW w:w="800" w:type="dxa"/>
            <w:vAlign w:val="bottom"/>
            <w:tcBorders>
              <w:bottom w:val="single" w:sz="8" w:color="DCDDDE"/>
            </w:tcBorders>
          </w:tcPr>
          <w:p>
            <w:pPr>
              <w:spacing w:after="0"/>
              <w:rPr>
                <w:sz w:val="20"/>
                <w:szCs w:val="20"/>
                <w:color w:val="auto"/>
              </w:rPr>
            </w:pPr>
          </w:p>
        </w:tc>
        <w:tc>
          <w:tcPr>
            <w:tcW w:w="80" w:type="dxa"/>
            <w:vAlign w:val="bottom"/>
            <w:tcBorders>
              <w:bottom w:val="single" w:sz="8" w:color="DCDDDE"/>
            </w:tcBorders>
          </w:tcPr>
          <w:p>
            <w:pPr>
              <w:spacing w:after="0"/>
              <w:rPr>
                <w:sz w:val="20"/>
                <w:szCs w:val="20"/>
                <w:color w:val="auto"/>
              </w:rPr>
            </w:pPr>
          </w:p>
        </w:tc>
        <w:tc>
          <w:tcPr>
            <w:tcW w:w="8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21,160</w:t>
            </w:r>
          </w:p>
        </w:tc>
        <w:tc>
          <w:tcPr>
            <w:tcW w:w="9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794,135</w:t>
            </w:r>
          </w:p>
        </w:tc>
        <w:tc>
          <w:tcPr>
            <w:tcW w:w="1180" w:type="dxa"/>
            <w:vAlign w:val="bottom"/>
            <w:tcBorders>
              <w:bottom w:val="single" w:sz="8" w:color="DCDDDE"/>
            </w:tcBorders>
            <w:gridSpan w:val="2"/>
          </w:tcPr>
          <w:p>
            <w:pPr>
              <w:jc w:val="right"/>
              <w:ind w:right="22"/>
              <w:spacing w:after="0"/>
              <w:rPr>
                <w:sz w:val="20"/>
                <w:szCs w:val="20"/>
                <w:color w:val="auto"/>
              </w:rPr>
            </w:pPr>
            <w:r>
              <w:rPr>
                <w:rFonts w:ascii="Arial" w:cs="Arial" w:eastAsia="Arial" w:hAnsi="Arial"/>
                <w:sz w:val="14"/>
                <w:szCs w:val="14"/>
                <w:color w:val="auto"/>
              </w:rPr>
              <w:t>666,537</w:t>
            </w:r>
          </w:p>
        </w:tc>
        <w:tc>
          <w:tcPr>
            <w:tcW w:w="1160" w:type="dxa"/>
            <w:vAlign w:val="bottom"/>
            <w:tcBorders>
              <w:bottom w:val="single" w:sz="8" w:color="DCDDDE"/>
            </w:tcBorders>
          </w:tcPr>
          <w:p>
            <w:pPr>
              <w:jc w:val="right"/>
              <w:ind w:right="18"/>
              <w:spacing w:after="0"/>
              <w:rPr>
                <w:sz w:val="20"/>
                <w:szCs w:val="20"/>
                <w:color w:val="auto"/>
              </w:rPr>
            </w:pPr>
            <w:r>
              <w:rPr>
                <w:rFonts w:ascii="Arial" w:cs="Arial" w:eastAsia="Arial" w:hAnsi="Arial"/>
                <w:sz w:val="14"/>
                <w:szCs w:val="14"/>
                <w:color w:val="auto"/>
              </w:rPr>
              <w:t>25,015,134</w:t>
            </w:r>
          </w:p>
        </w:tc>
        <w:tc>
          <w:tcPr>
            <w:tcW w:w="0" w:type="dxa"/>
            <w:vAlign w:val="bottom"/>
          </w:tcPr>
          <w:p>
            <w:pPr>
              <w:spacing w:after="0"/>
              <w:rPr>
                <w:sz w:val="1"/>
                <w:szCs w:val="1"/>
                <w:color w:val="auto"/>
              </w:rPr>
            </w:pPr>
          </w:p>
        </w:tc>
      </w:tr>
      <w:tr>
        <w:trPr>
          <w:trHeight w:val="210"/>
        </w:trPr>
        <w:tc>
          <w:tcPr>
            <w:tcW w:w="9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206,820</w:t>
            </w:r>
          </w:p>
        </w:tc>
        <w:tc>
          <w:tcPr>
            <w:tcW w:w="1300" w:type="dxa"/>
            <w:vAlign w:val="bottom"/>
            <w:tcBorders>
              <w:bottom w:val="single" w:sz="8" w:color="DCDDDE"/>
            </w:tcBorders>
            <w:gridSpan w:val="2"/>
          </w:tcPr>
          <w:p>
            <w:pPr>
              <w:jc w:val="right"/>
              <w:ind w:right="8"/>
              <w:spacing w:after="0"/>
              <w:rPr>
                <w:sz w:val="20"/>
                <w:szCs w:val="20"/>
                <w:color w:val="auto"/>
              </w:rPr>
            </w:pPr>
            <w:r>
              <w:rPr>
                <w:rFonts w:ascii="Arial" w:cs="Arial" w:eastAsia="Arial" w:hAnsi="Arial"/>
                <w:sz w:val="14"/>
                <w:szCs w:val="14"/>
                <w:color w:val="auto"/>
              </w:rPr>
              <w:t>137,880</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42.520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03/01/2030</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840" w:type="dxa"/>
            <w:vAlign w:val="bottom"/>
            <w:tcBorders>
              <w:bottom w:val="single" w:sz="8" w:color="DCDDDE"/>
            </w:tcBorders>
          </w:tcPr>
          <w:p>
            <w:pPr>
              <w:spacing w:after="0"/>
              <w:rPr>
                <w:sz w:val="18"/>
                <w:szCs w:val="18"/>
                <w:color w:val="auto"/>
              </w:rPr>
            </w:pPr>
          </w:p>
        </w:tc>
        <w:tc>
          <w:tcPr>
            <w:tcW w:w="34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124,500</w:t>
            </w:r>
          </w:p>
        </w:tc>
        <w:tc>
          <w:tcPr>
            <w:tcW w:w="1300" w:type="dxa"/>
            <w:vAlign w:val="bottom"/>
            <w:tcBorders>
              <w:bottom w:val="single" w:sz="8" w:color="DCDDDE"/>
            </w:tcBorders>
            <w:gridSpan w:val="2"/>
          </w:tcPr>
          <w:p>
            <w:pPr>
              <w:jc w:val="right"/>
              <w:ind w:right="8"/>
              <w:spacing w:after="0"/>
              <w:rPr>
                <w:sz w:val="20"/>
                <w:szCs w:val="20"/>
                <w:color w:val="auto"/>
              </w:rPr>
            </w:pPr>
            <w:r>
              <w:rPr>
                <w:rFonts w:ascii="Arial" w:cs="Arial" w:eastAsia="Arial" w:hAnsi="Arial"/>
                <w:sz w:val="14"/>
                <w:szCs w:val="14"/>
                <w:color w:val="auto"/>
              </w:rPr>
              <w:t>83,000</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54.450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02/28/2031</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840" w:type="dxa"/>
            <w:vAlign w:val="bottom"/>
            <w:tcBorders>
              <w:bottom w:val="single" w:sz="8" w:color="DCDDDE"/>
            </w:tcBorders>
          </w:tcPr>
          <w:p>
            <w:pPr>
              <w:spacing w:after="0"/>
              <w:rPr>
                <w:sz w:val="18"/>
                <w:szCs w:val="18"/>
                <w:color w:val="auto"/>
              </w:rPr>
            </w:pPr>
          </w:p>
        </w:tc>
        <w:tc>
          <w:tcPr>
            <w:tcW w:w="34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90,806</w:t>
            </w:r>
          </w:p>
        </w:tc>
        <w:tc>
          <w:tcPr>
            <w:tcW w:w="1300" w:type="dxa"/>
            <w:vAlign w:val="bottom"/>
            <w:tcBorders>
              <w:bottom w:val="single" w:sz="8" w:color="DCDDDE"/>
            </w:tcBorders>
            <w:gridSpan w:val="2"/>
          </w:tcPr>
          <w:p>
            <w:pPr>
              <w:jc w:val="right"/>
              <w:ind w:right="8"/>
              <w:spacing w:after="0"/>
              <w:rPr>
                <w:sz w:val="20"/>
                <w:szCs w:val="20"/>
                <w:color w:val="auto"/>
              </w:rPr>
            </w:pPr>
            <w:r>
              <w:rPr>
                <w:rFonts w:ascii="Arial" w:cs="Arial" w:eastAsia="Arial" w:hAnsi="Arial"/>
                <w:sz w:val="14"/>
                <w:szCs w:val="14"/>
                <w:color w:val="auto"/>
              </w:rPr>
              <w:t>136,209</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46.390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02/29/2032</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840" w:type="dxa"/>
            <w:vAlign w:val="bottom"/>
            <w:tcBorders>
              <w:bottom w:val="single" w:sz="8" w:color="DCDDDE"/>
            </w:tcBorders>
          </w:tcPr>
          <w:p>
            <w:pPr>
              <w:spacing w:after="0"/>
              <w:rPr>
                <w:sz w:val="18"/>
                <w:szCs w:val="18"/>
                <w:color w:val="auto"/>
              </w:rPr>
            </w:pPr>
          </w:p>
        </w:tc>
        <w:tc>
          <w:tcPr>
            <w:tcW w:w="34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Borders>
              <w:bottom w:val="single" w:sz="8" w:color="DCDDDD"/>
            </w:tcBorders>
          </w:tcPr>
          <w:p>
            <w:pPr>
              <w:jc w:val="right"/>
              <w:spacing w:after="0"/>
              <w:rPr>
                <w:sz w:val="20"/>
                <w:szCs w:val="20"/>
                <w:color w:val="auto"/>
              </w:rPr>
            </w:pPr>
            <w:r>
              <w:rPr>
                <w:rFonts w:ascii="Arial" w:cs="Arial" w:eastAsia="Arial" w:hAnsi="Arial"/>
                <w:sz w:val="14"/>
                <w:szCs w:val="14"/>
                <w:color w:val="auto"/>
              </w:rPr>
              <w:t>48,020</w:t>
            </w:r>
          </w:p>
        </w:tc>
        <w:tc>
          <w:tcPr>
            <w:tcW w:w="1300" w:type="dxa"/>
            <w:vAlign w:val="bottom"/>
            <w:tcBorders>
              <w:bottom w:val="single" w:sz="8" w:color="DCDDDD"/>
            </w:tcBorders>
            <w:gridSpan w:val="2"/>
          </w:tcPr>
          <w:p>
            <w:pPr>
              <w:jc w:val="right"/>
              <w:ind w:right="8"/>
              <w:spacing w:after="0"/>
              <w:rPr>
                <w:sz w:val="20"/>
                <w:szCs w:val="20"/>
                <w:color w:val="auto"/>
              </w:rPr>
            </w:pPr>
            <w:r>
              <w:rPr>
                <w:rFonts w:ascii="Arial" w:cs="Arial" w:eastAsia="Arial" w:hAnsi="Arial"/>
                <w:sz w:val="14"/>
                <w:szCs w:val="14"/>
                <w:color w:val="auto"/>
              </w:rPr>
              <w:t>192,080</w:t>
            </w:r>
          </w:p>
        </w:tc>
        <w:tc>
          <w:tcPr>
            <w:tcW w:w="720" w:type="dxa"/>
            <w:vAlign w:val="bottom"/>
            <w:tcBorders>
              <w:bottom w:val="single" w:sz="8" w:color="DCDDDD"/>
            </w:tcBorders>
          </w:tcPr>
          <w:p>
            <w:pPr>
              <w:jc w:val="right"/>
              <w:spacing w:after="0"/>
              <w:rPr>
                <w:sz w:val="20"/>
                <w:szCs w:val="20"/>
                <w:color w:val="auto"/>
              </w:rPr>
            </w:pPr>
            <w:r>
              <w:rPr>
                <w:rFonts w:ascii="Arial" w:cs="Arial" w:eastAsia="Arial" w:hAnsi="Arial"/>
                <w:sz w:val="14"/>
                <w:szCs w:val="14"/>
                <w:color w:val="auto"/>
              </w:rPr>
              <w:t>36.630</w:t>
            </w:r>
          </w:p>
        </w:tc>
        <w:tc>
          <w:tcPr>
            <w:tcW w:w="880" w:type="dxa"/>
            <w:vAlign w:val="bottom"/>
            <w:tcBorders>
              <w:bottom w:val="single" w:sz="8" w:color="DCDDDD"/>
            </w:tcBorders>
            <w:gridSpan w:val="2"/>
          </w:tcPr>
          <w:p>
            <w:pPr>
              <w:jc w:val="right"/>
              <w:ind w:right="80"/>
              <w:spacing w:after="0"/>
              <w:rPr>
                <w:sz w:val="20"/>
                <w:szCs w:val="20"/>
                <w:color w:val="auto"/>
              </w:rPr>
            </w:pPr>
            <w:r>
              <w:rPr>
                <w:rFonts w:ascii="Arial" w:cs="Arial" w:eastAsia="Arial" w:hAnsi="Arial"/>
                <w:sz w:val="14"/>
                <w:szCs w:val="14"/>
                <w:color w:val="auto"/>
              </w:rPr>
              <w:t>02/28/2033</w:t>
            </w:r>
          </w:p>
        </w:tc>
        <w:tc>
          <w:tcPr>
            <w:tcW w:w="860" w:type="dxa"/>
            <w:vAlign w:val="bottom"/>
            <w:tcBorders>
              <w:bottom w:val="single" w:sz="8" w:color="DCDDDD"/>
            </w:tcBorders>
          </w:tcPr>
          <w:p>
            <w:pPr>
              <w:spacing w:after="0"/>
              <w:rPr>
                <w:sz w:val="18"/>
                <w:szCs w:val="18"/>
                <w:color w:val="auto"/>
              </w:rPr>
            </w:pPr>
          </w:p>
        </w:tc>
        <w:tc>
          <w:tcPr>
            <w:tcW w:w="900" w:type="dxa"/>
            <w:vAlign w:val="bottom"/>
            <w:tcBorders>
              <w:bottom w:val="single" w:sz="8" w:color="DCDDDD"/>
            </w:tcBorders>
          </w:tcPr>
          <w:p>
            <w:pPr>
              <w:spacing w:after="0"/>
              <w:rPr>
                <w:sz w:val="18"/>
                <w:szCs w:val="18"/>
                <w:color w:val="auto"/>
              </w:rPr>
            </w:pPr>
          </w:p>
        </w:tc>
        <w:tc>
          <w:tcPr>
            <w:tcW w:w="840" w:type="dxa"/>
            <w:vAlign w:val="bottom"/>
            <w:tcBorders>
              <w:bottom w:val="single" w:sz="8" w:color="DCDDDD"/>
            </w:tcBorders>
          </w:tcPr>
          <w:p>
            <w:pPr>
              <w:spacing w:after="0"/>
              <w:rPr>
                <w:sz w:val="18"/>
                <w:szCs w:val="18"/>
                <w:color w:val="auto"/>
              </w:rPr>
            </w:pPr>
          </w:p>
        </w:tc>
        <w:tc>
          <w:tcPr>
            <w:tcW w:w="340" w:type="dxa"/>
            <w:vAlign w:val="bottom"/>
            <w:tcBorders>
              <w:bottom w:val="single" w:sz="8" w:color="DCDDDD"/>
            </w:tcBorders>
          </w:tcPr>
          <w:p>
            <w:pPr>
              <w:spacing w:after="0"/>
              <w:rPr>
                <w:sz w:val="18"/>
                <w:szCs w:val="18"/>
                <w:color w:val="auto"/>
              </w:rPr>
            </w:pPr>
          </w:p>
        </w:tc>
        <w:tc>
          <w:tcPr>
            <w:tcW w:w="1160" w:type="dxa"/>
            <w:vAlign w:val="bottom"/>
            <w:tcBorders>
              <w:bottom w:val="single" w:sz="8" w:color="DCDDDD"/>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8"/>
              <w:spacing w:after="0"/>
              <w:rPr>
                <w:sz w:val="20"/>
                <w:szCs w:val="20"/>
                <w:color w:val="auto"/>
              </w:rPr>
            </w:pPr>
            <w:r>
              <w:rPr>
                <w:rFonts w:ascii="Arial" w:cs="Arial" w:eastAsia="Arial" w:hAnsi="Arial"/>
                <w:sz w:val="14"/>
                <w:szCs w:val="14"/>
                <w:color w:val="auto"/>
              </w:rPr>
              <w:t>180,455</w:t>
            </w:r>
          </w:p>
        </w:tc>
        <w:tc>
          <w:tcPr>
            <w:tcW w:w="720" w:type="dxa"/>
            <w:vAlign w:val="bottom"/>
          </w:tcPr>
          <w:p>
            <w:pPr>
              <w:jc w:val="right"/>
              <w:spacing w:after="0"/>
              <w:rPr>
                <w:sz w:val="20"/>
                <w:szCs w:val="20"/>
                <w:color w:val="auto"/>
              </w:rPr>
            </w:pPr>
            <w:r>
              <w:rPr>
                <w:rFonts w:ascii="Arial" w:cs="Arial" w:eastAsia="Arial" w:hAnsi="Arial"/>
                <w:sz w:val="14"/>
                <w:szCs w:val="14"/>
                <w:color w:val="auto"/>
              </w:rPr>
              <w:t>42.800</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02/28/2034</w:t>
            </w: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0" w:type="dxa"/>
            <w:vAlign w:val="bottom"/>
            <w:tcBorders>
              <w:bottom w:val="single" w:sz="8" w:color="DCDDDE"/>
            </w:tcBorders>
          </w:tcPr>
          <w:p>
            <w:pPr>
              <w:spacing w:after="0"/>
              <w:rPr>
                <w:sz w:val="20"/>
                <w:szCs w:val="20"/>
                <w:color w:val="auto"/>
              </w:rPr>
            </w:pPr>
          </w:p>
        </w:tc>
        <w:tc>
          <w:tcPr>
            <w:tcW w:w="1120" w:type="dxa"/>
            <w:vAlign w:val="bottom"/>
            <w:tcBorders>
              <w:bottom w:val="single" w:sz="8" w:color="DCDDDE"/>
            </w:tcBorders>
          </w:tcPr>
          <w:p>
            <w:pPr>
              <w:spacing w:after="0"/>
              <w:rPr>
                <w:sz w:val="20"/>
                <w:szCs w:val="20"/>
                <w:color w:val="auto"/>
              </w:rPr>
            </w:pPr>
          </w:p>
        </w:tc>
        <w:tc>
          <w:tcPr>
            <w:tcW w:w="180" w:type="dxa"/>
            <w:vAlign w:val="bottom"/>
            <w:tcBorders>
              <w:bottom w:val="single" w:sz="8" w:color="DCDDDE"/>
            </w:tcBorders>
          </w:tcPr>
          <w:p>
            <w:pPr>
              <w:spacing w:after="0"/>
              <w:rPr>
                <w:sz w:val="20"/>
                <w:szCs w:val="20"/>
                <w:color w:val="auto"/>
              </w:rPr>
            </w:pPr>
          </w:p>
        </w:tc>
        <w:tc>
          <w:tcPr>
            <w:tcW w:w="720" w:type="dxa"/>
            <w:vAlign w:val="bottom"/>
            <w:tcBorders>
              <w:bottom w:val="single" w:sz="8" w:color="DCDDDE"/>
            </w:tcBorders>
          </w:tcPr>
          <w:p>
            <w:pPr>
              <w:spacing w:after="0"/>
              <w:rPr>
                <w:sz w:val="20"/>
                <w:szCs w:val="20"/>
                <w:color w:val="auto"/>
              </w:rPr>
            </w:pPr>
          </w:p>
        </w:tc>
        <w:tc>
          <w:tcPr>
            <w:tcW w:w="800" w:type="dxa"/>
            <w:vAlign w:val="bottom"/>
            <w:tcBorders>
              <w:bottom w:val="single" w:sz="8" w:color="DCDDDE"/>
            </w:tcBorders>
          </w:tcPr>
          <w:p>
            <w:pPr>
              <w:spacing w:after="0"/>
              <w:rPr>
                <w:sz w:val="20"/>
                <w:szCs w:val="20"/>
                <w:color w:val="auto"/>
              </w:rPr>
            </w:pPr>
          </w:p>
        </w:tc>
        <w:tc>
          <w:tcPr>
            <w:tcW w:w="80" w:type="dxa"/>
            <w:vAlign w:val="bottom"/>
            <w:tcBorders>
              <w:bottom w:val="single" w:sz="8" w:color="DCDDDE"/>
            </w:tcBorders>
          </w:tcPr>
          <w:p>
            <w:pPr>
              <w:spacing w:after="0"/>
              <w:rPr>
                <w:sz w:val="20"/>
                <w:szCs w:val="20"/>
                <w:color w:val="auto"/>
              </w:rPr>
            </w:pPr>
          </w:p>
        </w:tc>
        <w:tc>
          <w:tcPr>
            <w:tcW w:w="8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33,964</w:t>
            </w:r>
          </w:p>
        </w:tc>
        <w:tc>
          <w:tcPr>
            <w:tcW w:w="9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1,274,669</w:t>
            </w:r>
          </w:p>
        </w:tc>
        <w:tc>
          <w:tcPr>
            <w:tcW w:w="1180" w:type="dxa"/>
            <w:vAlign w:val="bottom"/>
            <w:tcBorders>
              <w:bottom w:val="single" w:sz="8" w:color="DCDDDE"/>
            </w:tcBorders>
            <w:gridSpan w:val="2"/>
          </w:tcPr>
          <w:p>
            <w:pPr>
              <w:jc w:val="right"/>
              <w:ind w:right="22"/>
              <w:spacing w:after="0"/>
              <w:rPr>
                <w:sz w:val="20"/>
                <w:szCs w:val="20"/>
                <w:color w:val="auto"/>
              </w:rPr>
            </w:pPr>
            <w:r>
              <w:rPr>
                <w:rFonts w:ascii="Arial" w:cs="Arial" w:eastAsia="Arial" w:hAnsi="Arial"/>
                <w:sz w:val="14"/>
                <w:szCs w:val="14"/>
                <w:color w:val="auto"/>
              </w:rPr>
              <w:t>127,162</w:t>
            </w:r>
          </w:p>
        </w:tc>
        <w:tc>
          <w:tcPr>
            <w:tcW w:w="1160" w:type="dxa"/>
            <w:vAlign w:val="bottom"/>
            <w:tcBorders>
              <w:bottom w:val="single" w:sz="8" w:color="DCDDDE"/>
            </w:tcBorders>
          </w:tcPr>
          <w:p>
            <w:pPr>
              <w:jc w:val="right"/>
              <w:ind w:right="18"/>
              <w:spacing w:after="0"/>
              <w:rPr>
                <w:sz w:val="20"/>
                <w:szCs w:val="20"/>
                <w:color w:val="auto"/>
              </w:rPr>
            </w:pPr>
            <w:r>
              <w:rPr>
                <w:rFonts w:ascii="Arial" w:cs="Arial" w:eastAsia="Arial" w:hAnsi="Arial"/>
                <w:sz w:val="14"/>
                <w:szCs w:val="14"/>
                <w:color w:val="auto"/>
              </w:rPr>
              <w:t>4,772,390</w:t>
            </w:r>
          </w:p>
        </w:tc>
        <w:tc>
          <w:tcPr>
            <w:tcW w:w="0" w:type="dxa"/>
            <w:vAlign w:val="bottom"/>
          </w:tcPr>
          <w:p>
            <w:pPr>
              <w:spacing w:after="0"/>
              <w:rPr>
                <w:sz w:val="1"/>
                <w:szCs w:val="1"/>
                <w:color w:val="auto"/>
              </w:rPr>
            </w:pPr>
          </w:p>
        </w:tc>
      </w:tr>
      <w:tr>
        <w:trPr>
          <w:trHeight w:val="209"/>
        </w:trPr>
        <w:tc>
          <w:tcPr>
            <w:tcW w:w="9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10,320</w:t>
            </w:r>
          </w:p>
        </w:tc>
        <w:tc>
          <w:tcPr>
            <w:tcW w:w="1300" w:type="dxa"/>
            <w:vAlign w:val="bottom"/>
            <w:tcBorders>
              <w:bottom w:val="single" w:sz="8" w:color="DCDDDE"/>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29.880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03/17/2026</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840" w:type="dxa"/>
            <w:vAlign w:val="bottom"/>
            <w:tcBorders>
              <w:bottom w:val="single" w:sz="8" w:color="DCDDDE"/>
            </w:tcBorders>
          </w:tcPr>
          <w:p>
            <w:pPr>
              <w:spacing w:after="0"/>
              <w:rPr>
                <w:sz w:val="18"/>
                <w:szCs w:val="18"/>
                <w:color w:val="auto"/>
              </w:rPr>
            </w:pPr>
          </w:p>
        </w:tc>
        <w:tc>
          <w:tcPr>
            <w:tcW w:w="34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40,220</w:t>
            </w:r>
          </w:p>
        </w:tc>
        <w:tc>
          <w:tcPr>
            <w:tcW w:w="1300" w:type="dxa"/>
            <w:vAlign w:val="bottom"/>
            <w:tcBorders>
              <w:bottom w:val="single" w:sz="8" w:color="DCDDDE"/>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37.460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03/16/2027</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840" w:type="dxa"/>
            <w:vAlign w:val="bottom"/>
            <w:tcBorders>
              <w:bottom w:val="single" w:sz="8" w:color="DCDDDE"/>
            </w:tcBorders>
          </w:tcPr>
          <w:p>
            <w:pPr>
              <w:spacing w:after="0"/>
              <w:rPr>
                <w:sz w:val="18"/>
                <w:szCs w:val="18"/>
                <w:color w:val="auto"/>
              </w:rPr>
            </w:pPr>
          </w:p>
        </w:tc>
        <w:tc>
          <w:tcPr>
            <w:tcW w:w="34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55,800</w:t>
            </w:r>
          </w:p>
        </w:tc>
        <w:tc>
          <w:tcPr>
            <w:tcW w:w="1300" w:type="dxa"/>
            <w:vAlign w:val="bottom"/>
            <w:tcBorders>
              <w:bottom w:val="single" w:sz="8" w:color="DCDDDE"/>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35.830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03/15/2028</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840" w:type="dxa"/>
            <w:vAlign w:val="bottom"/>
            <w:tcBorders>
              <w:bottom w:val="single" w:sz="8" w:color="DCDDDE"/>
            </w:tcBorders>
          </w:tcPr>
          <w:p>
            <w:pPr>
              <w:spacing w:after="0"/>
              <w:rPr>
                <w:sz w:val="18"/>
                <w:szCs w:val="18"/>
                <w:color w:val="auto"/>
              </w:rPr>
            </w:pPr>
          </w:p>
        </w:tc>
        <w:tc>
          <w:tcPr>
            <w:tcW w:w="34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57,000</w:t>
            </w:r>
          </w:p>
        </w:tc>
        <w:tc>
          <w:tcPr>
            <w:tcW w:w="1300" w:type="dxa"/>
            <w:vAlign w:val="bottom"/>
            <w:tcBorders>
              <w:bottom w:val="single" w:sz="8" w:color="DCDDDE"/>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40.470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03/14/2029</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840" w:type="dxa"/>
            <w:vAlign w:val="bottom"/>
            <w:tcBorders>
              <w:bottom w:val="single" w:sz="8" w:color="DCDDDE"/>
            </w:tcBorders>
          </w:tcPr>
          <w:p>
            <w:pPr>
              <w:spacing w:after="0"/>
              <w:rPr>
                <w:sz w:val="18"/>
                <w:szCs w:val="18"/>
                <w:color w:val="auto"/>
              </w:rPr>
            </w:pPr>
          </w:p>
        </w:tc>
        <w:tc>
          <w:tcPr>
            <w:tcW w:w="34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67,600</w:t>
            </w:r>
          </w:p>
        </w:tc>
        <w:tc>
          <w:tcPr>
            <w:tcW w:w="1300" w:type="dxa"/>
            <w:vAlign w:val="bottom"/>
            <w:tcBorders>
              <w:bottom w:val="single" w:sz="8" w:color="DCDDDE"/>
            </w:tcBorders>
            <w:gridSpan w:val="2"/>
          </w:tcPr>
          <w:p>
            <w:pPr>
              <w:jc w:val="right"/>
              <w:ind w:right="8"/>
              <w:spacing w:after="0"/>
              <w:rPr>
                <w:sz w:val="20"/>
                <w:szCs w:val="20"/>
                <w:color w:val="auto"/>
              </w:rPr>
            </w:pPr>
            <w:r>
              <w:rPr>
                <w:rFonts w:ascii="Arial" w:cs="Arial" w:eastAsia="Arial" w:hAnsi="Arial"/>
                <w:sz w:val="14"/>
                <w:szCs w:val="14"/>
                <w:color w:val="auto"/>
              </w:rPr>
              <w:t>16,900</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42.520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03/01/2030</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840" w:type="dxa"/>
            <w:vAlign w:val="bottom"/>
            <w:tcBorders>
              <w:bottom w:val="single" w:sz="8" w:color="DCDDDE"/>
            </w:tcBorders>
          </w:tcPr>
          <w:p>
            <w:pPr>
              <w:spacing w:after="0"/>
              <w:rPr>
                <w:sz w:val="18"/>
                <w:szCs w:val="18"/>
                <w:color w:val="auto"/>
              </w:rPr>
            </w:pPr>
          </w:p>
        </w:tc>
        <w:tc>
          <w:tcPr>
            <w:tcW w:w="34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34,260</w:t>
            </w:r>
          </w:p>
        </w:tc>
        <w:tc>
          <w:tcPr>
            <w:tcW w:w="1300" w:type="dxa"/>
            <w:vAlign w:val="bottom"/>
            <w:tcBorders>
              <w:bottom w:val="single" w:sz="8" w:color="DCDDDE"/>
            </w:tcBorders>
            <w:gridSpan w:val="2"/>
          </w:tcPr>
          <w:p>
            <w:pPr>
              <w:jc w:val="right"/>
              <w:ind w:right="8"/>
              <w:spacing w:after="0"/>
              <w:rPr>
                <w:sz w:val="20"/>
                <w:szCs w:val="20"/>
                <w:color w:val="auto"/>
              </w:rPr>
            </w:pPr>
            <w:r>
              <w:rPr>
                <w:rFonts w:ascii="Arial" w:cs="Arial" w:eastAsia="Arial" w:hAnsi="Arial"/>
                <w:sz w:val="14"/>
                <w:szCs w:val="14"/>
                <w:color w:val="auto"/>
              </w:rPr>
              <w:t>22,840</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54.450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02/28/2031</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840" w:type="dxa"/>
            <w:vAlign w:val="bottom"/>
            <w:tcBorders>
              <w:bottom w:val="single" w:sz="8" w:color="DCDDDE"/>
            </w:tcBorders>
          </w:tcPr>
          <w:p>
            <w:pPr>
              <w:spacing w:after="0"/>
              <w:rPr>
                <w:sz w:val="18"/>
                <w:szCs w:val="18"/>
                <w:color w:val="auto"/>
              </w:rPr>
            </w:pPr>
          </w:p>
        </w:tc>
        <w:tc>
          <w:tcPr>
            <w:tcW w:w="34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27,242</w:t>
            </w:r>
          </w:p>
        </w:tc>
        <w:tc>
          <w:tcPr>
            <w:tcW w:w="1300" w:type="dxa"/>
            <w:vAlign w:val="bottom"/>
            <w:tcBorders>
              <w:bottom w:val="single" w:sz="8" w:color="DCDDDE"/>
            </w:tcBorders>
            <w:gridSpan w:val="2"/>
          </w:tcPr>
          <w:p>
            <w:pPr>
              <w:jc w:val="right"/>
              <w:ind w:right="8"/>
              <w:spacing w:after="0"/>
              <w:rPr>
                <w:sz w:val="20"/>
                <w:szCs w:val="20"/>
                <w:color w:val="auto"/>
              </w:rPr>
            </w:pPr>
            <w:r>
              <w:rPr>
                <w:rFonts w:ascii="Arial" w:cs="Arial" w:eastAsia="Arial" w:hAnsi="Arial"/>
                <w:sz w:val="14"/>
                <w:szCs w:val="14"/>
                <w:color w:val="auto"/>
              </w:rPr>
              <w:t>40,863</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46.390</w:t>
            </w:r>
          </w:p>
        </w:tc>
        <w:tc>
          <w:tcPr>
            <w:tcW w:w="880" w:type="dxa"/>
            <w:vAlign w:val="bottom"/>
            <w:tcBorders>
              <w:bottom w:val="single" w:sz="8" w:color="DCDDDE"/>
            </w:tcBorders>
            <w:gridSpan w:val="2"/>
          </w:tcPr>
          <w:p>
            <w:pPr>
              <w:jc w:val="right"/>
              <w:ind w:right="80"/>
              <w:spacing w:after="0"/>
              <w:rPr>
                <w:sz w:val="20"/>
                <w:szCs w:val="20"/>
                <w:color w:val="auto"/>
              </w:rPr>
            </w:pPr>
            <w:r>
              <w:rPr>
                <w:rFonts w:ascii="Arial" w:cs="Arial" w:eastAsia="Arial" w:hAnsi="Arial"/>
                <w:sz w:val="14"/>
                <w:szCs w:val="14"/>
                <w:color w:val="auto"/>
              </w:rPr>
              <w:t>02/29/2032</w:t>
            </w:r>
          </w:p>
        </w:tc>
        <w:tc>
          <w:tcPr>
            <w:tcW w:w="860" w:type="dxa"/>
            <w:vAlign w:val="bottom"/>
            <w:tcBorders>
              <w:bottom w:val="single" w:sz="8" w:color="DCDDDE"/>
            </w:tcBorders>
          </w:tcPr>
          <w:p>
            <w:pPr>
              <w:spacing w:after="0"/>
              <w:rPr>
                <w:sz w:val="18"/>
                <w:szCs w:val="18"/>
                <w:color w:val="auto"/>
              </w:rPr>
            </w:pPr>
          </w:p>
        </w:tc>
        <w:tc>
          <w:tcPr>
            <w:tcW w:w="900" w:type="dxa"/>
            <w:vAlign w:val="bottom"/>
            <w:tcBorders>
              <w:bottom w:val="single" w:sz="8" w:color="DCDDDE"/>
            </w:tcBorders>
          </w:tcPr>
          <w:p>
            <w:pPr>
              <w:spacing w:after="0"/>
              <w:rPr>
                <w:sz w:val="18"/>
                <w:szCs w:val="18"/>
                <w:color w:val="auto"/>
              </w:rPr>
            </w:pPr>
          </w:p>
        </w:tc>
        <w:tc>
          <w:tcPr>
            <w:tcW w:w="840" w:type="dxa"/>
            <w:vAlign w:val="bottom"/>
            <w:tcBorders>
              <w:bottom w:val="single" w:sz="8" w:color="DCDDDE"/>
            </w:tcBorders>
          </w:tcPr>
          <w:p>
            <w:pPr>
              <w:spacing w:after="0"/>
              <w:rPr>
                <w:sz w:val="18"/>
                <w:szCs w:val="18"/>
                <w:color w:val="auto"/>
              </w:rPr>
            </w:pPr>
          </w:p>
        </w:tc>
        <w:tc>
          <w:tcPr>
            <w:tcW w:w="340" w:type="dxa"/>
            <w:vAlign w:val="bottom"/>
            <w:tcBorders>
              <w:bottom w:val="single" w:sz="8" w:color="DCDDDE"/>
            </w:tcBorders>
          </w:tcPr>
          <w:p>
            <w:pPr>
              <w:spacing w:after="0"/>
              <w:rPr>
                <w:sz w:val="18"/>
                <w:szCs w:val="18"/>
                <w:color w:val="auto"/>
              </w:rPr>
            </w:pPr>
          </w:p>
        </w:tc>
        <w:tc>
          <w:tcPr>
            <w:tcW w:w="116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Borders>
              <w:bottom w:val="single" w:sz="8" w:color="DCDDDD"/>
            </w:tcBorders>
          </w:tcPr>
          <w:p>
            <w:pPr>
              <w:jc w:val="right"/>
              <w:spacing w:after="0"/>
              <w:rPr>
                <w:sz w:val="20"/>
                <w:szCs w:val="20"/>
                <w:color w:val="auto"/>
              </w:rPr>
            </w:pPr>
            <w:r>
              <w:rPr>
                <w:rFonts w:ascii="Arial" w:cs="Arial" w:eastAsia="Arial" w:hAnsi="Arial"/>
                <w:sz w:val="14"/>
                <w:szCs w:val="14"/>
                <w:color w:val="auto"/>
              </w:rPr>
              <w:t>14,406</w:t>
            </w:r>
          </w:p>
        </w:tc>
        <w:tc>
          <w:tcPr>
            <w:tcW w:w="1300" w:type="dxa"/>
            <w:vAlign w:val="bottom"/>
            <w:tcBorders>
              <w:bottom w:val="single" w:sz="8" w:color="DCDDDD"/>
            </w:tcBorders>
            <w:gridSpan w:val="2"/>
          </w:tcPr>
          <w:p>
            <w:pPr>
              <w:jc w:val="right"/>
              <w:ind w:right="8"/>
              <w:spacing w:after="0"/>
              <w:rPr>
                <w:sz w:val="20"/>
                <w:szCs w:val="20"/>
                <w:color w:val="auto"/>
              </w:rPr>
            </w:pPr>
            <w:r>
              <w:rPr>
                <w:rFonts w:ascii="Arial" w:cs="Arial" w:eastAsia="Arial" w:hAnsi="Arial"/>
                <w:sz w:val="14"/>
                <w:szCs w:val="14"/>
                <w:color w:val="auto"/>
              </w:rPr>
              <w:t>57,624</w:t>
            </w:r>
          </w:p>
        </w:tc>
        <w:tc>
          <w:tcPr>
            <w:tcW w:w="720" w:type="dxa"/>
            <w:vAlign w:val="bottom"/>
            <w:tcBorders>
              <w:bottom w:val="single" w:sz="8" w:color="DCDDDD"/>
            </w:tcBorders>
          </w:tcPr>
          <w:p>
            <w:pPr>
              <w:jc w:val="right"/>
              <w:spacing w:after="0"/>
              <w:rPr>
                <w:sz w:val="20"/>
                <w:szCs w:val="20"/>
                <w:color w:val="auto"/>
              </w:rPr>
            </w:pPr>
            <w:r>
              <w:rPr>
                <w:rFonts w:ascii="Arial" w:cs="Arial" w:eastAsia="Arial" w:hAnsi="Arial"/>
                <w:sz w:val="14"/>
                <w:szCs w:val="14"/>
                <w:color w:val="auto"/>
              </w:rPr>
              <w:t>36.630</w:t>
            </w:r>
          </w:p>
        </w:tc>
        <w:tc>
          <w:tcPr>
            <w:tcW w:w="880" w:type="dxa"/>
            <w:vAlign w:val="bottom"/>
            <w:tcBorders>
              <w:bottom w:val="single" w:sz="8" w:color="DCDDDD"/>
            </w:tcBorders>
            <w:gridSpan w:val="2"/>
          </w:tcPr>
          <w:p>
            <w:pPr>
              <w:jc w:val="right"/>
              <w:ind w:right="80"/>
              <w:spacing w:after="0"/>
              <w:rPr>
                <w:sz w:val="20"/>
                <w:szCs w:val="20"/>
                <w:color w:val="auto"/>
              </w:rPr>
            </w:pPr>
            <w:r>
              <w:rPr>
                <w:rFonts w:ascii="Arial" w:cs="Arial" w:eastAsia="Arial" w:hAnsi="Arial"/>
                <w:sz w:val="14"/>
                <w:szCs w:val="14"/>
                <w:color w:val="auto"/>
              </w:rPr>
              <w:t>02/28/2033</w:t>
            </w:r>
          </w:p>
        </w:tc>
        <w:tc>
          <w:tcPr>
            <w:tcW w:w="860" w:type="dxa"/>
            <w:vAlign w:val="bottom"/>
            <w:tcBorders>
              <w:bottom w:val="single" w:sz="8" w:color="DCDDDD"/>
            </w:tcBorders>
          </w:tcPr>
          <w:p>
            <w:pPr>
              <w:spacing w:after="0"/>
              <w:rPr>
                <w:sz w:val="18"/>
                <w:szCs w:val="18"/>
                <w:color w:val="auto"/>
              </w:rPr>
            </w:pPr>
          </w:p>
        </w:tc>
        <w:tc>
          <w:tcPr>
            <w:tcW w:w="900" w:type="dxa"/>
            <w:vAlign w:val="bottom"/>
            <w:tcBorders>
              <w:bottom w:val="single" w:sz="8" w:color="DCDDDD"/>
            </w:tcBorders>
          </w:tcPr>
          <w:p>
            <w:pPr>
              <w:spacing w:after="0"/>
              <w:rPr>
                <w:sz w:val="18"/>
                <w:szCs w:val="18"/>
                <w:color w:val="auto"/>
              </w:rPr>
            </w:pPr>
          </w:p>
        </w:tc>
        <w:tc>
          <w:tcPr>
            <w:tcW w:w="840" w:type="dxa"/>
            <w:vAlign w:val="bottom"/>
            <w:tcBorders>
              <w:bottom w:val="single" w:sz="8" w:color="DCDDDD"/>
            </w:tcBorders>
          </w:tcPr>
          <w:p>
            <w:pPr>
              <w:spacing w:after="0"/>
              <w:rPr>
                <w:sz w:val="18"/>
                <w:szCs w:val="18"/>
                <w:color w:val="auto"/>
              </w:rPr>
            </w:pPr>
          </w:p>
        </w:tc>
        <w:tc>
          <w:tcPr>
            <w:tcW w:w="340" w:type="dxa"/>
            <w:vAlign w:val="bottom"/>
            <w:tcBorders>
              <w:bottom w:val="single" w:sz="8" w:color="DCDDDD"/>
            </w:tcBorders>
          </w:tcPr>
          <w:p>
            <w:pPr>
              <w:spacing w:after="0"/>
              <w:rPr>
                <w:sz w:val="18"/>
                <w:szCs w:val="18"/>
                <w:color w:val="auto"/>
              </w:rPr>
            </w:pPr>
          </w:p>
        </w:tc>
        <w:tc>
          <w:tcPr>
            <w:tcW w:w="1160" w:type="dxa"/>
            <w:vAlign w:val="bottom"/>
            <w:tcBorders>
              <w:bottom w:val="single" w:sz="8" w:color="DCDDDD"/>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8"/>
              <w:spacing w:after="0"/>
              <w:rPr>
                <w:sz w:val="20"/>
                <w:szCs w:val="20"/>
                <w:color w:val="auto"/>
              </w:rPr>
            </w:pPr>
            <w:r>
              <w:rPr>
                <w:rFonts w:ascii="Arial" w:cs="Arial" w:eastAsia="Arial" w:hAnsi="Arial"/>
                <w:sz w:val="14"/>
                <w:szCs w:val="14"/>
                <w:color w:val="auto"/>
              </w:rPr>
              <w:t>39,520</w:t>
            </w:r>
          </w:p>
        </w:tc>
        <w:tc>
          <w:tcPr>
            <w:tcW w:w="720" w:type="dxa"/>
            <w:vAlign w:val="bottom"/>
          </w:tcPr>
          <w:p>
            <w:pPr>
              <w:jc w:val="right"/>
              <w:spacing w:after="0"/>
              <w:rPr>
                <w:sz w:val="20"/>
                <w:szCs w:val="20"/>
                <w:color w:val="auto"/>
              </w:rPr>
            </w:pPr>
            <w:r>
              <w:rPr>
                <w:rFonts w:ascii="Arial" w:cs="Arial" w:eastAsia="Arial" w:hAnsi="Arial"/>
                <w:sz w:val="14"/>
                <w:szCs w:val="14"/>
                <w:color w:val="auto"/>
              </w:rPr>
              <w:t>42.800</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02/28/2034</w:t>
            </w: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5080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-1451610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-2326005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2540" w:space="720"/>
            <w:col w:w="7980"/>
          </w:cols>
          <w:pgMar w:left="320" w:top="122" w:right="339" w:bottom="1440" w:gutter="0" w:footer="0" w:header="0"/>
        </w:sectPr>
      </w:pPr>
    </w:p>
    <w:p>
      <w:pPr>
        <w:ind w:left="320" w:right="100" w:hanging="312"/>
        <w:spacing w:after="0" w:line="264" w:lineRule="auto"/>
        <w:tabs>
          <w:tab w:leader="none" w:pos="320" w:val="left"/>
        </w:tabs>
        <w:numPr>
          <w:ilvl w:val="0"/>
          <w:numId w:val="82"/>
        </w:numPr>
        <w:rPr>
          <w:rFonts w:ascii="Arial" w:cs="Arial" w:eastAsia="Arial" w:hAnsi="Arial"/>
          <w:sz w:val="13"/>
          <w:szCs w:val="13"/>
          <w:color w:val="auto"/>
        </w:rPr>
      </w:pPr>
      <w:r>
        <w:rPr>
          <w:rFonts w:ascii="Arial" w:cs="Arial" w:eastAsia="Arial" w:hAnsi="Arial"/>
          <w:sz w:val="15"/>
          <w:szCs w:val="15"/>
          <w:color w:val="auto"/>
        </w:rPr>
        <w:t>Mr. Cavanagh assigned to a family trust a portion of his vested stock options as follows: 419,520 shares from stock options expiring on March 17, 2026; 258,615 shares from stock options expiring on March 16, 2027; and 167,910 shares from stock options expiring on March 15, 2028.</w:t>
      </w:r>
    </w:p>
    <w:p>
      <w:pPr>
        <w:spacing w:after="0" w:line="79" w:lineRule="exact"/>
        <w:rPr>
          <w:rFonts w:ascii="Arial" w:cs="Arial" w:eastAsia="Arial" w:hAnsi="Arial"/>
          <w:sz w:val="13"/>
          <w:szCs w:val="13"/>
          <w:color w:val="auto"/>
        </w:rPr>
      </w:pPr>
    </w:p>
    <w:p>
      <w:pPr>
        <w:ind w:left="320" w:hanging="312"/>
        <w:spacing w:after="0" w:line="234" w:lineRule="auto"/>
        <w:tabs>
          <w:tab w:leader="none" w:pos="320" w:val="left"/>
        </w:tabs>
        <w:numPr>
          <w:ilvl w:val="0"/>
          <w:numId w:val="82"/>
        </w:numPr>
        <w:rPr>
          <w:rFonts w:ascii="Arial" w:cs="Arial" w:eastAsia="Arial" w:hAnsi="Arial"/>
          <w:sz w:val="13"/>
          <w:szCs w:val="13"/>
          <w:color w:val="auto"/>
        </w:rPr>
      </w:pPr>
      <w:r>
        <w:rPr>
          <w:rFonts w:ascii="Arial" w:cs="Arial" w:eastAsia="Arial" w:hAnsi="Arial"/>
          <w:sz w:val="15"/>
          <w:szCs w:val="15"/>
          <w:color w:val="auto"/>
        </w:rPr>
        <w:t>The expiration date occurs one day prior to the tenth anniversary of the grant date. Stock options that expire on or prior to March 1, 2030 have the following vesting schedule: 30%, 15%, 15%, 15%, 5%, 5%, 5%, 5% and 5% on the second, third, fourth, fifth, sixth, seventh, eighth, ninth and nine and a half anniversaries of the grant date, respectively. Stock options that expire on February 28, 2031 have the following vesting schedule: 40%, 20%, 20% and 20% on the second, third, fourth and fifth anniversaries of the grant date, respectively. Stock options that expire on or after February 29, 2032 have the following vesting schedule: 20% on each of the first, second, third, fourth and fifth anniversaries of the grant date. The performance-based stock option granted to Mr. Cavanagh on December 30, 2022 (the “Performance Option”) vests in full on February 1, 2028.</w:t>
      </w:r>
    </w:p>
    <w:p>
      <w:pPr>
        <w:spacing w:after="0" w:line="97" w:lineRule="exact"/>
        <w:rPr>
          <w:rFonts w:ascii="Arial" w:cs="Arial" w:eastAsia="Arial" w:hAnsi="Arial"/>
          <w:sz w:val="13"/>
          <w:szCs w:val="13"/>
          <w:color w:val="auto"/>
        </w:rPr>
      </w:pPr>
    </w:p>
    <w:p>
      <w:pPr>
        <w:jc w:val="both"/>
        <w:ind w:left="320" w:right="300" w:hanging="312"/>
        <w:spacing w:after="0" w:line="264" w:lineRule="auto"/>
        <w:tabs>
          <w:tab w:leader="none" w:pos="320" w:val="left"/>
        </w:tabs>
        <w:numPr>
          <w:ilvl w:val="0"/>
          <w:numId w:val="82"/>
        </w:numPr>
        <w:rPr>
          <w:rFonts w:ascii="Arial" w:cs="Arial" w:eastAsia="Arial" w:hAnsi="Arial"/>
          <w:sz w:val="13"/>
          <w:szCs w:val="13"/>
          <w:color w:val="auto"/>
        </w:rPr>
      </w:pPr>
      <w:r>
        <w:rPr>
          <w:rFonts w:ascii="Arial" w:cs="Arial" w:eastAsia="Arial" w:hAnsi="Arial"/>
          <w:sz w:val="15"/>
          <w:szCs w:val="15"/>
          <w:color w:val="auto"/>
        </w:rPr>
        <w:t>Our equity awards contain provisions for continued vesting upon certain employees attaining retirement eligible status. This table does not reflect accelerated vesting resulting from the attainment of retirement eligible status. See “Potential Payments upon Termination or Change in Control” for additional information.</w:t>
      </w:r>
    </w:p>
    <w:p>
      <w:pPr>
        <w:spacing w:after="0" w:line="23" w:lineRule="exact"/>
        <w:rPr>
          <w:rFonts w:ascii="Arial" w:cs="Arial" w:eastAsia="Arial" w:hAnsi="Arial"/>
          <w:sz w:val="13"/>
          <w:szCs w:val="13"/>
          <w:color w:val="auto"/>
        </w:rPr>
      </w:pPr>
    </w:p>
    <w:p>
      <w:pPr>
        <w:ind w:left="320" w:hanging="312"/>
        <w:spacing w:after="0"/>
        <w:tabs>
          <w:tab w:leader="none" w:pos="320" w:val="left"/>
        </w:tabs>
        <w:numPr>
          <w:ilvl w:val="0"/>
          <w:numId w:val="82"/>
        </w:numPr>
        <w:rPr>
          <w:rFonts w:ascii="Arial" w:cs="Arial" w:eastAsia="Arial" w:hAnsi="Arial"/>
          <w:sz w:val="25"/>
          <w:szCs w:val="25"/>
          <w:color w:val="auto"/>
          <w:vertAlign w:val="superscript"/>
        </w:rPr>
      </w:pPr>
      <w:r>
        <w:rPr>
          <w:rFonts w:ascii="Arial" w:cs="Arial" w:eastAsia="Arial" w:hAnsi="Arial"/>
          <w:sz w:val="15"/>
          <w:szCs w:val="15"/>
          <w:color w:val="auto"/>
        </w:rPr>
        <w:t>The number of shares underlying each outstanding stock unit</w:t>
      </w:r>
      <w:r>
        <w:rPr>
          <w:rFonts w:ascii="Arial" w:cs="Arial" w:eastAsia="Arial" w:hAnsi="Arial"/>
          <w:sz w:val="25"/>
          <w:szCs w:val="25"/>
          <w:color w:val="auto"/>
          <w:vertAlign w:val="superscript"/>
        </w:rPr>
        <w:t>(a)</w:t>
      </w:r>
      <w:r>
        <w:rPr>
          <w:rFonts w:ascii="Arial" w:cs="Arial" w:eastAsia="Arial" w:hAnsi="Arial"/>
          <w:sz w:val="15"/>
          <w:szCs w:val="15"/>
          <w:color w:val="auto"/>
        </w:rPr>
        <w:t xml:space="preserve"> for the NEOs that remain subject to vesting are as follows:</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BRIAN L.</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MICHAEL J.</w:t>
            </w:r>
          </w:p>
        </w:tc>
        <w:tc>
          <w:tcPr>
            <w:tcW w:w="12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JASON S.</w:t>
            </w:r>
          </w:p>
        </w:tc>
        <w:tc>
          <w:tcPr>
            <w:tcW w:w="110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THOMAS J.</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JENNIFER</w:t>
            </w:r>
          </w:p>
        </w:tc>
      </w:tr>
      <w:tr>
        <w:trPr>
          <w:trHeight w:val="197"/>
        </w:trPr>
        <w:tc>
          <w:tcPr>
            <w:tcW w:w="1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GRANT DATE</w:t>
            </w:r>
          </w:p>
        </w:tc>
        <w:tc>
          <w:tcPr>
            <w:tcW w:w="1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ROBERTS</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CAVANAGH</w:t>
            </w: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ARMSTRONG</w:t>
            </w:r>
          </w:p>
        </w:tc>
        <w:tc>
          <w:tcPr>
            <w:tcW w:w="6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REID</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KHOURY</w:t>
            </w:r>
          </w:p>
        </w:tc>
      </w:tr>
      <w:tr>
        <w:trPr>
          <w:trHeight w:val="207"/>
        </w:trPr>
        <w:tc>
          <w:tcPr>
            <w:tcW w:w="1820" w:type="dxa"/>
            <w:vAlign w:val="bottom"/>
            <w:tcBorders>
              <w:bottom w:val="single" w:sz="8" w:color="DCDDDE"/>
            </w:tcBorders>
          </w:tcPr>
          <w:p>
            <w:pPr>
              <w:ind w:left="60"/>
              <w:spacing w:after="0"/>
              <w:rPr>
                <w:sz w:val="20"/>
                <w:szCs w:val="20"/>
                <w:color w:val="auto"/>
              </w:rPr>
            </w:pPr>
            <w:r>
              <w:rPr>
                <w:rFonts w:ascii="Arial" w:cs="Arial" w:eastAsia="Arial" w:hAnsi="Arial"/>
                <w:sz w:val="14"/>
                <w:szCs w:val="14"/>
                <w:color w:val="auto"/>
              </w:rPr>
              <w:t>03/02/2020</w:t>
            </w:r>
          </w:p>
        </w:tc>
        <w:tc>
          <w:tcPr>
            <w:tcW w:w="15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124,650</w:t>
            </w:r>
          </w:p>
        </w:tc>
        <w:tc>
          <w:tcPr>
            <w:tcW w:w="300" w:type="dxa"/>
            <w:vAlign w:val="bottom"/>
            <w:tcBorders>
              <w:bottom w:val="single" w:sz="8" w:color="DCDDDE"/>
            </w:tcBorders>
          </w:tcPr>
          <w:p>
            <w:pPr>
              <w:jc w:val="right"/>
              <w:ind w:right="60"/>
              <w:spacing w:after="0"/>
              <w:rPr>
                <w:sz w:val="20"/>
                <w:szCs w:val="20"/>
                <w:color w:val="auto"/>
              </w:rPr>
            </w:pPr>
            <w:r>
              <w:rPr>
                <w:rFonts w:ascii="Arial" w:cs="Arial" w:eastAsia="Arial" w:hAnsi="Arial"/>
                <w:sz w:val="12"/>
                <w:szCs w:val="12"/>
                <w:color w:val="auto"/>
              </w:rPr>
              <w:t>(b)</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82,900</w:t>
            </w:r>
          </w:p>
        </w:tc>
        <w:tc>
          <w:tcPr>
            <w:tcW w:w="280" w:type="dxa"/>
            <w:vAlign w:val="bottom"/>
            <w:tcBorders>
              <w:bottom w:val="single" w:sz="8" w:color="DCDDDE"/>
            </w:tcBorders>
          </w:tcPr>
          <w:p>
            <w:pPr>
              <w:jc w:val="right"/>
              <w:ind w:right="20"/>
              <w:spacing w:after="0"/>
              <w:rPr>
                <w:sz w:val="20"/>
                <w:szCs w:val="20"/>
                <w:color w:val="auto"/>
              </w:rPr>
            </w:pPr>
            <w:r>
              <w:rPr>
                <w:rFonts w:ascii="Arial" w:cs="Arial" w:eastAsia="Arial" w:hAnsi="Arial"/>
                <w:sz w:val="12"/>
                <w:szCs w:val="12"/>
                <w:color w:val="auto"/>
              </w:rPr>
              <w:t>(b)</w:t>
            </w:r>
          </w:p>
        </w:tc>
        <w:tc>
          <w:tcPr>
            <w:tcW w:w="800" w:type="dxa"/>
            <w:vAlign w:val="bottom"/>
            <w:tcBorders>
              <w:bottom w:val="single" w:sz="8" w:color="DCDDDE"/>
            </w:tcBorders>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CDDDE"/>
            </w:tcBorders>
          </w:tcPr>
          <w:p>
            <w:pPr>
              <w:spacing w:after="0"/>
              <w:rPr>
                <w:sz w:val="17"/>
                <w:szCs w:val="17"/>
                <w:color w:val="auto"/>
              </w:rPr>
            </w:pPr>
          </w:p>
        </w:tc>
        <w:tc>
          <w:tcPr>
            <w:tcW w:w="6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21,160</w:t>
            </w:r>
          </w:p>
        </w:tc>
        <w:tc>
          <w:tcPr>
            <w:tcW w:w="460" w:type="dxa"/>
            <w:vAlign w:val="bottom"/>
            <w:tcBorders>
              <w:bottom w:val="single" w:sz="8" w:color="DCDDDE"/>
            </w:tcBorders>
          </w:tcPr>
          <w:p>
            <w:pPr>
              <w:spacing w:after="0"/>
              <w:rPr>
                <w:sz w:val="17"/>
                <w:szCs w:val="17"/>
                <w:color w:val="auto"/>
              </w:rPr>
            </w:pPr>
          </w:p>
        </w:tc>
        <w:tc>
          <w:tcPr>
            <w:tcW w:w="6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5,160</w:t>
            </w:r>
          </w:p>
        </w:tc>
        <w:tc>
          <w:tcPr>
            <w:tcW w:w="320" w:type="dxa"/>
            <w:vAlign w:val="bottom"/>
            <w:tcBorders>
              <w:bottom w:val="single" w:sz="8" w:color="DCDDDE"/>
            </w:tcBorders>
          </w:tcPr>
          <w:p>
            <w:pPr>
              <w:spacing w:after="0"/>
              <w:rPr>
                <w:sz w:val="17"/>
                <w:szCs w:val="17"/>
                <w:color w:val="auto"/>
              </w:rPr>
            </w:pPr>
          </w:p>
        </w:tc>
      </w:tr>
      <w:tr>
        <w:trPr>
          <w:trHeight w:val="209"/>
        </w:trPr>
        <w:tc>
          <w:tcPr>
            <w:tcW w:w="1820" w:type="dxa"/>
            <w:vAlign w:val="bottom"/>
            <w:tcBorders>
              <w:bottom w:val="single" w:sz="8" w:color="DCDDDE"/>
            </w:tcBorders>
          </w:tcPr>
          <w:p>
            <w:pPr>
              <w:ind w:left="60"/>
              <w:spacing w:after="0"/>
              <w:rPr>
                <w:sz w:val="20"/>
                <w:szCs w:val="20"/>
                <w:color w:val="auto"/>
              </w:rPr>
            </w:pPr>
            <w:r>
              <w:rPr>
                <w:rFonts w:ascii="Arial" w:cs="Arial" w:eastAsia="Arial" w:hAnsi="Arial"/>
                <w:sz w:val="14"/>
                <w:szCs w:val="14"/>
                <w:color w:val="auto"/>
              </w:rPr>
              <w:t>05/22/2020</w:t>
            </w:r>
          </w:p>
        </w:tc>
        <w:tc>
          <w:tcPr>
            <w:tcW w:w="15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CDDDE"/>
            </w:tcBorders>
          </w:tcPr>
          <w:p>
            <w:pPr>
              <w:spacing w:after="0"/>
              <w:rPr>
                <w:sz w:val="18"/>
                <w:szCs w:val="18"/>
                <w:color w:val="auto"/>
              </w:rPr>
            </w:pP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CDDDE"/>
            </w:tcBorders>
          </w:tcPr>
          <w:p>
            <w:pPr>
              <w:spacing w:after="0"/>
              <w:rPr>
                <w:sz w:val="18"/>
                <w:szCs w:val="18"/>
                <w:color w:val="auto"/>
              </w:rPr>
            </w:pPr>
          </w:p>
        </w:tc>
        <w:tc>
          <w:tcPr>
            <w:tcW w:w="800" w:type="dxa"/>
            <w:vAlign w:val="bottom"/>
            <w:tcBorders>
              <w:bottom w:val="single" w:sz="8" w:color="DCDDDE"/>
            </w:tcBorders>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CDDDE"/>
            </w:tcBorders>
          </w:tcPr>
          <w:p>
            <w:pPr>
              <w:spacing w:after="0"/>
              <w:rPr>
                <w:sz w:val="18"/>
                <w:szCs w:val="18"/>
                <w:color w:val="auto"/>
              </w:rPr>
            </w:pPr>
          </w:p>
        </w:tc>
        <w:tc>
          <w:tcPr>
            <w:tcW w:w="6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DCDDDE"/>
            </w:tcBorders>
          </w:tcPr>
          <w:p>
            <w:pPr>
              <w:spacing w:after="0"/>
              <w:rPr>
                <w:sz w:val="18"/>
                <w:szCs w:val="18"/>
                <w:color w:val="auto"/>
              </w:rPr>
            </w:pPr>
          </w:p>
        </w:tc>
        <w:tc>
          <w:tcPr>
            <w:tcW w:w="6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15,488</w:t>
            </w:r>
          </w:p>
        </w:tc>
        <w:tc>
          <w:tcPr>
            <w:tcW w:w="320" w:type="dxa"/>
            <w:vAlign w:val="bottom"/>
            <w:tcBorders>
              <w:bottom w:val="single" w:sz="8" w:color="DCDDDE"/>
            </w:tcBorders>
          </w:tcPr>
          <w:p>
            <w:pPr>
              <w:spacing w:after="0"/>
              <w:rPr>
                <w:sz w:val="18"/>
                <w:szCs w:val="18"/>
                <w:color w:val="auto"/>
              </w:rPr>
            </w:pPr>
          </w:p>
        </w:tc>
      </w:tr>
      <w:tr>
        <w:trPr>
          <w:trHeight w:val="210"/>
        </w:trPr>
        <w:tc>
          <w:tcPr>
            <w:tcW w:w="1820" w:type="dxa"/>
            <w:vAlign w:val="bottom"/>
            <w:tcBorders>
              <w:bottom w:val="single" w:sz="8" w:color="DCDDDE"/>
            </w:tcBorders>
          </w:tcPr>
          <w:p>
            <w:pPr>
              <w:ind w:left="60"/>
              <w:spacing w:after="0"/>
              <w:rPr>
                <w:sz w:val="20"/>
                <w:szCs w:val="20"/>
                <w:color w:val="auto"/>
              </w:rPr>
            </w:pPr>
            <w:r>
              <w:rPr>
                <w:rFonts w:ascii="Arial" w:cs="Arial" w:eastAsia="Arial" w:hAnsi="Arial"/>
                <w:sz w:val="14"/>
                <w:szCs w:val="14"/>
                <w:color w:val="auto"/>
              </w:rPr>
              <w:t>06/05/2020</w:t>
            </w:r>
          </w:p>
        </w:tc>
        <w:tc>
          <w:tcPr>
            <w:tcW w:w="15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CDDDE"/>
            </w:tcBorders>
          </w:tcPr>
          <w:p>
            <w:pPr>
              <w:spacing w:after="0"/>
              <w:rPr>
                <w:sz w:val="18"/>
                <w:szCs w:val="18"/>
                <w:color w:val="auto"/>
              </w:rPr>
            </w:pP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CDDDE"/>
            </w:tcBorders>
          </w:tcPr>
          <w:p>
            <w:pPr>
              <w:spacing w:after="0"/>
              <w:rPr>
                <w:sz w:val="18"/>
                <w:szCs w:val="18"/>
                <w:color w:val="auto"/>
              </w:rPr>
            </w:pPr>
          </w:p>
        </w:tc>
        <w:tc>
          <w:tcPr>
            <w:tcW w:w="800" w:type="dxa"/>
            <w:vAlign w:val="bottom"/>
            <w:tcBorders>
              <w:bottom w:val="single" w:sz="8" w:color="DCDDDE"/>
            </w:tcBorders>
          </w:tcPr>
          <w:p>
            <w:pPr>
              <w:jc w:val="right"/>
              <w:ind w:right="108"/>
              <w:spacing w:after="0"/>
              <w:rPr>
                <w:sz w:val="20"/>
                <w:szCs w:val="20"/>
                <w:color w:val="auto"/>
              </w:rPr>
            </w:pPr>
            <w:r>
              <w:rPr>
                <w:rFonts w:ascii="Arial" w:cs="Arial" w:eastAsia="Arial" w:hAnsi="Arial"/>
                <w:sz w:val="14"/>
                <w:szCs w:val="14"/>
                <w:color w:val="auto"/>
              </w:rPr>
              <w:t>9,504</w:t>
            </w:r>
          </w:p>
        </w:tc>
        <w:tc>
          <w:tcPr>
            <w:tcW w:w="400" w:type="dxa"/>
            <w:vAlign w:val="bottom"/>
            <w:tcBorders>
              <w:bottom w:val="single" w:sz="8" w:color="DCDDDE"/>
            </w:tcBorders>
          </w:tcPr>
          <w:p>
            <w:pPr>
              <w:spacing w:after="0"/>
              <w:rPr>
                <w:sz w:val="18"/>
                <w:szCs w:val="18"/>
                <w:color w:val="auto"/>
              </w:rPr>
            </w:pPr>
          </w:p>
        </w:tc>
        <w:tc>
          <w:tcPr>
            <w:tcW w:w="6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DCDDDE"/>
            </w:tcBorders>
          </w:tcPr>
          <w:p>
            <w:pPr>
              <w:spacing w:after="0"/>
              <w:rPr>
                <w:sz w:val="18"/>
                <w:szCs w:val="18"/>
                <w:color w:val="auto"/>
              </w:rPr>
            </w:pPr>
          </w:p>
        </w:tc>
        <w:tc>
          <w:tcPr>
            <w:tcW w:w="6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8"/>
                <w:szCs w:val="18"/>
                <w:color w:val="auto"/>
              </w:rPr>
            </w:pPr>
          </w:p>
        </w:tc>
      </w:tr>
      <w:tr>
        <w:trPr>
          <w:trHeight w:val="210"/>
        </w:trPr>
        <w:tc>
          <w:tcPr>
            <w:tcW w:w="1820" w:type="dxa"/>
            <w:vAlign w:val="bottom"/>
            <w:tcBorders>
              <w:bottom w:val="single" w:sz="8" w:color="DCDDDE"/>
            </w:tcBorders>
          </w:tcPr>
          <w:p>
            <w:pPr>
              <w:ind w:left="60"/>
              <w:spacing w:after="0"/>
              <w:rPr>
                <w:sz w:val="20"/>
                <w:szCs w:val="20"/>
                <w:color w:val="auto"/>
              </w:rPr>
            </w:pPr>
            <w:r>
              <w:rPr>
                <w:rFonts w:ascii="Arial" w:cs="Arial" w:eastAsia="Arial" w:hAnsi="Arial"/>
                <w:sz w:val="14"/>
                <w:szCs w:val="14"/>
                <w:color w:val="auto"/>
              </w:rPr>
              <w:t>03/01/2021</w:t>
            </w:r>
          </w:p>
        </w:tc>
        <w:tc>
          <w:tcPr>
            <w:tcW w:w="15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CDDDE"/>
            </w:tcBorders>
          </w:tcPr>
          <w:p>
            <w:pPr>
              <w:spacing w:after="0"/>
              <w:rPr>
                <w:sz w:val="18"/>
                <w:szCs w:val="18"/>
                <w:color w:val="auto"/>
              </w:rPr>
            </w:pP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CDDDE"/>
            </w:tcBorders>
          </w:tcPr>
          <w:p>
            <w:pPr>
              <w:spacing w:after="0"/>
              <w:rPr>
                <w:sz w:val="18"/>
                <w:szCs w:val="18"/>
                <w:color w:val="auto"/>
              </w:rPr>
            </w:pPr>
          </w:p>
        </w:tc>
        <w:tc>
          <w:tcPr>
            <w:tcW w:w="800" w:type="dxa"/>
            <w:vAlign w:val="bottom"/>
            <w:tcBorders>
              <w:bottom w:val="single" w:sz="8" w:color="DCDDDE"/>
            </w:tcBorders>
          </w:tcPr>
          <w:p>
            <w:pPr>
              <w:jc w:val="right"/>
              <w:ind w:right="108"/>
              <w:spacing w:after="0"/>
              <w:rPr>
                <w:sz w:val="20"/>
                <w:szCs w:val="20"/>
                <w:color w:val="auto"/>
              </w:rPr>
            </w:pPr>
            <w:r>
              <w:rPr>
                <w:rFonts w:ascii="Arial" w:cs="Arial" w:eastAsia="Arial" w:hAnsi="Arial"/>
                <w:sz w:val="14"/>
                <w:szCs w:val="14"/>
                <w:color w:val="auto"/>
              </w:rPr>
              <w:t>7,590</w:t>
            </w:r>
          </w:p>
        </w:tc>
        <w:tc>
          <w:tcPr>
            <w:tcW w:w="400" w:type="dxa"/>
            <w:vAlign w:val="bottom"/>
            <w:tcBorders>
              <w:bottom w:val="single" w:sz="8" w:color="DCDDDE"/>
            </w:tcBorders>
          </w:tcPr>
          <w:p>
            <w:pPr>
              <w:spacing w:after="0"/>
              <w:rPr>
                <w:sz w:val="18"/>
                <w:szCs w:val="18"/>
                <w:color w:val="auto"/>
              </w:rPr>
            </w:pPr>
          </w:p>
        </w:tc>
        <w:tc>
          <w:tcPr>
            <w:tcW w:w="6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DCDDDE"/>
            </w:tcBorders>
          </w:tcPr>
          <w:p>
            <w:pPr>
              <w:spacing w:after="0"/>
              <w:rPr>
                <w:sz w:val="18"/>
                <w:szCs w:val="18"/>
                <w:color w:val="auto"/>
              </w:rPr>
            </w:pPr>
          </w:p>
        </w:tc>
        <w:tc>
          <w:tcPr>
            <w:tcW w:w="6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5,555</w:t>
            </w:r>
          </w:p>
        </w:tc>
        <w:tc>
          <w:tcPr>
            <w:tcW w:w="320" w:type="dxa"/>
            <w:vAlign w:val="bottom"/>
            <w:tcBorders>
              <w:bottom w:val="single" w:sz="8" w:color="DCDDDE"/>
            </w:tcBorders>
          </w:tcPr>
          <w:p>
            <w:pPr>
              <w:spacing w:after="0"/>
              <w:rPr>
                <w:sz w:val="18"/>
                <w:szCs w:val="18"/>
                <w:color w:val="auto"/>
              </w:rPr>
            </w:pPr>
          </w:p>
        </w:tc>
      </w:tr>
      <w:tr>
        <w:trPr>
          <w:trHeight w:val="209"/>
        </w:trPr>
        <w:tc>
          <w:tcPr>
            <w:tcW w:w="1820" w:type="dxa"/>
            <w:vAlign w:val="bottom"/>
            <w:tcBorders>
              <w:bottom w:val="single" w:sz="8" w:color="DCDDDE"/>
            </w:tcBorders>
          </w:tcPr>
          <w:p>
            <w:pPr>
              <w:ind w:left="60"/>
              <w:spacing w:after="0"/>
              <w:rPr>
                <w:sz w:val="20"/>
                <w:szCs w:val="20"/>
                <w:color w:val="auto"/>
              </w:rPr>
            </w:pPr>
            <w:r>
              <w:rPr>
                <w:rFonts w:ascii="Arial" w:cs="Arial" w:eastAsia="Arial" w:hAnsi="Arial"/>
                <w:sz w:val="14"/>
                <w:szCs w:val="14"/>
                <w:color w:val="auto"/>
              </w:rPr>
              <w:t>01/14/2022</w:t>
            </w:r>
          </w:p>
        </w:tc>
        <w:tc>
          <w:tcPr>
            <w:tcW w:w="15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CDDDE"/>
            </w:tcBorders>
          </w:tcPr>
          <w:p>
            <w:pPr>
              <w:spacing w:after="0"/>
              <w:rPr>
                <w:sz w:val="18"/>
                <w:szCs w:val="18"/>
                <w:color w:val="auto"/>
              </w:rPr>
            </w:pP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CDDDE"/>
            </w:tcBorders>
          </w:tcPr>
          <w:p>
            <w:pPr>
              <w:spacing w:after="0"/>
              <w:rPr>
                <w:sz w:val="18"/>
                <w:szCs w:val="18"/>
                <w:color w:val="auto"/>
              </w:rPr>
            </w:pPr>
          </w:p>
        </w:tc>
        <w:tc>
          <w:tcPr>
            <w:tcW w:w="800" w:type="dxa"/>
            <w:vAlign w:val="bottom"/>
            <w:tcBorders>
              <w:bottom w:val="single" w:sz="8" w:color="DCDDDE"/>
            </w:tcBorders>
          </w:tcPr>
          <w:p>
            <w:pPr>
              <w:jc w:val="right"/>
              <w:ind w:right="108"/>
              <w:spacing w:after="0"/>
              <w:rPr>
                <w:sz w:val="20"/>
                <w:szCs w:val="20"/>
                <w:color w:val="auto"/>
              </w:rPr>
            </w:pPr>
            <w:r>
              <w:rPr>
                <w:rFonts w:ascii="Arial" w:cs="Arial" w:eastAsia="Arial" w:hAnsi="Arial"/>
                <w:sz w:val="14"/>
                <w:szCs w:val="14"/>
                <w:color w:val="auto"/>
              </w:rPr>
              <w:t>23,220</w:t>
            </w:r>
          </w:p>
        </w:tc>
        <w:tc>
          <w:tcPr>
            <w:tcW w:w="400" w:type="dxa"/>
            <w:vAlign w:val="bottom"/>
            <w:tcBorders>
              <w:bottom w:val="single" w:sz="8" w:color="DCDDDE"/>
            </w:tcBorders>
          </w:tcPr>
          <w:p>
            <w:pPr>
              <w:jc w:val="right"/>
              <w:ind w:right="40"/>
              <w:spacing w:after="0"/>
              <w:rPr>
                <w:sz w:val="20"/>
                <w:szCs w:val="20"/>
                <w:color w:val="auto"/>
              </w:rPr>
            </w:pPr>
            <w:r>
              <w:rPr>
                <w:rFonts w:ascii="Arial" w:cs="Arial" w:eastAsia="Arial" w:hAnsi="Arial"/>
                <w:sz w:val="12"/>
                <w:szCs w:val="12"/>
                <w:color w:val="auto"/>
              </w:rPr>
              <w:t>(c)</w:t>
            </w:r>
          </w:p>
        </w:tc>
        <w:tc>
          <w:tcPr>
            <w:tcW w:w="6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DCDDDE"/>
            </w:tcBorders>
          </w:tcPr>
          <w:p>
            <w:pPr>
              <w:spacing w:after="0"/>
              <w:rPr>
                <w:sz w:val="18"/>
                <w:szCs w:val="18"/>
                <w:color w:val="auto"/>
              </w:rPr>
            </w:pPr>
          </w:p>
        </w:tc>
        <w:tc>
          <w:tcPr>
            <w:tcW w:w="6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8"/>
                <w:szCs w:val="18"/>
                <w:color w:val="auto"/>
              </w:rPr>
            </w:pPr>
          </w:p>
        </w:tc>
      </w:tr>
      <w:tr>
        <w:trPr>
          <w:trHeight w:val="210"/>
        </w:trPr>
        <w:tc>
          <w:tcPr>
            <w:tcW w:w="1820" w:type="dxa"/>
            <w:vAlign w:val="bottom"/>
            <w:tcBorders>
              <w:bottom w:val="single" w:sz="8" w:color="DCDDDE"/>
            </w:tcBorders>
          </w:tcPr>
          <w:p>
            <w:pPr>
              <w:ind w:left="60"/>
              <w:spacing w:after="0"/>
              <w:rPr>
                <w:sz w:val="20"/>
                <w:szCs w:val="20"/>
                <w:color w:val="auto"/>
              </w:rPr>
            </w:pPr>
            <w:r>
              <w:rPr>
                <w:rFonts w:ascii="Arial" w:cs="Arial" w:eastAsia="Arial" w:hAnsi="Arial"/>
                <w:sz w:val="14"/>
                <w:szCs w:val="14"/>
                <w:color w:val="auto"/>
              </w:rPr>
              <w:t>03/01/2022</w:t>
            </w:r>
          </w:p>
        </w:tc>
        <w:tc>
          <w:tcPr>
            <w:tcW w:w="15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685,500</w:t>
            </w:r>
          </w:p>
        </w:tc>
        <w:tc>
          <w:tcPr>
            <w:tcW w:w="300" w:type="dxa"/>
            <w:vAlign w:val="bottom"/>
            <w:tcBorders>
              <w:bottom w:val="single" w:sz="8" w:color="DCDDDE"/>
            </w:tcBorders>
          </w:tcPr>
          <w:p>
            <w:pPr>
              <w:jc w:val="right"/>
              <w:ind w:right="60"/>
              <w:spacing w:after="0"/>
              <w:rPr>
                <w:sz w:val="20"/>
                <w:szCs w:val="20"/>
                <w:color w:val="auto"/>
              </w:rPr>
            </w:pPr>
            <w:r>
              <w:rPr>
                <w:rFonts w:ascii="Arial" w:cs="Arial" w:eastAsia="Arial" w:hAnsi="Arial"/>
                <w:sz w:val="12"/>
                <w:szCs w:val="12"/>
                <w:color w:val="auto"/>
              </w:rPr>
              <w:t>(d)</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510,887</w:t>
            </w:r>
          </w:p>
        </w:tc>
        <w:tc>
          <w:tcPr>
            <w:tcW w:w="280" w:type="dxa"/>
            <w:vAlign w:val="bottom"/>
            <w:tcBorders>
              <w:bottom w:val="single" w:sz="8" w:color="DCDDDE"/>
            </w:tcBorders>
          </w:tcPr>
          <w:p>
            <w:pPr>
              <w:jc w:val="right"/>
              <w:ind w:right="20"/>
              <w:spacing w:after="0"/>
              <w:rPr>
                <w:sz w:val="20"/>
                <w:szCs w:val="20"/>
                <w:color w:val="auto"/>
              </w:rPr>
            </w:pPr>
            <w:r>
              <w:rPr>
                <w:rFonts w:ascii="Arial" w:cs="Arial" w:eastAsia="Arial" w:hAnsi="Arial"/>
                <w:sz w:val="12"/>
                <w:szCs w:val="12"/>
                <w:color w:val="auto"/>
              </w:rPr>
              <w:t>(d)</w:t>
            </w:r>
          </w:p>
        </w:tc>
        <w:tc>
          <w:tcPr>
            <w:tcW w:w="800" w:type="dxa"/>
            <w:vAlign w:val="bottom"/>
            <w:tcBorders>
              <w:bottom w:val="single" w:sz="8" w:color="DCDDDE"/>
            </w:tcBorders>
          </w:tcPr>
          <w:p>
            <w:pPr>
              <w:jc w:val="right"/>
              <w:ind w:right="108"/>
              <w:spacing w:after="0"/>
              <w:rPr>
                <w:sz w:val="20"/>
                <w:szCs w:val="20"/>
                <w:color w:val="auto"/>
              </w:rPr>
            </w:pPr>
            <w:r>
              <w:rPr>
                <w:rFonts w:ascii="Arial" w:cs="Arial" w:eastAsia="Arial" w:hAnsi="Arial"/>
                <w:sz w:val="14"/>
                <w:szCs w:val="14"/>
                <w:color w:val="auto"/>
              </w:rPr>
              <w:t>12,936</w:t>
            </w:r>
          </w:p>
        </w:tc>
        <w:tc>
          <w:tcPr>
            <w:tcW w:w="400" w:type="dxa"/>
            <w:vAlign w:val="bottom"/>
            <w:tcBorders>
              <w:bottom w:val="single" w:sz="8" w:color="DCDDDE"/>
            </w:tcBorders>
          </w:tcPr>
          <w:p>
            <w:pPr>
              <w:jc w:val="right"/>
              <w:ind w:right="40"/>
              <w:spacing w:after="0"/>
              <w:rPr>
                <w:sz w:val="20"/>
                <w:szCs w:val="20"/>
                <w:color w:val="auto"/>
              </w:rPr>
            </w:pPr>
            <w:r>
              <w:rPr>
                <w:rFonts w:ascii="Arial" w:cs="Arial" w:eastAsia="Arial" w:hAnsi="Arial"/>
                <w:sz w:val="12"/>
                <w:szCs w:val="12"/>
                <w:color w:val="auto"/>
              </w:rPr>
              <w:t>(c)</w:t>
            </w:r>
          </w:p>
        </w:tc>
        <w:tc>
          <w:tcPr>
            <w:tcW w:w="6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161,675</w:t>
            </w:r>
          </w:p>
        </w:tc>
        <w:tc>
          <w:tcPr>
            <w:tcW w:w="460" w:type="dxa"/>
            <w:vAlign w:val="bottom"/>
            <w:tcBorders>
              <w:bottom w:val="single" w:sz="8" w:color="DCDDDE"/>
            </w:tcBorders>
          </w:tcPr>
          <w:p>
            <w:pPr>
              <w:jc w:val="right"/>
              <w:ind w:right="37"/>
              <w:spacing w:after="0"/>
              <w:rPr>
                <w:sz w:val="20"/>
                <w:szCs w:val="20"/>
                <w:color w:val="auto"/>
              </w:rPr>
            </w:pPr>
            <w:r>
              <w:rPr>
                <w:rFonts w:ascii="Arial" w:cs="Arial" w:eastAsia="Arial" w:hAnsi="Arial"/>
                <w:sz w:val="12"/>
                <w:szCs w:val="12"/>
                <w:color w:val="auto"/>
              </w:rPr>
              <w:t>(d)</w:t>
            </w:r>
          </w:p>
        </w:tc>
        <w:tc>
          <w:tcPr>
            <w:tcW w:w="6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7,761</w:t>
            </w:r>
          </w:p>
        </w:tc>
        <w:tc>
          <w:tcPr>
            <w:tcW w:w="320" w:type="dxa"/>
            <w:vAlign w:val="bottom"/>
            <w:tcBorders>
              <w:bottom w:val="single" w:sz="8" w:color="DCDDDE"/>
            </w:tcBorders>
          </w:tcPr>
          <w:p>
            <w:pPr>
              <w:jc w:val="right"/>
              <w:ind w:right="20"/>
              <w:spacing w:after="0"/>
              <w:rPr>
                <w:sz w:val="20"/>
                <w:szCs w:val="20"/>
                <w:color w:val="auto"/>
              </w:rPr>
            </w:pPr>
            <w:r>
              <w:rPr>
                <w:rFonts w:ascii="Arial" w:cs="Arial" w:eastAsia="Arial" w:hAnsi="Arial"/>
                <w:sz w:val="12"/>
                <w:szCs w:val="12"/>
                <w:color w:val="auto"/>
              </w:rPr>
              <w:t>(c)</w:t>
            </w:r>
          </w:p>
        </w:tc>
      </w:tr>
      <w:tr>
        <w:trPr>
          <w:trHeight w:val="209"/>
        </w:trPr>
        <w:tc>
          <w:tcPr>
            <w:tcW w:w="1820" w:type="dxa"/>
            <w:vAlign w:val="bottom"/>
            <w:tcBorders>
              <w:bottom w:val="single" w:sz="8" w:color="DCDDDE"/>
            </w:tcBorders>
          </w:tcPr>
          <w:p>
            <w:pPr>
              <w:ind w:left="60"/>
              <w:spacing w:after="0"/>
              <w:rPr>
                <w:sz w:val="20"/>
                <w:szCs w:val="20"/>
                <w:color w:val="auto"/>
              </w:rPr>
            </w:pPr>
            <w:r>
              <w:rPr>
                <w:rFonts w:ascii="Arial" w:cs="Arial" w:eastAsia="Arial" w:hAnsi="Arial"/>
                <w:sz w:val="14"/>
                <w:szCs w:val="14"/>
                <w:color w:val="auto"/>
              </w:rPr>
              <w:t>03/01/2023</w:t>
            </w:r>
          </w:p>
        </w:tc>
        <w:tc>
          <w:tcPr>
            <w:tcW w:w="15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941,862</w:t>
            </w:r>
          </w:p>
        </w:tc>
        <w:tc>
          <w:tcPr>
            <w:tcW w:w="300" w:type="dxa"/>
            <w:vAlign w:val="bottom"/>
            <w:tcBorders>
              <w:bottom w:val="single" w:sz="8" w:color="DCDDDE"/>
            </w:tcBorders>
          </w:tcPr>
          <w:p>
            <w:pPr>
              <w:jc w:val="right"/>
              <w:ind w:right="60"/>
              <w:spacing w:after="0"/>
              <w:rPr>
                <w:sz w:val="20"/>
                <w:szCs w:val="20"/>
                <w:color w:val="auto"/>
              </w:rPr>
            </w:pPr>
            <w:r>
              <w:rPr>
                <w:rFonts w:ascii="Arial" w:cs="Arial" w:eastAsia="Arial" w:hAnsi="Arial"/>
                <w:sz w:val="12"/>
                <w:szCs w:val="12"/>
                <w:color w:val="auto"/>
              </w:rPr>
              <w:t>(e)</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716,637</w:t>
            </w:r>
          </w:p>
        </w:tc>
        <w:tc>
          <w:tcPr>
            <w:tcW w:w="280" w:type="dxa"/>
            <w:vAlign w:val="bottom"/>
            <w:tcBorders>
              <w:bottom w:val="single" w:sz="8" w:color="DCDDDE"/>
            </w:tcBorders>
          </w:tcPr>
          <w:p>
            <w:pPr>
              <w:jc w:val="right"/>
              <w:ind w:right="20"/>
              <w:spacing w:after="0"/>
              <w:rPr>
                <w:sz w:val="20"/>
                <w:szCs w:val="20"/>
                <w:color w:val="auto"/>
              </w:rPr>
            </w:pPr>
            <w:r>
              <w:rPr>
                <w:rFonts w:ascii="Arial" w:cs="Arial" w:eastAsia="Arial" w:hAnsi="Arial"/>
                <w:sz w:val="12"/>
                <w:szCs w:val="12"/>
                <w:color w:val="auto"/>
              </w:rPr>
              <w:t>(e)</w:t>
            </w:r>
          </w:p>
        </w:tc>
        <w:tc>
          <w:tcPr>
            <w:tcW w:w="800" w:type="dxa"/>
            <w:vAlign w:val="bottom"/>
            <w:tcBorders>
              <w:bottom w:val="single" w:sz="8" w:color="DCDDDE"/>
            </w:tcBorders>
          </w:tcPr>
          <w:p>
            <w:pPr>
              <w:jc w:val="right"/>
              <w:ind w:right="108"/>
              <w:spacing w:after="0"/>
              <w:rPr>
                <w:sz w:val="20"/>
                <w:szCs w:val="20"/>
                <w:color w:val="auto"/>
              </w:rPr>
            </w:pPr>
            <w:r>
              <w:rPr>
                <w:rFonts w:ascii="Arial" w:cs="Arial" w:eastAsia="Arial" w:hAnsi="Arial"/>
                <w:sz w:val="14"/>
                <w:szCs w:val="14"/>
                <w:color w:val="auto"/>
              </w:rPr>
              <w:t>204,762</w:t>
            </w:r>
          </w:p>
        </w:tc>
        <w:tc>
          <w:tcPr>
            <w:tcW w:w="400" w:type="dxa"/>
            <w:vAlign w:val="bottom"/>
            <w:tcBorders>
              <w:bottom w:val="single" w:sz="8" w:color="DCDDDE"/>
            </w:tcBorders>
          </w:tcPr>
          <w:p>
            <w:pPr>
              <w:jc w:val="right"/>
              <w:ind w:right="40"/>
              <w:spacing w:after="0"/>
              <w:rPr>
                <w:sz w:val="20"/>
                <w:szCs w:val="20"/>
                <w:color w:val="auto"/>
              </w:rPr>
            </w:pPr>
            <w:r>
              <w:rPr>
                <w:rFonts w:ascii="Arial" w:cs="Arial" w:eastAsia="Arial" w:hAnsi="Arial"/>
                <w:sz w:val="12"/>
                <w:szCs w:val="12"/>
                <w:color w:val="auto"/>
              </w:rPr>
              <w:t>(e)</w:t>
            </w:r>
          </w:p>
        </w:tc>
        <w:tc>
          <w:tcPr>
            <w:tcW w:w="6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204,762</w:t>
            </w:r>
          </w:p>
        </w:tc>
        <w:tc>
          <w:tcPr>
            <w:tcW w:w="460" w:type="dxa"/>
            <w:vAlign w:val="bottom"/>
            <w:tcBorders>
              <w:bottom w:val="single" w:sz="8" w:color="DCDDDE"/>
            </w:tcBorders>
          </w:tcPr>
          <w:p>
            <w:pPr>
              <w:jc w:val="right"/>
              <w:ind w:right="37"/>
              <w:spacing w:after="0"/>
              <w:rPr>
                <w:sz w:val="20"/>
                <w:szCs w:val="20"/>
                <w:color w:val="auto"/>
              </w:rPr>
            </w:pPr>
            <w:r>
              <w:rPr>
                <w:rFonts w:ascii="Arial" w:cs="Arial" w:eastAsia="Arial" w:hAnsi="Arial"/>
                <w:sz w:val="12"/>
                <w:szCs w:val="12"/>
                <w:color w:val="auto"/>
              </w:rPr>
              <w:t>(e)</w:t>
            </w:r>
          </w:p>
        </w:tc>
        <w:tc>
          <w:tcPr>
            <w:tcW w:w="6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61,437</w:t>
            </w:r>
          </w:p>
        </w:tc>
        <w:tc>
          <w:tcPr>
            <w:tcW w:w="320" w:type="dxa"/>
            <w:vAlign w:val="bottom"/>
            <w:tcBorders>
              <w:bottom w:val="single" w:sz="8" w:color="DCDDDE"/>
            </w:tcBorders>
          </w:tcPr>
          <w:p>
            <w:pPr>
              <w:jc w:val="right"/>
              <w:ind w:right="20"/>
              <w:spacing w:after="0"/>
              <w:rPr>
                <w:sz w:val="20"/>
                <w:szCs w:val="20"/>
                <w:color w:val="auto"/>
              </w:rPr>
            </w:pPr>
            <w:r>
              <w:rPr>
                <w:rFonts w:ascii="Arial" w:cs="Arial" w:eastAsia="Arial" w:hAnsi="Arial"/>
                <w:sz w:val="12"/>
                <w:szCs w:val="12"/>
                <w:color w:val="auto"/>
              </w:rPr>
              <w:t>(e)</w:t>
            </w:r>
          </w:p>
        </w:tc>
      </w:tr>
      <w:tr>
        <w:trPr>
          <w:trHeight w:val="210"/>
        </w:trPr>
        <w:tc>
          <w:tcPr>
            <w:tcW w:w="18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03/01/2024</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1,007,600</w:t>
            </w: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(f)</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766,650</w:t>
            </w:r>
          </w:p>
        </w:tc>
        <w:tc>
          <w:tcPr>
            <w:tcW w:w="2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(f)</w:t>
            </w: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372,375</w:t>
            </w: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(f)</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300,100</w:t>
            </w: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2"/>
                <w:szCs w:val="12"/>
                <w:color w:val="auto"/>
              </w:rPr>
              <w:t>(f)</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65,725</w:t>
            </w:r>
          </w:p>
        </w:tc>
        <w:tc>
          <w:tcPr>
            <w:tcW w:w="3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(f)</w:t>
            </w:r>
          </w:p>
        </w:tc>
      </w:tr>
    </w:tbl>
    <w:p>
      <w:pPr>
        <w:spacing w:after="0" w:line="91" w:lineRule="exact"/>
        <w:rPr>
          <w:sz w:val="20"/>
          <w:szCs w:val="20"/>
          <w:color w:val="auto"/>
        </w:rPr>
      </w:pPr>
    </w:p>
    <w:p>
      <w:pPr>
        <w:ind w:left="580" w:right="60" w:hanging="302"/>
        <w:spacing w:after="0" w:line="264" w:lineRule="auto"/>
        <w:tabs>
          <w:tab w:leader="none" w:pos="580" w:val="left"/>
        </w:tabs>
        <w:numPr>
          <w:ilvl w:val="0"/>
          <w:numId w:val="83"/>
        </w:numPr>
        <w:rPr>
          <w:rFonts w:ascii="Arial" w:cs="Arial" w:eastAsia="Arial" w:hAnsi="Arial"/>
          <w:sz w:val="13"/>
          <w:szCs w:val="13"/>
          <w:color w:val="auto"/>
        </w:rPr>
      </w:pPr>
      <w:r>
        <w:rPr>
          <w:rFonts w:ascii="Arial" w:cs="Arial" w:eastAsia="Arial" w:hAnsi="Arial"/>
          <w:sz w:val="15"/>
          <w:szCs w:val="15"/>
          <w:color w:val="auto"/>
        </w:rPr>
        <w:t>Except as otherwise described in footnotes below, all stock units granted as of the respective grant date had the following vesting schedule: 15%, 15%, 15%, 15% and 40% on the 13-month, second, third, fourth and fifth anniversaries of the grant date, respectively.</w:t>
      </w:r>
    </w:p>
    <w:p>
      <w:pPr>
        <w:spacing w:after="0" w:line="227" w:lineRule="exact"/>
        <w:rPr>
          <w:sz w:val="20"/>
          <w:szCs w:val="20"/>
          <w:color w:val="auto"/>
        </w:rPr>
      </w:pPr>
    </w:p>
    <w:p>
      <w:pPr>
        <w:ind w:left="400" w:hanging="392"/>
        <w:spacing w:after="0"/>
        <w:tabs>
          <w:tab w:leader="none" w:pos="400"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2" w:lineRule="exact"/>
        <w:rPr>
          <w:sz w:val="20"/>
          <w:szCs w:val="20"/>
          <w:color w:val="auto"/>
        </w:rPr>
      </w:pPr>
    </w:p>
    <w:p>
      <w:pPr>
        <w:ind w:left="580" w:right="100" w:hanging="302"/>
        <w:spacing w:after="0" w:line="264" w:lineRule="auto"/>
        <w:tabs>
          <w:tab w:leader="none" w:pos="580" w:val="left"/>
        </w:tabs>
        <w:numPr>
          <w:ilvl w:val="0"/>
          <w:numId w:val="85"/>
        </w:numPr>
        <w:rPr>
          <w:rFonts w:ascii="Arial" w:cs="Arial" w:eastAsia="Arial" w:hAnsi="Arial"/>
          <w:sz w:val="13"/>
          <w:szCs w:val="13"/>
          <w:color w:val="auto"/>
        </w:rPr>
      </w:pPr>
      <w:r>
        <w:rPr>
          <w:rFonts w:ascii="Arial" w:cs="Arial" w:eastAsia="Arial" w:hAnsi="Arial"/>
          <w:sz w:val="15"/>
          <w:szCs w:val="15"/>
          <w:color w:val="auto"/>
        </w:rPr>
        <w:t>Reflects the number of shares underlying PSUs that, as of December 31, 2024, had been achieved following attainment of the performance condition, which resulted in all remaining tranches vesting at the maximum of 125% of the award.</w:t>
      </w:r>
    </w:p>
    <w:p>
      <w:pPr>
        <w:spacing w:after="0" w:line="12" w:lineRule="exact"/>
        <w:rPr>
          <w:rFonts w:ascii="Arial" w:cs="Arial" w:eastAsia="Arial" w:hAnsi="Arial"/>
          <w:sz w:val="13"/>
          <w:szCs w:val="13"/>
          <w:color w:val="auto"/>
        </w:rPr>
      </w:pPr>
    </w:p>
    <w:p>
      <w:pPr>
        <w:ind w:left="580" w:right="480" w:hanging="302"/>
        <w:spacing w:after="0" w:line="264" w:lineRule="auto"/>
        <w:tabs>
          <w:tab w:leader="none" w:pos="580" w:val="left"/>
        </w:tabs>
        <w:numPr>
          <w:ilvl w:val="0"/>
          <w:numId w:val="85"/>
        </w:numPr>
        <w:rPr>
          <w:rFonts w:ascii="Arial" w:cs="Arial" w:eastAsia="Arial" w:hAnsi="Arial"/>
          <w:sz w:val="13"/>
          <w:szCs w:val="13"/>
          <w:color w:val="auto"/>
        </w:rPr>
      </w:pPr>
      <w:r>
        <w:rPr>
          <w:rFonts w:ascii="Arial" w:cs="Arial" w:eastAsia="Arial" w:hAnsi="Arial"/>
          <w:sz w:val="15"/>
          <w:szCs w:val="15"/>
          <w:color w:val="auto"/>
        </w:rPr>
        <w:t>The stock units granted as of the respective grant date had the following vesting schedule: 20% on each of the 13-month, second, third, fourth and fifth anniversaries of the grant date.</w:t>
      </w:r>
    </w:p>
    <w:p>
      <w:pPr>
        <w:spacing w:after="0" w:line="12" w:lineRule="exact"/>
        <w:rPr>
          <w:rFonts w:ascii="Arial" w:cs="Arial" w:eastAsia="Arial" w:hAnsi="Arial"/>
          <w:sz w:val="13"/>
          <w:szCs w:val="13"/>
          <w:color w:val="auto"/>
        </w:rPr>
      </w:pPr>
    </w:p>
    <w:p>
      <w:pPr>
        <w:jc w:val="both"/>
        <w:ind w:left="580" w:right="600" w:hanging="302"/>
        <w:spacing w:after="0" w:line="244" w:lineRule="auto"/>
        <w:tabs>
          <w:tab w:leader="none" w:pos="580" w:val="left"/>
        </w:tabs>
        <w:numPr>
          <w:ilvl w:val="0"/>
          <w:numId w:val="85"/>
        </w:numPr>
        <w:rPr>
          <w:rFonts w:ascii="Arial" w:cs="Arial" w:eastAsia="Arial" w:hAnsi="Arial"/>
          <w:sz w:val="13"/>
          <w:szCs w:val="13"/>
          <w:color w:val="auto"/>
        </w:rPr>
      </w:pPr>
      <w:r>
        <w:rPr>
          <w:rFonts w:ascii="Arial" w:cs="Arial" w:eastAsia="Arial" w:hAnsi="Arial"/>
          <w:sz w:val="15"/>
          <w:szCs w:val="15"/>
          <w:color w:val="auto"/>
        </w:rPr>
        <w:t>Reflects the number of shares underlying PSUs that, as of December 31, 2024, may be achieved assuming maximum attainment of the performance condition, which would result in 250% vesting of the award. The Compensation Committee certified actual performance achievement of the PSUs on February 25, 2025 which resulted in 143% vesting of the award. The PSUs vested 100% on the three-year anniversary of the date of grant.</w:t>
      </w:r>
    </w:p>
    <w:p>
      <w:pPr>
        <w:spacing w:after="0" w:line="27" w:lineRule="exact"/>
        <w:rPr>
          <w:rFonts w:ascii="Arial" w:cs="Arial" w:eastAsia="Arial" w:hAnsi="Arial"/>
          <w:sz w:val="13"/>
          <w:szCs w:val="13"/>
          <w:color w:val="auto"/>
        </w:rPr>
      </w:pPr>
    </w:p>
    <w:p>
      <w:pPr>
        <w:ind w:left="580" w:right="180" w:hanging="302"/>
        <w:spacing w:after="0" w:line="244" w:lineRule="auto"/>
        <w:tabs>
          <w:tab w:leader="none" w:pos="580" w:val="left"/>
        </w:tabs>
        <w:numPr>
          <w:ilvl w:val="0"/>
          <w:numId w:val="85"/>
        </w:numPr>
        <w:rPr>
          <w:rFonts w:ascii="Arial" w:cs="Arial" w:eastAsia="Arial" w:hAnsi="Arial"/>
          <w:sz w:val="13"/>
          <w:szCs w:val="13"/>
          <w:color w:val="auto"/>
        </w:rPr>
      </w:pPr>
      <w:r>
        <w:rPr>
          <w:rFonts w:ascii="Arial" w:cs="Arial" w:eastAsia="Arial" w:hAnsi="Arial"/>
          <w:sz w:val="15"/>
          <w:szCs w:val="15"/>
          <w:color w:val="auto"/>
        </w:rPr>
        <w:t>Reflects the number of shares underlying PSUs that, as of December 31, 2024, may be achieved assuming maximum attainment of the performance condition, which would result in 250% vesting of the award. The Compensation Committee will certify actual performance achievement of the PSUs in early 2026. The PSUs vest 100% on the three-year anniversary of the date of grant.</w:t>
      </w:r>
    </w:p>
    <w:p>
      <w:pPr>
        <w:spacing w:after="0" w:line="27" w:lineRule="exact"/>
        <w:rPr>
          <w:rFonts w:ascii="Arial" w:cs="Arial" w:eastAsia="Arial" w:hAnsi="Arial"/>
          <w:sz w:val="13"/>
          <w:szCs w:val="13"/>
          <w:color w:val="auto"/>
        </w:rPr>
      </w:pPr>
    </w:p>
    <w:p>
      <w:pPr>
        <w:ind w:left="580" w:right="180" w:hanging="302"/>
        <w:spacing w:after="0" w:line="244" w:lineRule="auto"/>
        <w:tabs>
          <w:tab w:leader="none" w:pos="580" w:val="left"/>
        </w:tabs>
        <w:numPr>
          <w:ilvl w:val="0"/>
          <w:numId w:val="85"/>
        </w:numPr>
        <w:rPr>
          <w:rFonts w:ascii="Arial" w:cs="Arial" w:eastAsia="Arial" w:hAnsi="Arial"/>
          <w:sz w:val="13"/>
          <w:szCs w:val="13"/>
          <w:color w:val="auto"/>
        </w:rPr>
      </w:pPr>
      <w:r>
        <w:rPr>
          <w:rFonts w:ascii="Arial" w:cs="Arial" w:eastAsia="Arial" w:hAnsi="Arial"/>
          <w:sz w:val="15"/>
          <w:szCs w:val="15"/>
          <w:color w:val="auto"/>
        </w:rPr>
        <w:t>Reflects the number of shares underlying PSUs that, as of December 31, 2024, may be achieved assuming maximum attainment of the performance condition, which would result in 250% vesting of the award. The Compensation Committee will certify actual performance achievement of the PSUs in early 2027. The PSUs as of the grant date had the following vesting schedule: 100% vests on the 3-year anniversary of the date of grant.</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auto"/>
        </w:rPr>
        <w:t>Option Exercises and Stock Vested</w:t>
      </w:r>
    </w:p>
    <w:p>
      <w:pPr>
        <w:spacing w:after="0" w:line="226"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color w:val="auto"/>
        </w:rPr>
        <w:t>The following table provides information, for each of our NEOs, on the number of options exercised and the value realized upon such exercise, and the number of shares of Class A common stock resulting from the vesting of stock awards and the value realized before payment of any applicable withholding tax during 2024.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20" w:type="dxa"/>
            <w:vAlign w:val="bottom"/>
          </w:tcPr>
          <w:p>
            <w:pPr>
              <w:spacing w:after="0"/>
              <w:rPr>
                <w:sz w:val="17"/>
                <w:szCs w:val="17"/>
                <w:color w:val="auto"/>
              </w:rPr>
            </w:pPr>
          </w:p>
        </w:tc>
        <w:tc>
          <w:tcPr>
            <w:tcW w:w="22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Pr>
          <w:p>
            <w:pPr>
              <w:spacing w:after="0"/>
              <w:rPr>
                <w:sz w:val="17"/>
                <w:szCs w:val="17"/>
                <w:color w:val="auto"/>
              </w:rPr>
            </w:pPr>
          </w:p>
        </w:tc>
        <w:tc>
          <w:tcPr>
            <w:tcW w:w="234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STOCK AWARDS</w:t>
            </w:r>
          </w:p>
        </w:tc>
      </w:tr>
      <w:tr>
        <w:trPr>
          <w:trHeight w:val="174"/>
        </w:trPr>
        <w:tc>
          <w:tcPr>
            <w:tcW w:w="65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NUMBER OF</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VALUE</w:t>
            </w:r>
          </w:p>
        </w:tc>
        <w:tc>
          <w:tcPr>
            <w:tcW w:w="12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NUMBER OF</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VALUE</w:t>
            </w:r>
          </w:p>
        </w:tc>
      </w:tr>
      <w:tr>
        <w:trPr>
          <w:trHeight w:val="162"/>
        </w:trPr>
        <w:tc>
          <w:tcPr>
            <w:tcW w:w="652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REALIZED ON</w:t>
            </w:r>
          </w:p>
        </w:tc>
        <w:tc>
          <w:tcPr>
            <w:tcW w:w="12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SHARES</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REALIZED ON</w:t>
            </w:r>
          </w:p>
        </w:tc>
      </w:tr>
      <w:tr>
        <w:trPr>
          <w:trHeight w:val="162"/>
        </w:trPr>
        <w:tc>
          <w:tcPr>
            <w:tcW w:w="652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ACQUIRED ON</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EXERCISE</w:t>
            </w:r>
          </w:p>
        </w:tc>
        <w:tc>
          <w:tcPr>
            <w:tcW w:w="12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ACQUIRED</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VESTING</w:t>
            </w:r>
          </w:p>
        </w:tc>
      </w:tr>
      <w:tr>
        <w:trPr>
          <w:trHeight w:val="197"/>
        </w:trPr>
        <w:tc>
          <w:tcPr>
            <w:tcW w:w="6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EXERCISE</w:t>
            </w:r>
          </w:p>
        </w:tc>
        <w:tc>
          <w:tcPr>
            <w:tcW w:w="1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ON VESTING</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r>
      <w:tr>
        <w:trPr>
          <w:trHeight w:val="237"/>
        </w:trPr>
        <w:tc>
          <w:tcPr>
            <w:tcW w:w="652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Brian L. Roberts</w:t>
            </w:r>
          </w:p>
        </w:tc>
        <w:tc>
          <w:tcPr>
            <w:tcW w:w="1120" w:type="dxa"/>
            <w:vAlign w:val="bottom"/>
            <w:tcBorders>
              <w:bottom w:val="single" w:sz="8" w:color="DCDDDE"/>
            </w:tcBorders>
          </w:tcPr>
          <w:p>
            <w:pPr>
              <w:jc w:val="right"/>
              <w:ind w:right="28"/>
              <w:spacing w:after="0"/>
              <w:rPr>
                <w:sz w:val="20"/>
                <w:szCs w:val="20"/>
                <w:color w:val="auto"/>
              </w:rPr>
            </w:pPr>
            <w:r>
              <w:rPr>
                <w:rFonts w:ascii="Arial" w:cs="Arial" w:eastAsia="Arial" w:hAnsi="Arial"/>
                <w:sz w:val="14"/>
                <w:szCs w:val="14"/>
                <w:color w:val="auto"/>
              </w:rPr>
              <w:t>965,000</w:t>
            </w:r>
          </w:p>
        </w:tc>
        <w:tc>
          <w:tcPr>
            <w:tcW w:w="1260" w:type="dxa"/>
            <w:vAlign w:val="bottom"/>
            <w:tcBorders>
              <w:bottom w:val="single" w:sz="8" w:color="DCDDDE"/>
            </w:tcBorders>
            <w:gridSpan w:val="2"/>
          </w:tcPr>
          <w:p>
            <w:pPr>
              <w:jc w:val="right"/>
              <w:ind w:right="180"/>
              <w:spacing w:after="0"/>
              <w:rPr>
                <w:sz w:val="20"/>
                <w:szCs w:val="20"/>
                <w:color w:val="auto"/>
              </w:rPr>
            </w:pPr>
            <w:r>
              <w:rPr>
                <w:rFonts w:ascii="Arial" w:cs="Arial" w:eastAsia="Arial" w:hAnsi="Arial"/>
                <w:sz w:val="14"/>
                <w:szCs w:val="14"/>
                <w:color w:val="auto"/>
              </w:rPr>
              <w:t>20,651,000</w:t>
            </w:r>
          </w:p>
        </w:tc>
        <w:tc>
          <w:tcPr>
            <w:tcW w:w="7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418,990</w:t>
            </w:r>
          </w:p>
        </w:tc>
        <w:tc>
          <w:tcPr>
            <w:tcW w:w="500" w:type="dxa"/>
            <w:vAlign w:val="bottom"/>
            <w:tcBorders>
              <w:bottom w:val="single" w:sz="8" w:color="DCDDDE"/>
            </w:tcBorders>
          </w:tcPr>
          <w:p>
            <w:pPr>
              <w:jc w:val="right"/>
              <w:ind w:right="260"/>
              <w:spacing w:after="0"/>
              <w:rPr>
                <w:sz w:val="20"/>
                <w:szCs w:val="20"/>
                <w:color w:val="auto"/>
              </w:rPr>
            </w:pPr>
            <w:r>
              <w:rPr>
                <w:rFonts w:ascii="Arial" w:cs="Arial" w:eastAsia="Arial" w:hAnsi="Arial"/>
                <w:sz w:val="12"/>
                <w:szCs w:val="12"/>
                <w:color w:val="auto"/>
              </w:rPr>
              <w:t>(1)</w:t>
            </w:r>
          </w:p>
        </w:tc>
        <w:tc>
          <w:tcPr>
            <w:tcW w:w="114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17,930,789</w:t>
            </w:r>
          </w:p>
        </w:tc>
      </w:tr>
      <w:tr>
        <w:trPr>
          <w:trHeight w:val="210"/>
        </w:trPr>
        <w:tc>
          <w:tcPr>
            <w:tcW w:w="652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Michael J. Cavanagh</w:t>
            </w:r>
          </w:p>
        </w:tc>
        <w:tc>
          <w:tcPr>
            <w:tcW w:w="1120" w:type="dxa"/>
            <w:vAlign w:val="bottom"/>
            <w:tcBorders>
              <w:bottom w:val="single" w:sz="8" w:color="DCDDDE"/>
            </w:tcBorders>
          </w:tcPr>
          <w:p>
            <w:pPr>
              <w:jc w:val="right"/>
              <w:ind w:right="28"/>
              <w:spacing w:after="0"/>
              <w:rPr>
                <w:sz w:val="20"/>
                <w:szCs w:val="20"/>
                <w:color w:val="auto"/>
              </w:rPr>
            </w:pPr>
            <w:r>
              <w:rPr>
                <w:rFonts w:ascii="Arial" w:cs="Arial" w:eastAsia="Arial" w:hAnsi="Arial"/>
                <w:sz w:val="14"/>
                <w:szCs w:val="14"/>
                <w:color w:val="auto"/>
              </w:rPr>
              <w:t>714,960</w:t>
            </w:r>
          </w:p>
        </w:tc>
        <w:tc>
          <w:tcPr>
            <w:tcW w:w="1260" w:type="dxa"/>
            <w:vAlign w:val="bottom"/>
            <w:tcBorders>
              <w:bottom w:val="single" w:sz="8" w:color="DCDDDE"/>
            </w:tcBorders>
            <w:gridSpan w:val="2"/>
          </w:tcPr>
          <w:p>
            <w:pPr>
              <w:jc w:val="right"/>
              <w:ind w:right="180"/>
              <w:spacing w:after="0"/>
              <w:rPr>
                <w:sz w:val="20"/>
                <w:szCs w:val="20"/>
                <w:color w:val="auto"/>
              </w:rPr>
            </w:pPr>
            <w:r>
              <w:rPr>
                <w:rFonts w:ascii="Arial" w:cs="Arial" w:eastAsia="Arial" w:hAnsi="Arial"/>
                <w:sz w:val="14"/>
                <w:szCs w:val="14"/>
                <w:color w:val="auto"/>
              </w:rPr>
              <w:t>10,195,190</w:t>
            </w:r>
          </w:p>
        </w:tc>
        <w:tc>
          <w:tcPr>
            <w:tcW w:w="7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342,689</w:t>
            </w:r>
          </w:p>
        </w:tc>
        <w:tc>
          <w:tcPr>
            <w:tcW w:w="500" w:type="dxa"/>
            <w:vAlign w:val="bottom"/>
            <w:tcBorders>
              <w:bottom w:val="single" w:sz="8" w:color="DCDDDE"/>
            </w:tcBorders>
          </w:tcPr>
          <w:p>
            <w:pPr>
              <w:spacing w:after="0"/>
              <w:rPr>
                <w:sz w:val="18"/>
                <w:szCs w:val="18"/>
                <w:color w:val="auto"/>
              </w:rPr>
            </w:pPr>
          </w:p>
        </w:tc>
        <w:tc>
          <w:tcPr>
            <w:tcW w:w="114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14,664,587</w:t>
            </w:r>
          </w:p>
        </w:tc>
      </w:tr>
      <w:tr>
        <w:trPr>
          <w:trHeight w:val="209"/>
        </w:trPr>
        <w:tc>
          <w:tcPr>
            <w:tcW w:w="652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Jason S. Armstrong</w:t>
            </w:r>
          </w:p>
        </w:tc>
        <w:tc>
          <w:tcPr>
            <w:tcW w:w="1120" w:type="dxa"/>
            <w:vAlign w:val="bottom"/>
            <w:tcBorders>
              <w:bottom w:val="single" w:sz="8" w:color="DCDDDE"/>
            </w:tcBorders>
          </w:tcPr>
          <w:p>
            <w:pPr>
              <w:jc w:val="right"/>
              <w:ind w:right="28"/>
              <w:spacing w:after="0"/>
              <w:rPr>
                <w:sz w:val="20"/>
                <w:szCs w:val="20"/>
                <w:color w:val="auto"/>
              </w:rPr>
            </w:pPr>
            <w:r>
              <w:rPr>
                <w:rFonts w:ascii="Arial" w:cs="Arial" w:eastAsia="Arial" w:hAnsi="Arial"/>
                <w:sz w:val="14"/>
                <w:szCs w:val="14"/>
                <w:color w:val="auto"/>
              </w:rPr>
              <w:t>68,200</w:t>
            </w:r>
          </w:p>
        </w:tc>
        <w:tc>
          <w:tcPr>
            <w:tcW w:w="1260" w:type="dxa"/>
            <w:vAlign w:val="bottom"/>
            <w:tcBorders>
              <w:bottom w:val="single" w:sz="8" w:color="DCDDDE"/>
            </w:tcBorders>
            <w:gridSpan w:val="2"/>
          </w:tcPr>
          <w:p>
            <w:pPr>
              <w:jc w:val="right"/>
              <w:ind w:right="180"/>
              <w:spacing w:after="0"/>
              <w:rPr>
                <w:sz w:val="20"/>
                <w:szCs w:val="20"/>
                <w:color w:val="auto"/>
              </w:rPr>
            </w:pPr>
            <w:r>
              <w:rPr>
                <w:rFonts w:ascii="Arial" w:cs="Arial" w:eastAsia="Arial" w:hAnsi="Arial"/>
                <w:sz w:val="14"/>
                <w:szCs w:val="14"/>
                <w:color w:val="auto"/>
              </w:rPr>
              <w:t>1,032,207</w:t>
            </w:r>
          </w:p>
        </w:tc>
        <w:tc>
          <w:tcPr>
            <w:tcW w:w="7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35,014</w:t>
            </w:r>
          </w:p>
        </w:tc>
        <w:tc>
          <w:tcPr>
            <w:tcW w:w="500" w:type="dxa"/>
            <w:vAlign w:val="bottom"/>
            <w:tcBorders>
              <w:bottom w:val="single" w:sz="8" w:color="DCDDDE"/>
            </w:tcBorders>
          </w:tcPr>
          <w:p>
            <w:pPr>
              <w:spacing w:after="0"/>
              <w:rPr>
                <w:sz w:val="18"/>
                <w:szCs w:val="18"/>
                <w:color w:val="auto"/>
              </w:rPr>
            </w:pPr>
          </w:p>
        </w:tc>
        <w:tc>
          <w:tcPr>
            <w:tcW w:w="114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1,480,586</w:t>
            </w:r>
          </w:p>
        </w:tc>
      </w:tr>
      <w:tr>
        <w:trPr>
          <w:trHeight w:val="236"/>
        </w:trPr>
        <w:tc>
          <w:tcPr>
            <w:tcW w:w="652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Thomas J. Reid</w:t>
            </w:r>
          </w:p>
        </w:tc>
        <w:tc>
          <w:tcPr>
            <w:tcW w:w="1120" w:type="dxa"/>
            <w:vAlign w:val="bottom"/>
            <w:tcBorders>
              <w:bottom w:val="single" w:sz="8" w:color="DCDDDE"/>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CDDDE"/>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111,316</w:t>
            </w:r>
          </w:p>
        </w:tc>
        <w:tc>
          <w:tcPr>
            <w:tcW w:w="500" w:type="dxa"/>
            <w:vAlign w:val="bottom"/>
            <w:tcBorders>
              <w:bottom w:val="single" w:sz="8" w:color="DCDDDE"/>
            </w:tcBorders>
          </w:tcPr>
          <w:p>
            <w:pPr>
              <w:jc w:val="right"/>
              <w:ind w:right="260"/>
              <w:spacing w:after="0"/>
              <w:rPr>
                <w:sz w:val="20"/>
                <w:szCs w:val="20"/>
                <w:color w:val="auto"/>
              </w:rPr>
            </w:pPr>
            <w:r>
              <w:rPr>
                <w:rFonts w:ascii="Arial" w:cs="Arial" w:eastAsia="Arial" w:hAnsi="Arial"/>
                <w:sz w:val="12"/>
                <w:szCs w:val="12"/>
                <w:color w:val="auto"/>
              </w:rPr>
              <w:t>(1)</w:t>
            </w:r>
          </w:p>
        </w:tc>
        <w:tc>
          <w:tcPr>
            <w:tcW w:w="114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4,610,197</w:t>
            </w:r>
          </w:p>
        </w:tc>
      </w:tr>
      <w:tr>
        <w:trPr>
          <w:trHeight w:val="210"/>
        </w:trPr>
        <w:tc>
          <w:tcPr>
            <w:tcW w:w="6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Jennifer Khoury</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18,693</w:t>
            </w: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778,542</w:t>
            </w:r>
          </w:p>
        </w:tc>
      </w:tr>
    </w:tbl>
    <w:p>
      <w:pPr>
        <w:spacing w:after="0" w:line="91" w:lineRule="exact"/>
        <w:rPr>
          <w:sz w:val="20"/>
          <w:szCs w:val="20"/>
          <w:color w:val="auto"/>
        </w:rPr>
      </w:pPr>
    </w:p>
    <w:p>
      <w:pPr>
        <w:ind w:left="320" w:right="40" w:hanging="312"/>
        <w:spacing w:after="0" w:line="236" w:lineRule="auto"/>
        <w:tabs>
          <w:tab w:leader="none" w:pos="320" w:val="left"/>
        </w:tabs>
        <w:numPr>
          <w:ilvl w:val="0"/>
          <w:numId w:val="86"/>
        </w:numPr>
        <w:rPr>
          <w:rFonts w:ascii="Arial" w:cs="Arial" w:eastAsia="Arial" w:hAnsi="Arial"/>
          <w:sz w:val="13"/>
          <w:szCs w:val="13"/>
          <w:color w:val="auto"/>
        </w:rPr>
      </w:pPr>
      <w:r>
        <w:rPr>
          <w:rFonts w:ascii="Arial" w:cs="Arial" w:eastAsia="Arial" w:hAnsi="Arial"/>
          <w:sz w:val="15"/>
          <w:szCs w:val="15"/>
          <w:color w:val="auto"/>
        </w:rPr>
        <w:t>Mr. Roberts deferred the receipt of shares relating to 61,819 PSUs that vested on March 15, 2024, and Mr. Reid deferred the receipt of shares relating to 31,200 RSUs that vested on July 5, 2024. The value of the stock units realized on vesting is based on the value of a share of Class A common stock on the vesting date, regardless of whether the receipt of the underlying shares had been deferred. The actual value of the stock units realized upon settlement may be different than the value reflected in this table. The value realized on vesting also is reflected in the “Executive Contributions in Last FY” column of the “Nonqualified Deferred Compensation in and as of Fiscal Year-End” table immediately below.</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color w:val="auto"/>
        </w:rPr>
        <w:t>Nonqualified Deferred Compensation in and as of Fiscal Year-End</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information on the nonqualified deferred compensation of our NEOs in and as of the end of 2024.</w:t>
      </w:r>
      <w:r>
        <w:rPr>
          <w:rFonts w:ascii="Arial" w:cs="Arial" w:eastAsia="Arial" w:hAnsi="Arial"/>
          <w:sz w:val="28"/>
          <w:szCs w:val="28"/>
          <w:color w:val="auto"/>
          <w:vertAlign w:val="superscript"/>
        </w:rPr>
        <w:t>(1)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376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EXECUTIVE</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AGGREGATE</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AGGREGATE</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920" w:type="dxa"/>
            <w:vAlign w:val="bottom"/>
          </w:tcPr>
          <w:p>
            <w:pPr>
              <w:spacing w:after="0"/>
              <w:rPr>
                <w:sz w:val="14"/>
                <w:szCs w:val="14"/>
                <w:color w:val="auto"/>
              </w:rPr>
            </w:pPr>
          </w:p>
        </w:tc>
        <w:tc>
          <w:tcPr>
            <w:tcW w:w="376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CONTRIBUTIONS</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EARNINGS IN</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WITHDRAWALS/</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BALANCE AT</w:t>
            </w:r>
          </w:p>
        </w:tc>
      </w:tr>
      <w:tr>
        <w:trPr>
          <w:trHeight w:val="180"/>
        </w:trPr>
        <w:tc>
          <w:tcPr>
            <w:tcW w:w="3920" w:type="dxa"/>
            <w:vAlign w:val="bottom"/>
          </w:tcPr>
          <w:p>
            <w:pPr>
              <w:spacing w:after="0"/>
              <w:rPr>
                <w:sz w:val="15"/>
                <w:szCs w:val="15"/>
                <w:color w:val="auto"/>
              </w:rPr>
            </w:pPr>
          </w:p>
        </w:tc>
        <w:tc>
          <w:tcPr>
            <w:tcW w:w="3760" w:type="dxa"/>
            <w:vAlign w:val="bottom"/>
            <w:gridSpan w:val="2"/>
          </w:tcPr>
          <w:p>
            <w:pPr>
              <w:jc w:val="right"/>
              <w:ind w:right="36"/>
              <w:spacing w:after="0" w:line="180" w:lineRule="exact"/>
              <w:rPr>
                <w:sz w:val="20"/>
                <w:szCs w:val="20"/>
                <w:color w:val="auto"/>
              </w:rPr>
            </w:pPr>
            <w:r>
              <w:rPr>
                <w:rFonts w:ascii="Arial" w:cs="Arial" w:eastAsia="Arial" w:hAnsi="Arial"/>
                <w:sz w:val="13"/>
                <w:szCs w:val="13"/>
                <w:b w:val="1"/>
                <w:bCs w:val="1"/>
                <w:color w:val="auto"/>
              </w:rPr>
              <w:t>IN LAST FY</w:t>
            </w:r>
            <w:r>
              <w:rPr>
                <w:rFonts w:ascii="Arial" w:cs="Arial" w:eastAsia="Arial" w:hAnsi="Arial"/>
                <w:sz w:val="20"/>
                <w:szCs w:val="20"/>
                <w:b w:val="1"/>
                <w:bCs w:val="1"/>
                <w:color w:val="auto"/>
                <w:vertAlign w:val="superscript"/>
              </w:rPr>
              <w:t>(2)</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LAST FY</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DISTRIBUTIONS</w:t>
            </w:r>
          </w:p>
        </w:tc>
        <w:tc>
          <w:tcPr>
            <w:tcW w:w="1100" w:type="dxa"/>
            <w:vAlign w:val="bottom"/>
          </w:tcPr>
          <w:p>
            <w:pPr>
              <w:jc w:val="right"/>
              <w:ind w:right="9"/>
              <w:spacing w:after="0" w:line="180" w:lineRule="exact"/>
              <w:rPr>
                <w:sz w:val="20"/>
                <w:szCs w:val="20"/>
                <w:color w:val="auto"/>
              </w:rPr>
            </w:pPr>
            <w:r>
              <w:rPr>
                <w:rFonts w:ascii="Arial" w:cs="Arial" w:eastAsia="Arial" w:hAnsi="Arial"/>
                <w:sz w:val="13"/>
                <w:szCs w:val="13"/>
                <w:b w:val="1"/>
                <w:bCs w:val="1"/>
                <w:color w:val="auto"/>
              </w:rPr>
              <w:t>LAST FYE</w:t>
            </w:r>
            <w:r>
              <w:rPr>
                <w:rFonts w:ascii="Arial" w:cs="Arial" w:eastAsia="Arial" w:hAnsi="Arial"/>
                <w:sz w:val="20"/>
                <w:szCs w:val="20"/>
                <w:b w:val="1"/>
                <w:bCs w:val="1"/>
                <w:color w:val="auto"/>
                <w:vertAlign w:val="superscript"/>
              </w:rPr>
              <w:t>(2)</w:t>
            </w:r>
          </w:p>
        </w:tc>
      </w:tr>
      <w:tr>
        <w:trPr>
          <w:trHeight w:val="197"/>
        </w:trPr>
        <w:tc>
          <w:tcPr>
            <w:tcW w:w="3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3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r>
      <w:tr>
        <w:trPr>
          <w:trHeight w:val="237"/>
        </w:trPr>
        <w:tc>
          <w:tcPr>
            <w:tcW w:w="392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Brian L. Roberts</w:t>
            </w:r>
          </w:p>
        </w:tc>
        <w:tc>
          <w:tcPr>
            <w:tcW w:w="3280" w:type="dxa"/>
            <w:vAlign w:val="bottom"/>
            <w:tcBorders>
              <w:bottom w:val="single" w:sz="8" w:color="DCDDDE"/>
            </w:tcBorders>
          </w:tcPr>
          <w:p>
            <w:pPr>
              <w:jc w:val="right"/>
              <w:ind w:right="149"/>
              <w:spacing w:after="0"/>
              <w:rPr>
                <w:sz w:val="20"/>
                <w:szCs w:val="20"/>
                <w:color w:val="auto"/>
              </w:rPr>
            </w:pPr>
            <w:r>
              <w:rPr>
                <w:rFonts w:ascii="Arial" w:cs="Arial" w:eastAsia="Arial" w:hAnsi="Arial"/>
                <w:sz w:val="14"/>
                <w:szCs w:val="14"/>
                <w:color w:val="auto"/>
              </w:rPr>
              <w:t>2,643,999</w:t>
            </w:r>
          </w:p>
        </w:tc>
        <w:tc>
          <w:tcPr>
            <w:tcW w:w="480" w:type="dxa"/>
            <w:vAlign w:val="bottom"/>
            <w:tcBorders>
              <w:bottom w:val="single" w:sz="8" w:color="DCDDDE"/>
            </w:tcBorders>
          </w:tcPr>
          <w:p>
            <w:pPr>
              <w:jc w:val="right"/>
              <w:ind w:right="36"/>
              <w:spacing w:after="0"/>
              <w:rPr>
                <w:sz w:val="20"/>
                <w:szCs w:val="20"/>
                <w:color w:val="auto"/>
              </w:rPr>
            </w:pPr>
            <w:r>
              <w:rPr>
                <w:rFonts w:ascii="Arial" w:cs="Arial" w:eastAsia="Arial" w:hAnsi="Arial"/>
                <w:sz w:val="12"/>
                <w:szCs w:val="12"/>
                <w:color w:val="auto"/>
              </w:rPr>
              <w:t>(1)</w:t>
            </w:r>
          </w:p>
        </w:tc>
        <w:tc>
          <w:tcPr>
            <w:tcW w:w="1140" w:type="dxa"/>
            <w:vAlign w:val="bottom"/>
            <w:tcBorders>
              <w:bottom w:val="single" w:sz="8" w:color="DCDDDE"/>
            </w:tcBorders>
          </w:tcPr>
          <w:p>
            <w:pPr>
              <w:jc w:val="right"/>
              <w:ind w:right="28"/>
              <w:spacing w:after="0"/>
              <w:rPr>
                <w:sz w:val="20"/>
                <w:szCs w:val="20"/>
                <w:color w:val="auto"/>
              </w:rPr>
            </w:pPr>
            <w:r>
              <w:rPr>
                <w:rFonts w:ascii="Arial" w:cs="Arial" w:eastAsia="Arial" w:hAnsi="Arial"/>
                <w:sz w:val="14"/>
                <w:szCs w:val="14"/>
                <w:color w:val="auto"/>
              </w:rPr>
              <w:t>4,019,721</w:t>
            </w:r>
          </w:p>
        </w:tc>
        <w:tc>
          <w:tcPr>
            <w:tcW w:w="13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(2,672,910)</w:t>
            </w:r>
          </w:p>
        </w:tc>
        <w:tc>
          <w:tcPr>
            <w:tcW w:w="110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145,057,236</w:t>
            </w:r>
          </w:p>
        </w:tc>
      </w:tr>
      <w:tr>
        <w:trPr>
          <w:trHeight w:val="209"/>
        </w:trPr>
        <w:tc>
          <w:tcPr>
            <w:tcW w:w="392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Michael J. Cavanagh</w:t>
            </w:r>
          </w:p>
        </w:tc>
        <w:tc>
          <w:tcPr>
            <w:tcW w:w="3280" w:type="dxa"/>
            <w:vAlign w:val="bottom"/>
            <w:tcBorders>
              <w:bottom w:val="single" w:sz="8" w:color="DCDDDE"/>
            </w:tcBorders>
          </w:tcPr>
          <w:p>
            <w:pPr>
              <w:jc w:val="right"/>
              <w:ind w:right="14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DCDDDE"/>
            </w:tcBorders>
          </w:tcPr>
          <w:p>
            <w:pPr>
              <w:spacing w:after="0"/>
              <w:rPr>
                <w:sz w:val="18"/>
                <w:szCs w:val="18"/>
                <w:color w:val="auto"/>
              </w:rPr>
            </w:pPr>
          </w:p>
        </w:tc>
        <w:tc>
          <w:tcPr>
            <w:tcW w:w="1140" w:type="dxa"/>
            <w:vAlign w:val="bottom"/>
            <w:tcBorders>
              <w:bottom w:val="single" w:sz="8" w:color="DCDDDE"/>
            </w:tcBorders>
          </w:tcPr>
          <w:p>
            <w:pPr>
              <w:jc w:val="right"/>
              <w:ind w:right="28"/>
              <w:spacing w:after="0"/>
              <w:rPr>
                <w:sz w:val="20"/>
                <w:szCs w:val="20"/>
                <w:color w:val="auto"/>
              </w:rPr>
            </w:pPr>
            <w:r>
              <w:rPr>
                <w:rFonts w:ascii="Arial" w:cs="Arial" w:eastAsia="Arial" w:hAnsi="Arial"/>
                <w:sz w:val="14"/>
                <w:szCs w:val="14"/>
                <w:color w:val="auto"/>
              </w:rPr>
              <w:t>(1,288,390)</w:t>
            </w:r>
          </w:p>
        </w:tc>
        <w:tc>
          <w:tcPr>
            <w:tcW w:w="13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(7,563,644)</w:t>
            </w:r>
          </w:p>
        </w:tc>
        <w:tc>
          <w:tcPr>
            <w:tcW w:w="110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41,023,834</w:t>
            </w:r>
          </w:p>
        </w:tc>
      </w:tr>
      <w:tr>
        <w:trPr>
          <w:trHeight w:val="210"/>
        </w:trPr>
        <w:tc>
          <w:tcPr>
            <w:tcW w:w="392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Jason S. Armstrong</w:t>
            </w:r>
          </w:p>
        </w:tc>
        <w:tc>
          <w:tcPr>
            <w:tcW w:w="3280" w:type="dxa"/>
            <w:vAlign w:val="bottom"/>
            <w:tcBorders>
              <w:bottom w:val="single" w:sz="8" w:color="DCDDDE"/>
            </w:tcBorders>
          </w:tcPr>
          <w:p>
            <w:pPr>
              <w:jc w:val="right"/>
              <w:ind w:right="14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DCDDDE"/>
            </w:tcBorders>
          </w:tcPr>
          <w:p>
            <w:pPr>
              <w:spacing w:after="0"/>
              <w:rPr>
                <w:sz w:val="18"/>
                <w:szCs w:val="18"/>
                <w:color w:val="auto"/>
              </w:rPr>
            </w:pPr>
          </w:p>
        </w:tc>
        <w:tc>
          <w:tcPr>
            <w:tcW w:w="1140" w:type="dxa"/>
            <w:vAlign w:val="bottom"/>
            <w:tcBorders>
              <w:bottom w:val="single" w:sz="8" w:color="DCDDDE"/>
            </w:tcBorders>
          </w:tcPr>
          <w:p>
            <w:pPr>
              <w:jc w:val="right"/>
              <w:ind w:right="28"/>
              <w:spacing w:after="0"/>
              <w:rPr>
                <w:sz w:val="20"/>
                <w:szCs w:val="20"/>
                <w:color w:val="auto"/>
              </w:rPr>
            </w:pPr>
            <w:r>
              <w:rPr>
                <w:rFonts w:ascii="Arial" w:cs="Arial" w:eastAsia="Arial" w:hAnsi="Arial"/>
                <w:sz w:val="14"/>
                <w:szCs w:val="14"/>
                <w:color w:val="auto"/>
              </w:rPr>
              <w:t>1,128,394</w:t>
            </w:r>
          </w:p>
        </w:tc>
        <w:tc>
          <w:tcPr>
            <w:tcW w:w="13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12,679,715</w:t>
            </w:r>
          </w:p>
        </w:tc>
      </w:tr>
      <w:tr>
        <w:trPr>
          <w:trHeight w:val="236"/>
        </w:trPr>
        <w:tc>
          <w:tcPr>
            <w:tcW w:w="392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Thomas J. Reid</w:t>
            </w:r>
          </w:p>
        </w:tc>
        <w:tc>
          <w:tcPr>
            <w:tcW w:w="3280" w:type="dxa"/>
            <w:vAlign w:val="bottom"/>
            <w:tcBorders>
              <w:bottom w:val="single" w:sz="8" w:color="DCDDDE"/>
            </w:tcBorders>
          </w:tcPr>
          <w:p>
            <w:pPr>
              <w:jc w:val="right"/>
              <w:ind w:right="149"/>
              <w:spacing w:after="0"/>
              <w:rPr>
                <w:sz w:val="20"/>
                <w:szCs w:val="20"/>
                <w:color w:val="auto"/>
              </w:rPr>
            </w:pPr>
            <w:r>
              <w:rPr>
                <w:rFonts w:ascii="Arial" w:cs="Arial" w:eastAsia="Arial" w:hAnsi="Arial"/>
                <w:sz w:val="14"/>
                <w:szCs w:val="14"/>
                <w:color w:val="auto"/>
              </w:rPr>
              <w:t>1,181,232</w:t>
            </w:r>
          </w:p>
        </w:tc>
        <w:tc>
          <w:tcPr>
            <w:tcW w:w="480" w:type="dxa"/>
            <w:vAlign w:val="bottom"/>
            <w:tcBorders>
              <w:bottom w:val="single" w:sz="8" w:color="DCDDDE"/>
            </w:tcBorders>
          </w:tcPr>
          <w:p>
            <w:pPr>
              <w:jc w:val="right"/>
              <w:ind w:right="36"/>
              <w:spacing w:after="0"/>
              <w:rPr>
                <w:sz w:val="20"/>
                <w:szCs w:val="20"/>
                <w:color w:val="auto"/>
              </w:rPr>
            </w:pPr>
            <w:r>
              <w:rPr>
                <w:rFonts w:ascii="Arial" w:cs="Arial" w:eastAsia="Arial" w:hAnsi="Arial"/>
                <w:sz w:val="12"/>
                <w:szCs w:val="12"/>
                <w:color w:val="auto"/>
              </w:rPr>
              <w:t>(1)</w:t>
            </w:r>
          </w:p>
        </w:tc>
        <w:tc>
          <w:tcPr>
            <w:tcW w:w="1140" w:type="dxa"/>
            <w:vAlign w:val="bottom"/>
            <w:tcBorders>
              <w:bottom w:val="single" w:sz="8" w:color="DCDDDE"/>
            </w:tcBorders>
          </w:tcPr>
          <w:p>
            <w:pPr>
              <w:jc w:val="right"/>
              <w:ind w:right="28"/>
              <w:spacing w:after="0"/>
              <w:rPr>
                <w:sz w:val="20"/>
                <w:szCs w:val="20"/>
                <w:color w:val="auto"/>
              </w:rPr>
            </w:pPr>
            <w:r>
              <w:rPr>
                <w:rFonts w:ascii="Arial" w:cs="Arial" w:eastAsia="Arial" w:hAnsi="Arial"/>
                <w:sz w:val="14"/>
                <w:szCs w:val="14"/>
                <w:color w:val="auto"/>
              </w:rPr>
              <w:t>24,051</w:t>
            </w:r>
          </w:p>
        </w:tc>
        <w:tc>
          <w:tcPr>
            <w:tcW w:w="13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(559,359)</w:t>
            </w:r>
          </w:p>
        </w:tc>
        <w:tc>
          <w:tcPr>
            <w:tcW w:w="110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2,343,867</w:t>
            </w:r>
          </w:p>
        </w:tc>
      </w:tr>
      <w:tr>
        <w:trPr>
          <w:trHeight w:val="210"/>
        </w:trPr>
        <w:tc>
          <w:tcPr>
            <w:tcW w:w="3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Jennifer Khoury</w:t>
            </w:r>
          </w:p>
        </w:tc>
        <w:tc>
          <w:tcPr>
            <w:tcW w:w="32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298,376</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3,868,858</w:t>
            </w:r>
          </w:p>
        </w:tc>
      </w:tr>
    </w:tbl>
    <w:p>
      <w:pPr>
        <w:spacing w:after="0" w:line="91" w:lineRule="exact"/>
        <w:rPr>
          <w:sz w:val="20"/>
          <w:szCs w:val="20"/>
          <w:color w:val="auto"/>
        </w:rPr>
      </w:pPr>
    </w:p>
    <w:p>
      <w:pPr>
        <w:ind w:left="320" w:right="200" w:hanging="312"/>
        <w:spacing w:after="0" w:line="244" w:lineRule="auto"/>
        <w:tabs>
          <w:tab w:leader="none" w:pos="320" w:val="left"/>
        </w:tabs>
        <w:numPr>
          <w:ilvl w:val="0"/>
          <w:numId w:val="87"/>
        </w:numPr>
        <w:rPr>
          <w:rFonts w:ascii="Arial" w:cs="Arial" w:eastAsia="Arial" w:hAnsi="Arial"/>
          <w:sz w:val="13"/>
          <w:szCs w:val="13"/>
          <w:color w:val="auto"/>
        </w:rPr>
      </w:pPr>
      <w:r>
        <w:rPr>
          <w:rFonts w:ascii="Arial" w:cs="Arial" w:eastAsia="Arial" w:hAnsi="Arial"/>
          <w:sz w:val="15"/>
          <w:szCs w:val="15"/>
          <w:color w:val="auto"/>
        </w:rPr>
        <w:t>Amounts in this table have been deferred under our deferred compensation plans, except for deferrals of stock units with respect to shares of Class A common stock under our restricted stock plan. Eligible employees and directors may participate in these plans. Amounts credited to an NEO’s account are invested notionally in a third-party mutual or exchange fund or our company’s common stock fund.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45</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2" w:lineRule="exact"/>
        <w:rPr>
          <w:sz w:val="20"/>
          <w:szCs w:val="20"/>
          <w:color w:val="auto"/>
        </w:rPr>
      </w:pPr>
    </w:p>
    <w:p>
      <w:pPr>
        <w:jc w:val="both"/>
        <w:ind w:left="320" w:right="20"/>
        <w:spacing w:after="0" w:line="236" w:lineRule="auto"/>
        <w:rPr>
          <w:sz w:val="20"/>
          <w:szCs w:val="20"/>
          <w:color w:val="auto"/>
        </w:rPr>
      </w:pPr>
      <w:r>
        <w:rPr>
          <w:rFonts w:ascii="Arial" w:cs="Arial" w:eastAsia="Arial" w:hAnsi="Arial"/>
          <w:sz w:val="15"/>
          <w:szCs w:val="15"/>
          <w:color w:val="auto"/>
        </w:rPr>
        <w:t>Under our restricted stock plan, eligible employees may defer the receipt of shares that may, subject to an award of stock units, vest in the future. Upon vesting, deferred stock units are invested in our company stock fund. An employee who has elected to defer stock units may also make a “diversification election” of the shares subject to such stock units to have the value of such stock units transferred to our deferred compensation plans. Pursuant to our restricted stock plan, (i) Mr. Roberts deferred the settlement of 61,819 PSUs that vested on March 15, 2024 and (ii) Mr. Reid deferred the settlement of 31,200 RSUs that vested on July 5, 2024.</w:t>
      </w:r>
    </w:p>
    <w:p>
      <w:pPr>
        <w:spacing w:after="0" w:line="29" w:lineRule="exact"/>
        <w:rPr>
          <w:sz w:val="20"/>
          <w:szCs w:val="20"/>
          <w:color w:val="auto"/>
        </w:rPr>
      </w:pPr>
    </w:p>
    <w:p>
      <w:pPr>
        <w:ind w:left="320" w:right="20"/>
        <w:spacing w:after="0" w:line="236" w:lineRule="auto"/>
        <w:rPr>
          <w:sz w:val="20"/>
          <w:szCs w:val="20"/>
          <w:color w:val="auto"/>
        </w:rPr>
      </w:pPr>
      <w:r>
        <w:rPr>
          <w:rFonts w:ascii="Arial" w:cs="Arial" w:eastAsia="Arial" w:hAnsi="Arial"/>
          <w:sz w:val="15"/>
          <w:szCs w:val="15"/>
          <w:color w:val="auto"/>
        </w:rPr>
        <w:t>The amounts shown in the “Executive Contributions in Last FY” column reflect the aggregate value of (i) stock units that were deferred in 2024 as of their respective vesting dates and (ii) amounts deemed invested in third-party mutual or exchange funds under our deferred compensation plans; the amounts shown in the “Aggregate Earnings in Last FY” column reflect the value of any aggregate gain or loss in 2024. During 2024, (i) the annual rates of return under the third-party mutual or exchange funds were as follows: 32%, 25%,12.8%, 6.1%, 5.4%, 5.2%, 2.6%,1.2% and -1.5%, and (ii) the annual rate of return under our company stock fund was -11.8%. No amounts represent interest earned in excess of 120% of the long-term applicable federal rate.</w:t>
      </w:r>
    </w:p>
    <w:p>
      <w:pPr>
        <w:spacing w:after="0" w:line="29" w:lineRule="exact"/>
        <w:rPr>
          <w:sz w:val="20"/>
          <w:szCs w:val="20"/>
          <w:color w:val="auto"/>
        </w:rPr>
      </w:pPr>
    </w:p>
    <w:p>
      <w:pPr>
        <w:ind w:left="320" w:hanging="312"/>
        <w:spacing w:after="0" w:line="234" w:lineRule="auto"/>
        <w:tabs>
          <w:tab w:leader="none" w:pos="320" w:val="left"/>
        </w:tabs>
        <w:numPr>
          <w:ilvl w:val="0"/>
          <w:numId w:val="88"/>
        </w:numPr>
        <w:rPr>
          <w:rFonts w:ascii="Arial" w:cs="Arial" w:eastAsia="Arial" w:hAnsi="Arial"/>
          <w:sz w:val="13"/>
          <w:szCs w:val="13"/>
          <w:color w:val="auto"/>
        </w:rPr>
      </w:pPr>
      <w:r>
        <w:rPr>
          <w:rFonts w:ascii="Arial" w:cs="Arial" w:eastAsia="Arial" w:hAnsi="Arial"/>
          <w:sz w:val="15"/>
          <w:szCs w:val="15"/>
          <w:color w:val="auto"/>
        </w:rPr>
        <w:t>These amounts (other than amounts related to deferrals of stock units) are reported as compensation in the “Summary Compensation Table” above under the columns “Salary” and “Non-Equity Incentive Plan Compensation.” All amounts contributed in prior years under our deferred compensation plans have been reported in the Summary Compensation Table in previously filed proxy statements in the year earned to the extent an individual was an NEO for purposes of the SEC’s executive compensation disclosure. The grant date fair value of stock units deferred under our restricted stock plan has been reported in the year granted in the Summary Compensation Table in previously filed proxy statements, to the extent an individual was an NEO for purposes of the SEC’s executive compensation disclosure. Fiscal year-end balances for each fund include net transfers between funds that occurred during the year.</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auto"/>
        </w:rPr>
        <w:t>Agreements with Our Named Executive Officers</w:t>
      </w:r>
    </w:p>
    <w:p>
      <w:pPr>
        <w:spacing w:after="0" w:line="226" w:lineRule="exact"/>
        <w:rPr>
          <w:sz w:val="20"/>
          <w:szCs w:val="20"/>
          <w:color w:val="auto"/>
        </w:rPr>
      </w:pPr>
    </w:p>
    <w:p>
      <w:pPr>
        <w:jc w:val="both"/>
        <w:ind w:right="200"/>
        <w:spacing w:after="0" w:line="236" w:lineRule="auto"/>
        <w:rPr>
          <w:sz w:val="20"/>
          <w:szCs w:val="20"/>
          <w:color w:val="auto"/>
        </w:rPr>
      </w:pPr>
      <w:r>
        <w:rPr>
          <w:rFonts w:ascii="Arial" w:cs="Arial" w:eastAsia="Arial" w:hAnsi="Arial"/>
          <w:sz w:val="17"/>
          <w:szCs w:val="17"/>
          <w:color w:val="auto"/>
        </w:rPr>
        <w:t>Each of our active NEOs has an employment agreement with us. Mr. Roberts’ agreement was effective as of August 1, 2017 and provides for an initial term of employment through July 31, 2020, which term will be extended automatically by one additional day for each day that elapses after August 1, 2017 (so that the term of the agreement will always be three years), unless otherwise terminated by either party in accordance with the employment agreement. Mr. Cavanagh’s agreement was entered into as of January 1, 2023 and secures his employment through</w:t>
      </w:r>
    </w:p>
    <w:p>
      <w:pPr>
        <w:spacing w:after="0" w:line="235" w:lineRule="auto"/>
        <w:rPr>
          <w:sz w:val="20"/>
          <w:szCs w:val="20"/>
          <w:color w:val="auto"/>
        </w:rPr>
      </w:pPr>
      <w:r>
        <w:rPr>
          <w:rFonts w:ascii="Arial" w:cs="Arial" w:eastAsia="Arial" w:hAnsi="Arial"/>
          <w:sz w:val="17"/>
          <w:szCs w:val="17"/>
          <w:color w:val="auto"/>
        </w:rPr>
        <w:t>December 31, 2027. Mr. Armstrong’s agreement was entered into as of January 6, 2023 and secures his employment through December 31, 2027.</w:t>
      </w:r>
    </w:p>
    <w:p>
      <w:pPr>
        <w:spacing w:after="0" w:line="232" w:lineRule="auto"/>
        <w:rPr>
          <w:sz w:val="20"/>
          <w:szCs w:val="20"/>
          <w:color w:val="auto"/>
        </w:rPr>
      </w:pPr>
      <w:r>
        <w:rPr>
          <w:rFonts w:ascii="Arial" w:cs="Arial" w:eastAsia="Arial" w:hAnsi="Arial"/>
          <w:sz w:val="17"/>
          <w:szCs w:val="17"/>
          <w:color w:val="auto"/>
        </w:rPr>
        <w:t>Mr. Reid’s new employment agreement was entered into as of January 1, 2024 and secures his employment through December 31, 2028. Ms.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Khoury’s agreement was entered into as of January 1, 2023 and secures her employment through December 31, 2027.</w:t>
      </w:r>
    </w:p>
    <w:p>
      <w:pPr>
        <w:spacing w:after="0" w:line="19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Each of the employment agreements provides for a base salary either as specified in the agreement or otherwise then in effect. An NEO’s salary may not be reduced, except under an overall plan to reduce their salary on a basis consistent with other senior executives at their respective levels. The NEOs also are eligible to receive an annual performance bonus, payable in cash, of a percentage of their respective base salaries for the applicable year. The current target bonus opportunities for Messrs. Roberts and Cavanagh are 300%, for Mr. Reid 250%, for Mr. Armstrong 200% and for Ms. Khoury 150%, in each case of their respective base salaries. Our NEOs are also entitled to receive certain severance benefits under their respective agreements in the event of a qualifying termination of employment as described under the “Potential Payments upon Termination or Change in Control” table below.</w:t>
      </w:r>
    </w:p>
    <w:p>
      <w:pPr>
        <w:spacing w:after="0" w:line="18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Under the agreements, each NEO has agreed not to compete with us during their employment and, in the event their employment terminates other than by us without cause or by them with good reason, for one year after termination of their employment.</w:t>
      </w:r>
    </w:p>
    <w:p>
      <w:pPr>
        <w:spacing w:after="0" w:line="15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Each of our NEOs has agreed not to solicit our employees or customers for one year after termination of their employment and is subject to confidentiality covenants. Each has agreed to maintain the confidentiality of our information and not to use such information, except for our benefit, at all times during and after their employment with us.</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auto"/>
        </w:rPr>
        <w:t>Potential Payments upon Termination or Change in Control</w:t>
      </w:r>
    </w:p>
    <w:p>
      <w:pPr>
        <w:spacing w:after="0" w:line="226"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table below describes the payments and benefits to which each of our active NEOs would have been entitled (i) had their employment terminated on December 31, 2024 (a) by us without cause or by them with good reason, (b) because of their death, (c) due to their disability or (d) upon their retirement; or (ii) upon a change in control. In addition to the specific payments and benefits described below for each NEO, our NEOs also would have been entitled to receive any benefits due under the terms of our benefit plans and programs, including our deferred compensation plans described in further detail in the “Nonqualified Deferred Compensation in and as of Fiscal Year-End” table above. All amounts are estimates only, and actual amounts will vary depending upon the facts and circumstances applicable at the time of the triggering event.</w:t>
      </w:r>
    </w:p>
    <w:p>
      <w:pPr>
        <w:spacing w:after="0" w:line="186" w:lineRule="exact"/>
        <w:rPr>
          <w:sz w:val="20"/>
          <w:szCs w:val="20"/>
          <w:color w:val="auto"/>
        </w:rPr>
      </w:pPr>
    </w:p>
    <w:p>
      <w:pPr>
        <w:ind w:left="400" w:hanging="392"/>
        <w:spacing w:after="0"/>
        <w:tabs>
          <w:tab w:leader="none" w:pos="400" w:val="left"/>
        </w:tabs>
        <w:numPr>
          <w:ilvl w:val="0"/>
          <w:numId w:val="8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49"/>
        </w:trPr>
        <w:tc>
          <w:tcPr>
            <w:tcW w:w="2780" w:type="dxa"/>
            <w:vAlign w:val="bottom"/>
            <w:gridSpan w:val="2"/>
          </w:tcPr>
          <w:p>
            <w:pPr>
              <w:spacing w:after="0"/>
              <w:rPr>
                <w:sz w:val="20"/>
                <w:szCs w:val="20"/>
                <w:color w:val="auto"/>
              </w:rPr>
            </w:pPr>
            <w:r>
              <w:rPr>
                <w:rFonts w:ascii="Arial" w:cs="Arial" w:eastAsia="Arial" w:hAnsi="Arial"/>
                <w:sz w:val="13"/>
                <w:szCs w:val="13"/>
                <w:b w:val="1"/>
                <w:bCs w:val="1"/>
                <w:color w:val="0000EE"/>
              </w:rPr>
              <w:t>Table of Contents</w:t>
            </w:r>
          </w:p>
        </w:tc>
        <w:tc>
          <w:tcPr>
            <w:tcW w:w="2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06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w w:val="99"/>
              </w:rPr>
              <w:t>ACCELERATION/</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CONTINUED</w:t>
            </w:r>
          </w:p>
        </w:tc>
        <w:tc>
          <w:tcPr>
            <w:tcW w:w="11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9"/>
              </w:rPr>
              <w:t>ACCELERATION/</w:t>
            </w: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VESTING &amp;</w:t>
            </w:r>
          </w:p>
        </w:tc>
        <w:tc>
          <w:tcPr>
            <w:tcW w:w="112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8"/>
              </w:rPr>
              <w:t>EXERCISABILITY</w:t>
            </w:r>
          </w:p>
        </w:tc>
        <w:tc>
          <w:tcPr>
            <w:tcW w:w="11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CONTINUED</w:t>
            </w: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32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rPr>
              <w:t>BASE SALARY</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ANNUAL</w:t>
            </w:r>
          </w:p>
        </w:tc>
        <w:tc>
          <w:tcPr>
            <w:tcW w:w="1020" w:type="dxa"/>
            <w:vAlign w:val="bottom"/>
          </w:tcPr>
          <w:p>
            <w:pPr>
              <w:jc w:val="right"/>
              <w:ind w:right="9"/>
              <w:spacing w:after="0"/>
              <w:rPr>
                <w:sz w:val="20"/>
                <w:szCs w:val="20"/>
                <w:color w:val="auto"/>
              </w:rPr>
            </w:pPr>
            <w:r>
              <w:rPr>
                <w:rFonts w:ascii="Arial" w:cs="Arial" w:eastAsia="Arial" w:hAnsi="Arial"/>
                <w:sz w:val="13"/>
                <w:szCs w:val="13"/>
                <w:b w:val="1"/>
                <w:bCs w:val="1"/>
                <w:color w:val="auto"/>
              </w:rPr>
              <w:t>ACCRUED</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OF UNVESTED</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VESTING OF</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HEALTH</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320" w:type="dxa"/>
            <w:vAlign w:val="bottom"/>
            <w:vMerge w:val="continue"/>
          </w:tcPr>
          <w:p>
            <w:pPr>
              <w:spacing w:after="0"/>
              <w:rPr>
                <w:sz w:val="11"/>
                <w:szCs w:val="11"/>
                <w:color w:val="auto"/>
              </w:rPr>
            </w:pPr>
          </w:p>
        </w:tc>
        <w:tc>
          <w:tcPr>
            <w:tcW w:w="1000" w:type="dxa"/>
            <w:vAlign w:val="bottom"/>
          </w:tcPr>
          <w:p>
            <w:pPr>
              <w:jc w:val="right"/>
              <w:ind w:right="9"/>
              <w:spacing w:after="0" w:line="135" w:lineRule="exact"/>
              <w:rPr>
                <w:sz w:val="20"/>
                <w:szCs w:val="20"/>
                <w:color w:val="auto"/>
              </w:rPr>
            </w:pPr>
            <w:r>
              <w:rPr>
                <w:rFonts w:ascii="Arial" w:cs="Arial" w:eastAsia="Arial" w:hAnsi="Arial"/>
                <w:sz w:val="13"/>
                <w:szCs w:val="13"/>
                <w:b w:val="1"/>
                <w:bCs w:val="1"/>
                <w:color w:val="auto"/>
              </w:rPr>
              <w:t>CASH BONUS</w:t>
            </w:r>
          </w:p>
        </w:tc>
        <w:tc>
          <w:tcPr>
            <w:tcW w:w="10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8"/>
              </w:rPr>
              <w:t>ANNUAL CASH</w:t>
            </w:r>
          </w:p>
        </w:tc>
        <w:tc>
          <w:tcPr>
            <w:tcW w:w="11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STOCK</w:t>
            </w:r>
          </w:p>
        </w:tc>
        <w:tc>
          <w:tcPr>
            <w:tcW w:w="11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UNVESTED</w:t>
            </w: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BENEFIT</w:t>
            </w:r>
          </w:p>
        </w:tc>
        <w:tc>
          <w:tcPr>
            <w:tcW w:w="840" w:type="dxa"/>
            <w:vAlign w:val="bottom"/>
            <w:vMerge w:val="restart"/>
          </w:tcPr>
          <w:p>
            <w:pPr>
              <w:jc w:val="right"/>
              <w:ind w:right="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4"/>
        </w:trPr>
        <w:tc>
          <w:tcPr>
            <w:tcW w:w="27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NAME</w:t>
            </w:r>
          </w:p>
        </w:tc>
        <w:tc>
          <w:tcPr>
            <w:tcW w:w="332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rPr>
              <w:t>CONTINUATION CONTINUATION</w:t>
            </w:r>
          </w:p>
        </w:tc>
        <w:tc>
          <w:tcPr>
            <w:tcW w:w="10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BONUS</w:t>
            </w:r>
          </w:p>
        </w:tc>
        <w:tc>
          <w:tcPr>
            <w:tcW w:w="1120" w:type="dxa"/>
            <w:vAlign w:val="bottom"/>
          </w:tcPr>
          <w:p>
            <w:pPr>
              <w:jc w:val="right"/>
              <w:spacing w:after="0" w:line="144" w:lineRule="exact"/>
              <w:rPr>
                <w:sz w:val="20"/>
                <w:szCs w:val="20"/>
                <w:color w:val="auto"/>
              </w:rPr>
            </w:pPr>
            <w:r>
              <w:rPr>
                <w:rFonts w:ascii="Arial" w:cs="Arial" w:eastAsia="Arial" w:hAnsi="Arial"/>
                <w:sz w:val="10"/>
                <w:szCs w:val="10"/>
                <w:b w:val="1"/>
                <w:bCs w:val="1"/>
                <w:color w:val="auto"/>
              </w:rPr>
              <w:t>OPTIONS</w:t>
            </w:r>
            <w:r>
              <w:rPr>
                <w:rFonts w:ascii="Arial" w:cs="Arial" w:eastAsia="Arial" w:hAnsi="Arial"/>
                <w:sz w:val="16"/>
                <w:szCs w:val="16"/>
                <w:b w:val="1"/>
                <w:bCs w:val="1"/>
                <w:color w:val="auto"/>
                <w:vertAlign w:val="superscript"/>
              </w:rPr>
              <w:t>(1)</w:t>
            </w:r>
          </w:p>
        </w:tc>
        <w:tc>
          <w:tcPr>
            <w:tcW w:w="1120" w:type="dxa"/>
            <w:vAlign w:val="bottom"/>
          </w:tcPr>
          <w:p>
            <w:pPr>
              <w:jc w:val="right"/>
              <w:ind w:right="10"/>
              <w:spacing w:after="0" w:line="144" w:lineRule="exact"/>
              <w:rPr>
                <w:sz w:val="20"/>
                <w:szCs w:val="20"/>
                <w:color w:val="auto"/>
              </w:rPr>
            </w:pPr>
            <w:r>
              <w:rPr>
                <w:rFonts w:ascii="Arial" w:cs="Arial" w:eastAsia="Arial" w:hAnsi="Arial"/>
                <w:sz w:val="10"/>
                <w:szCs w:val="10"/>
                <w:b w:val="1"/>
                <w:bCs w:val="1"/>
                <w:color w:val="auto"/>
              </w:rPr>
              <w:t>STOCK UNITS</w:t>
            </w:r>
            <w:r>
              <w:rPr>
                <w:rFonts w:ascii="Arial" w:cs="Arial" w:eastAsia="Arial" w:hAnsi="Arial"/>
                <w:sz w:val="16"/>
                <w:szCs w:val="16"/>
                <w:b w:val="1"/>
                <w:bCs w:val="1"/>
                <w:color w:val="auto"/>
                <w:vertAlign w:val="superscript"/>
              </w:rPr>
              <w:t>(1)</w:t>
            </w:r>
          </w:p>
        </w:tc>
        <w:tc>
          <w:tcPr>
            <w:tcW w:w="1040" w:type="dxa"/>
            <w:vAlign w:val="bottom"/>
          </w:tcPr>
          <w:p>
            <w:pPr>
              <w:jc w:val="right"/>
              <w:spacing w:after="0" w:line="144" w:lineRule="exact"/>
              <w:rPr>
                <w:sz w:val="20"/>
                <w:szCs w:val="20"/>
                <w:color w:val="auto"/>
              </w:rPr>
            </w:pPr>
            <w:r>
              <w:rPr>
                <w:rFonts w:ascii="Arial" w:cs="Arial" w:eastAsia="Arial" w:hAnsi="Arial"/>
                <w:sz w:val="13"/>
                <w:szCs w:val="13"/>
                <w:b w:val="1"/>
                <w:bCs w:val="1"/>
                <w:color w:val="auto"/>
                <w:w w:val="98"/>
              </w:rPr>
              <w:t>CONTINUATION</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80" w:type="dxa"/>
            <w:vAlign w:val="bottom"/>
            <w:tcBorders>
              <w:bottom w:val="single" w:sz="8" w:color="auto"/>
            </w:tcBorders>
            <w:gridSpan w:val="2"/>
            <w:vMerge w:val="continue"/>
          </w:tcPr>
          <w:p>
            <w:pPr>
              <w:spacing w:after="0"/>
              <w:rPr>
                <w:sz w:val="15"/>
                <w:szCs w:val="15"/>
                <w:color w:val="auto"/>
              </w:rPr>
            </w:pPr>
          </w:p>
        </w:tc>
        <w:tc>
          <w:tcPr>
            <w:tcW w:w="232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DCDDDE"/>
            </w:tcBorders>
            <w:gridSpan w:val="2"/>
          </w:tcPr>
          <w:p>
            <w:pPr>
              <w:ind w:left="80"/>
              <w:spacing w:after="0"/>
              <w:rPr>
                <w:sz w:val="20"/>
                <w:szCs w:val="20"/>
                <w:color w:val="auto"/>
              </w:rPr>
            </w:pPr>
            <w:r>
              <w:rPr>
                <w:rFonts w:ascii="Arial" w:cs="Arial" w:eastAsia="Arial" w:hAnsi="Arial"/>
                <w:sz w:val="14"/>
                <w:szCs w:val="14"/>
                <w:b w:val="1"/>
                <w:bCs w:val="1"/>
                <w:color w:val="auto"/>
              </w:rPr>
              <w:t>Brian L. Roberts</w:t>
            </w:r>
          </w:p>
        </w:tc>
        <w:tc>
          <w:tcPr>
            <w:tcW w:w="2320" w:type="dxa"/>
            <w:vAlign w:val="bottom"/>
            <w:tcBorders>
              <w:bottom w:val="single" w:sz="8" w:color="DCDDDE"/>
            </w:tcBorders>
          </w:tcPr>
          <w:p>
            <w:pPr>
              <w:spacing w:after="0"/>
              <w:rPr>
                <w:sz w:val="18"/>
                <w:szCs w:val="18"/>
                <w:color w:val="auto"/>
              </w:rPr>
            </w:pPr>
          </w:p>
        </w:tc>
        <w:tc>
          <w:tcPr>
            <w:tcW w:w="1000" w:type="dxa"/>
            <w:vAlign w:val="bottom"/>
            <w:tcBorders>
              <w:bottom w:val="single" w:sz="8" w:color="DCDDDE"/>
            </w:tcBorders>
          </w:tcPr>
          <w:p>
            <w:pPr>
              <w:spacing w:after="0"/>
              <w:rPr>
                <w:sz w:val="18"/>
                <w:szCs w:val="18"/>
                <w:color w:val="auto"/>
              </w:rPr>
            </w:pPr>
          </w:p>
        </w:tc>
        <w:tc>
          <w:tcPr>
            <w:tcW w:w="1020" w:type="dxa"/>
            <w:vAlign w:val="bottom"/>
            <w:tcBorders>
              <w:bottom w:val="single" w:sz="8" w:color="DCDDDE"/>
            </w:tcBorders>
          </w:tcPr>
          <w:p>
            <w:pPr>
              <w:spacing w:after="0"/>
              <w:rPr>
                <w:sz w:val="18"/>
                <w:szCs w:val="18"/>
                <w:color w:val="auto"/>
              </w:rPr>
            </w:pPr>
          </w:p>
        </w:tc>
        <w:tc>
          <w:tcPr>
            <w:tcW w:w="1120" w:type="dxa"/>
            <w:vAlign w:val="bottom"/>
            <w:tcBorders>
              <w:bottom w:val="single" w:sz="8" w:color="DCDDDE"/>
            </w:tcBorders>
          </w:tcPr>
          <w:p>
            <w:pPr>
              <w:spacing w:after="0"/>
              <w:rPr>
                <w:sz w:val="18"/>
                <w:szCs w:val="18"/>
                <w:color w:val="auto"/>
              </w:rPr>
            </w:pPr>
          </w:p>
        </w:tc>
        <w:tc>
          <w:tcPr>
            <w:tcW w:w="1120" w:type="dxa"/>
            <w:vAlign w:val="bottom"/>
            <w:tcBorders>
              <w:bottom w:val="single" w:sz="8" w:color="DCDDDE"/>
            </w:tcBorders>
          </w:tcPr>
          <w:p>
            <w:pPr>
              <w:spacing w:after="0"/>
              <w:rPr>
                <w:sz w:val="18"/>
                <w:szCs w:val="18"/>
                <w:color w:val="auto"/>
              </w:rPr>
            </w:pPr>
          </w:p>
        </w:tc>
        <w:tc>
          <w:tcPr>
            <w:tcW w:w="1040" w:type="dxa"/>
            <w:vAlign w:val="bottom"/>
            <w:tcBorders>
              <w:bottom w:val="single" w:sz="8" w:color="DCDDDE"/>
            </w:tcBorders>
          </w:tcPr>
          <w:p>
            <w:pPr>
              <w:spacing w:after="0"/>
              <w:rPr>
                <w:sz w:val="18"/>
                <w:szCs w:val="18"/>
                <w:color w:val="auto"/>
              </w:rPr>
            </w:pPr>
          </w:p>
        </w:tc>
        <w:tc>
          <w:tcPr>
            <w:tcW w:w="84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780" w:type="dxa"/>
            <w:vAlign w:val="bottom"/>
            <w:gridSpan w:val="2"/>
          </w:tcPr>
          <w:p>
            <w:pPr>
              <w:ind w:left="80"/>
              <w:spacing w:after="0"/>
              <w:rPr>
                <w:sz w:val="20"/>
                <w:szCs w:val="20"/>
                <w:color w:val="auto"/>
              </w:rPr>
            </w:pPr>
            <w:r>
              <w:rPr>
                <w:rFonts w:ascii="Arial" w:cs="Arial" w:eastAsia="Arial" w:hAnsi="Arial"/>
                <w:sz w:val="14"/>
                <w:szCs w:val="14"/>
                <w:color w:val="auto"/>
              </w:rPr>
              <w:t>Without Cause/</w:t>
            </w:r>
          </w:p>
        </w:tc>
        <w:tc>
          <w:tcPr>
            <w:tcW w:w="2320" w:type="dxa"/>
            <w:vAlign w:val="bottom"/>
          </w:tcPr>
          <w:p>
            <w:pPr>
              <w:jc w:val="right"/>
              <w:ind w:right="9"/>
              <w:spacing w:after="0"/>
              <w:rPr>
                <w:sz w:val="20"/>
                <w:szCs w:val="20"/>
                <w:color w:val="auto"/>
              </w:rPr>
            </w:pPr>
            <w:r>
              <w:rPr>
                <w:rFonts w:ascii="Arial" w:cs="Arial" w:eastAsia="Arial" w:hAnsi="Arial"/>
                <w:sz w:val="14"/>
                <w:szCs w:val="14"/>
                <w:color w:val="auto"/>
              </w:rPr>
              <w:t>7,500,000</w:t>
            </w:r>
          </w:p>
        </w:tc>
        <w:tc>
          <w:tcPr>
            <w:tcW w:w="1000" w:type="dxa"/>
            <w:vAlign w:val="bottom"/>
          </w:tcPr>
          <w:p>
            <w:pPr>
              <w:jc w:val="right"/>
              <w:spacing w:after="0"/>
              <w:rPr>
                <w:sz w:val="20"/>
                <w:szCs w:val="20"/>
                <w:color w:val="auto"/>
              </w:rPr>
            </w:pPr>
            <w:r>
              <w:rPr>
                <w:rFonts w:ascii="Arial" w:cs="Arial" w:eastAsia="Arial" w:hAnsi="Arial"/>
                <w:sz w:val="14"/>
                <w:szCs w:val="14"/>
                <w:color w:val="auto"/>
              </w:rPr>
              <w:t>22,500,000</w:t>
            </w:r>
          </w:p>
        </w:tc>
        <w:tc>
          <w:tcPr>
            <w:tcW w:w="1020" w:type="dxa"/>
            <w:vAlign w:val="bottom"/>
          </w:tcPr>
          <w:p>
            <w:pPr>
              <w:jc w:val="right"/>
              <w:spacing w:after="0"/>
              <w:rPr>
                <w:sz w:val="20"/>
                <w:szCs w:val="20"/>
                <w:color w:val="auto"/>
              </w:rPr>
            </w:pPr>
            <w:r>
              <w:rPr>
                <w:rFonts w:ascii="Arial" w:cs="Arial" w:eastAsia="Arial" w:hAnsi="Arial"/>
                <w:sz w:val="14"/>
                <w:szCs w:val="14"/>
                <w:color w:val="auto"/>
              </w:rPr>
              <w:t>7,500,003</w:t>
            </w:r>
          </w:p>
        </w:tc>
        <w:tc>
          <w:tcPr>
            <w:tcW w:w="1120" w:type="dxa"/>
            <w:vAlign w:val="bottom"/>
          </w:tcPr>
          <w:p>
            <w:pPr>
              <w:jc w:val="right"/>
              <w:spacing w:after="0"/>
              <w:rPr>
                <w:sz w:val="20"/>
                <w:szCs w:val="20"/>
                <w:color w:val="auto"/>
              </w:rPr>
            </w:pPr>
            <w:r>
              <w:rPr>
                <w:rFonts w:ascii="Arial" w:cs="Arial" w:eastAsia="Arial" w:hAnsi="Arial"/>
                <w:sz w:val="14"/>
                <w:szCs w:val="14"/>
                <w:color w:val="auto"/>
              </w:rPr>
              <w:t>1,772,851</w:t>
            </w:r>
          </w:p>
        </w:tc>
        <w:tc>
          <w:tcPr>
            <w:tcW w:w="1120" w:type="dxa"/>
            <w:vAlign w:val="bottom"/>
          </w:tcPr>
          <w:p>
            <w:pPr>
              <w:jc w:val="right"/>
              <w:spacing w:after="0"/>
              <w:rPr>
                <w:sz w:val="20"/>
                <w:szCs w:val="20"/>
                <w:color w:val="auto"/>
              </w:rPr>
            </w:pPr>
            <w:r>
              <w:rPr>
                <w:rFonts w:ascii="Arial" w:cs="Arial" w:eastAsia="Arial" w:hAnsi="Arial"/>
                <w:sz w:val="14"/>
                <w:szCs w:val="14"/>
                <w:color w:val="auto"/>
              </w:rPr>
              <w:t>44,234,172</w:t>
            </w:r>
          </w:p>
        </w:tc>
        <w:tc>
          <w:tcPr>
            <w:tcW w:w="1040" w:type="dxa"/>
            <w:vAlign w:val="bottom"/>
          </w:tcPr>
          <w:p>
            <w:pPr>
              <w:jc w:val="right"/>
              <w:spacing w:after="0"/>
              <w:rPr>
                <w:sz w:val="20"/>
                <w:szCs w:val="20"/>
                <w:color w:val="auto"/>
              </w:rPr>
            </w:pPr>
            <w:r>
              <w:rPr>
                <w:rFonts w:ascii="Arial" w:cs="Arial" w:eastAsia="Arial" w:hAnsi="Arial"/>
                <w:sz w:val="14"/>
                <w:szCs w:val="14"/>
                <w:color w:val="auto"/>
              </w:rPr>
              <w:t>35,596</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83,542,622</w:t>
            </w:r>
          </w:p>
        </w:tc>
        <w:tc>
          <w:tcPr>
            <w:tcW w:w="0" w:type="dxa"/>
            <w:vAlign w:val="bottom"/>
          </w:tcPr>
          <w:p>
            <w:pPr>
              <w:spacing w:after="0"/>
              <w:rPr>
                <w:sz w:val="1"/>
                <w:szCs w:val="1"/>
                <w:color w:val="auto"/>
              </w:rPr>
            </w:pPr>
          </w:p>
        </w:tc>
      </w:tr>
      <w:tr>
        <w:trPr>
          <w:trHeight w:val="228"/>
        </w:trPr>
        <w:tc>
          <w:tcPr>
            <w:tcW w:w="2780" w:type="dxa"/>
            <w:vAlign w:val="bottom"/>
            <w:tcBorders>
              <w:bottom w:val="single" w:sz="8" w:color="DCDDDE"/>
            </w:tcBorders>
            <w:gridSpan w:val="2"/>
          </w:tcPr>
          <w:p>
            <w:pPr>
              <w:ind w:left="80"/>
              <w:spacing w:after="0" w:line="229" w:lineRule="exact"/>
              <w:rPr>
                <w:sz w:val="20"/>
                <w:szCs w:val="20"/>
                <w:color w:val="auto"/>
              </w:rPr>
            </w:pPr>
            <w:r>
              <w:rPr>
                <w:rFonts w:ascii="Arial" w:cs="Arial" w:eastAsia="Arial" w:hAnsi="Arial"/>
                <w:sz w:val="14"/>
                <w:szCs w:val="14"/>
                <w:color w:val="auto"/>
              </w:rPr>
              <w:t>With Good Reason</w:t>
            </w:r>
            <w:r>
              <w:rPr>
                <w:rFonts w:ascii="Arial" w:cs="Arial" w:eastAsia="Arial" w:hAnsi="Arial"/>
                <w:sz w:val="23"/>
                <w:szCs w:val="23"/>
                <w:color w:val="auto"/>
                <w:vertAlign w:val="superscript"/>
              </w:rPr>
              <w:t>(2)</w:t>
            </w:r>
          </w:p>
        </w:tc>
        <w:tc>
          <w:tcPr>
            <w:tcW w:w="2320" w:type="dxa"/>
            <w:vAlign w:val="bottom"/>
            <w:tcBorders>
              <w:bottom w:val="single" w:sz="8" w:color="DCDDDE"/>
            </w:tcBorders>
          </w:tcPr>
          <w:p>
            <w:pPr>
              <w:spacing w:after="0"/>
              <w:rPr>
                <w:sz w:val="19"/>
                <w:szCs w:val="19"/>
                <w:color w:val="auto"/>
              </w:rPr>
            </w:pPr>
          </w:p>
        </w:tc>
        <w:tc>
          <w:tcPr>
            <w:tcW w:w="1000" w:type="dxa"/>
            <w:vAlign w:val="bottom"/>
            <w:tcBorders>
              <w:bottom w:val="single" w:sz="8" w:color="DCDDDE"/>
            </w:tcBorders>
          </w:tcPr>
          <w:p>
            <w:pPr>
              <w:spacing w:after="0"/>
              <w:rPr>
                <w:sz w:val="19"/>
                <w:szCs w:val="19"/>
                <w:color w:val="auto"/>
              </w:rPr>
            </w:pPr>
          </w:p>
        </w:tc>
        <w:tc>
          <w:tcPr>
            <w:tcW w:w="1020" w:type="dxa"/>
            <w:vAlign w:val="bottom"/>
            <w:tcBorders>
              <w:bottom w:val="single" w:sz="8" w:color="DCDDDE"/>
            </w:tcBorders>
          </w:tcPr>
          <w:p>
            <w:pPr>
              <w:spacing w:after="0"/>
              <w:rPr>
                <w:sz w:val="19"/>
                <w:szCs w:val="19"/>
                <w:color w:val="auto"/>
              </w:rPr>
            </w:pPr>
          </w:p>
        </w:tc>
        <w:tc>
          <w:tcPr>
            <w:tcW w:w="1120" w:type="dxa"/>
            <w:vAlign w:val="bottom"/>
            <w:tcBorders>
              <w:bottom w:val="single" w:sz="8" w:color="DCDDDE"/>
            </w:tcBorders>
          </w:tcPr>
          <w:p>
            <w:pPr>
              <w:spacing w:after="0"/>
              <w:rPr>
                <w:sz w:val="19"/>
                <w:szCs w:val="19"/>
                <w:color w:val="auto"/>
              </w:rPr>
            </w:pPr>
          </w:p>
        </w:tc>
        <w:tc>
          <w:tcPr>
            <w:tcW w:w="1120" w:type="dxa"/>
            <w:vAlign w:val="bottom"/>
            <w:tcBorders>
              <w:bottom w:val="single" w:sz="8" w:color="DCDDDE"/>
            </w:tcBorders>
          </w:tcPr>
          <w:p>
            <w:pPr>
              <w:spacing w:after="0"/>
              <w:rPr>
                <w:sz w:val="19"/>
                <w:szCs w:val="19"/>
                <w:color w:val="auto"/>
              </w:rPr>
            </w:pPr>
          </w:p>
        </w:tc>
        <w:tc>
          <w:tcPr>
            <w:tcW w:w="1040" w:type="dxa"/>
            <w:vAlign w:val="bottom"/>
            <w:tcBorders>
              <w:bottom w:val="single" w:sz="8" w:color="DCDDDE"/>
            </w:tcBorders>
          </w:tcPr>
          <w:p>
            <w:pPr>
              <w:spacing w:after="0"/>
              <w:rPr>
                <w:sz w:val="19"/>
                <w:szCs w:val="19"/>
                <w:color w:val="auto"/>
              </w:rPr>
            </w:pPr>
          </w:p>
        </w:tc>
        <w:tc>
          <w:tcPr>
            <w:tcW w:w="840" w:type="dxa"/>
            <w:vAlign w:val="bottom"/>
            <w:tcBorders>
              <w:bottom w:val="single" w:sz="8" w:color="DCDDDE"/>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780" w:type="dxa"/>
            <w:vAlign w:val="bottom"/>
            <w:tcBorders>
              <w:bottom w:val="single" w:sz="8" w:color="DCDDDE"/>
            </w:tcBorders>
            <w:gridSpan w:val="2"/>
          </w:tcPr>
          <w:p>
            <w:pPr>
              <w:ind w:left="80"/>
              <w:spacing w:after="0" w:line="236" w:lineRule="exact"/>
              <w:rPr>
                <w:sz w:val="20"/>
                <w:szCs w:val="20"/>
                <w:color w:val="auto"/>
              </w:rPr>
            </w:pPr>
            <w:r>
              <w:rPr>
                <w:rFonts w:ascii="Arial" w:cs="Arial" w:eastAsia="Arial" w:hAnsi="Arial"/>
                <w:sz w:val="14"/>
                <w:szCs w:val="14"/>
                <w:color w:val="auto"/>
              </w:rPr>
              <w:t>Death</w:t>
            </w:r>
            <w:r>
              <w:rPr>
                <w:rFonts w:ascii="Arial" w:cs="Arial" w:eastAsia="Arial" w:hAnsi="Arial"/>
                <w:sz w:val="23"/>
                <w:szCs w:val="23"/>
                <w:color w:val="auto"/>
                <w:vertAlign w:val="superscript"/>
              </w:rPr>
              <w:t>(3)</w:t>
            </w:r>
          </w:p>
        </w:tc>
        <w:tc>
          <w:tcPr>
            <w:tcW w:w="232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7,500,003</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1,772,851</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44,234,172</w:t>
            </w:r>
          </w:p>
        </w:tc>
        <w:tc>
          <w:tcPr>
            <w:tcW w:w="1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189,848</w:t>
            </w:r>
          </w:p>
        </w:tc>
        <w:tc>
          <w:tcPr>
            <w:tcW w:w="84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53,696,874</w:t>
            </w:r>
          </w:p>
        </w:tc>
        <w:tc>
          <w:tcPr>
            <w:tcW w:w="0" w:type="dxa"/>
            <w:vAlign w:val="bottom"/>
          </w:tcPr>
          <w:p>
            <w:pPr>
              <w:spacing w:after="0"/>
              <w:rPr>
                <w:sz w:val="1"/>
                <w:szCs w:val="1"/>
                <w:color w:val="auto"/>
              </w:rPr>
            </w:pPr>
          </w:p>
        </w:tc>
      </w:tr>
      <w:tr>
        <w:trPr>
          <w:trHeight w:val="237"/>
        </w:trPr>
        <w:tc>
          <w:tcPr>
            <w:tcW w:w="2780" w:type="dxa"/>
            <w:vAlign w:val="bottom"/>
            <w:tcBorders>
              <w:bottom w:val="single" w:sz="8" w:color="DCDDDE"/>
            </w:tcBorders>
            <w:gridSpan w:val="2"/>
          </w:tcPr>
          <w:p>
            <w:pPr>
              <w:ind w:left="80"/>
              <w:spacing w:after="0" w:line="236" w:lineRule="exact"/>
              <w:rPr>
                <w:sz w:val="20"/>
                <w:szCs w:val="20"/>
                <w:color w:val="auto"/>
              </w:rPr>
            </w:pPr>
            <w:r>
              <w:rPr>
                <w:rFonts w:ascii="Arial" w:cs="Arial" w:eastAsia="Arial" w:hAnsi="Arial"/>
                <w:sz w:val="14"/>
                <w:szCs w:val="14"/>
                <w:color w:val="auto"/>
              </w:rPr>
              <w:t>Disability</w:t>
            </w:r>
            <w:r>
              <w:rPr>
                <w:rFonts w:ascii="Arial" w:cs="Arial" w:eastAsia="Arial" w:hAnsi="Arial"/>
                <w:sz w:val="23"/>
                <w:szCs w:val="23"/>
                <w:color w:val="auto"/>
                <w:vertAlign w:val="superscript"/>
              </w:rPr>
              <w:t>(4)</w:t>
            </w:r>
          </w:p>
        </w:tc>
        <w:tc>
          <w:tcPr>
            <w:tcW w:w="232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7,500,000</w:t>
            </w:r>
          </w:p>
        </w:tc>
        <w:tc>
          <w:tcPr>
            <w:tcW w:w="10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22,500,000</w:t>
            </w:r>
          </w:p>
        </w:tc>
        <w:tc>
          <w:tcPr>
            <w:tcW w:w="10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7,500,003</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1,772,851</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44,234,172</w:t>
            </w:r>
          </w:p>
        </w:tc>
        <w:tc>
          <w:tcPr>
            <w:tcW w:w="1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83,507,026</w:t>
            </w:r>
          </w:p>
        </w:tc>
        <w:tc>
          <w:tcPr>
            <w:tcW w:w="0" w:type="dxa"/>
            <w:vAlign w:val="bottom"/>
          </w:tcPr>
          <w:p>
            <w:pPr>
              <w:spacing w:after="0"/>
              <w:rPr>
                <w:sz w:val="1"/>
                <w:szCs w:val="1"/>
                <w:color w:val="auto"/>
              </w:rPr>
            </w:pPr>
          </w:p>
        </w:tc>
      </w:tr>
      <w:tr>
        <w:trPr>
          <w:trHeight w:val="237"/>
        </w:trPr>
        <w:tc>
          <w:tcPr>
            <w:tcW w:w="2780" w:type="dxa"/>
            <w:vAlign w:val="bottom"/>
            <w:tcBorders>
              <w:bottom w:val="single" w:sz="8" w:color="DCDDDE"/>
            </w:tcBorders>
            <w:gridSpan w:val="2"/>
          </w:tcPr>
          <w:p>
            <w:pPr>
              <w:ind w:left="80"/>
              <w:spacing w:after="0" w:line="236" w:lineRule="exact"/>
              <w:rPr>
                <w:sz w:val="20"/>
                <w:szCs w:val="20"/>
                <w:color w:val="auto"/>
              </w:rPr>
            </w:pPr>
            <w:r>
              <w:rPr>
                <w:rFonts w:ascii="Arial" w:cs="Arial" w:eastAsia="Arial" w:hAnsi="Arial"/>
                <w:sz w:val="14"/>
                <w:szCs w:val="14"/>
                <w:color w:val="auto"/>
              </w:rPr>
              <w:t>Retirement</w:t>
            </w:r>
            <w:r>
              <w:rPr>
                <w:rFonts w:ascii="Arial" w:cs="Arial" w:eastAsia="Arial" w:hAnsi="Arial"/>
                <w:sz w:val="23"/>
                <w:szCs w:val="23"/>
                <w:color w:val="auto"/>
                <w:vertAlign w:val="superscript"/>
              </w:rPr>
              <w:t>(5)</w:t>
            </w:r>
          </w:p>
        </w:tc>
        <w:tc>
          <w:tcPr>
            <w:tcW w:w="232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1,772,851</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44,234,172</w:t>
            </w:r>
          </w:p>
        </w:tc>
        <w:tc>
          <w:tcPr>
            <w:tcW w:w="1880" w:type="dxa"/>
            <w:vAlign w:val="bottom"/>
            <w:tcBorders>
              <w:bottom w:val="single" w:sz="8" w:color="DCDDDE"/>
            </w:tcBorders>
            <w:gridSpan w:val="2"/>
          </w:tcPr>
          <w:p>
            <w:pPr>
              <w:jc w:val="right"/>
              <w:ind w:right="9"/>
              <w:spacing w:after="0"/>
              <w:rPr>
                <w:sz w:val="20"/>
                <w:szCs w:val="20"/>
                <w:color w:val="auto"/>
              </w:rPr>
            </w:pPr>
            <w:r>
              <w:rPr>
                <w:rFonts w:ascii="Arial" w:cs="Arial" w:eastAsia="Arial" w:hAnsi="Arial"/>
                <w:sz w:val="14"/>
                <w:szCs w:val="14"/>
                <w:color w:val="auto"/>
              </w:rPr>
              <w:t>— 46,007,023</w:t>
            </w:r>
          </w:p>
        </w:tc>
        <w:tc>
          <w:tcPr>
            <w:tcW w:w="0" w:type="dxa"/>
            <w:vAlign w:val="bottom"/>
          </w:tcPr>
          <w:p>
            <w:pPr>
              <w:spacing w:after="0"/>
              <w:rPr>
                <w:sz w:val="1"/>
                <w:szCs w:val="1"/>
                <w:color w:val="auto"/>
              </w:rPr>
            </w:pPr>
          </w:p>
        </w:tc>
      </w:tr>
      <w:tr>
        <w:trPr>
          <w:trHeight w:val="237"/>
        </w:trPr>
        <w:tc>
          <w:tcPr>
            <w:tcW w:w="2780" w:type="dxa"/>
            <w:vAlign w:val="bottom"/>
            <w:tcBorders>
              <w:bottom w:val="single" w:sz="8" w:color="auto"/>
            </w:tcBorders>
            <w:gridSpan w:val="2"/>
          </w:tcPr>
          <w:p>
            <w:pPr>
              <w:ind w:left="80"/>
              <w:spacing w:after="0" w:line="236" w:lineRule="exact"/>
              <w:rPr>
                <w:sz w:val="20"/>
                <w:szCs w:val="20"/>
                <w:color w:val="auto"/>
              </w:rPr>
            </w:pPr>
            <w:r>
              <w:rPr>
                <w:rFonts w:ascii="Arial" w:cs="Arial" w:eastAsia="Arial" w:hAnsi="Arial"/>
                <w:sz w:val="14"/>
                <w:szCs w:val="14"/>
                <w:color w:val="auto"/>
              </w:rPr>
              <w:t>Change in Control</w:t>
            </w:r>
            <w:r>
              <w:rPr>
                <w:rFonts w:ascii="Arial" w:cs="Arial" w:eastAsia="Arial" w:hAnsi="Arial"/>
                <w:sz w:val="23"/>
                <w:szCs w:val="23"/>
                <w:color w:val="auto"/>
                <w:vertAlign w:val="superscript"/>
              </w:rPr>
              <w:t>(6)</w:t>
            </w:r>
          </w:p>
        </w:tc>
        <w:tc>
          <w:tcPr>
            <w:tcW w:w="2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780" w:type="dxa"/>
            <w:vAlign w:val="bottom"/>
            <w:tcBorders>
              <w:bottom w:val="single" w:sz="8" w:color="DCDDDE"/>
            </w:tcBorders>
            <w:gridSpan w:val="2"/>
          </w:tcPr>
          <w:p>
            <w:pPr>
              <w:ind w:left="80"/>
              <w:spacing w:after="0"/>
              <w:rPr>
                <w:sz w:val="20"/>
                <w:szCs w:val="20"/>
                <w:color w:val="auto"/>
              </w:rPr>
            </w:pPr>
            <w:r>
              <w:rPr>
                <w:rFonts w:ascii="Arial" w:cs="Arial" w:eastAsia="Arial" w:hAnsi="Arial"/>
                <w:sz w:val="14"/>
                <w:szCs w:val="14"/>
                <w:b w:val="1"/>
                <w:bCs w:val="1"/>
                <w:color w:val="auto"/>
              </w:rPr>
              <w:t>Michael J. Cavanagh</w:t>
            </w:r>
          </w:p>
        </w:tc>
        <w:tc>
          <w:tcPr>
            <w:tcW w:w="2320" w:type="dxa"/>
            <w:vAlign w:val="bottom"/>
            <w:tcBorders>
              <w:bottom w:val="single" w:sz="8" w:color="DCDDDE"/>
            </w:tcBorders>
          </w:tcPr>
          <w:p>
            <w:pPr>
              <w:spacing w:after="0"/>
              <w:rPr>
                <w:sz w:val="18"/>
                <w:szCs w:val="18"/>
                <w:color w:val="auto"/>
              </w:rPr>
            </w:pPr>
          </w:p>
        </w:tc>
        <w:tc>
          <w:tcPr>
            <w:tcW w:w="1000" w:type="dxa"/>
            <w:vAlign w:val="bottom"/>
            <w:tcBorders>
              <w:bottom w:val="single" w:sz="8" w:color="DCDDDE"/>
            </w:tcBorders>
          </w:tcPr>
          <w:p>
            <w:pPr>
              <w:spacing w:after="0"/>
              <w:rPr>
                <w:sz w:val="18"/>
                <w:szCs w:val="18"/>
                <w:color w:val="auto"/>
              </w:rPr>
            </w:pPr>
          </w:p>
        </w:tc>
        <w:tc>
          <w:tcPr>
            <w:tcW w:w="1020" w:type="dxa"/>
            <w:vAlign w:val="bottom"/>
            <w:tcBorders>
              <w:bottom w:val="single" w:sz="8" w:color="DCDDDE"/>
            </w:tcBorders>
          </w:tcPr>
          <w:p>
            <w:pPr>
              <w:spacing w:after="0"/>
              <w:rPr>
                <w:sz w:val="18"/>
                <w:szCs w:val="18"/>
                <w:color w:val="auto"/>
              </w:rPr>
            </w:pPr>
          </w:p>
        </w:tc>
        <w:tc>
          <w:tcPr>
            <w:tcW w:w="1120" w:type="dxa"/>
            <w:vAlign w:val="bottom"/>
            <w:tcBorders>
              <w:bottom w:val="single" w:sz="8" w:color="DCDDDE"/>
            </w:tcBorders>
          </w:tcPr>
          <w:p>
            <w:pPr>
              <w:spacing w:after="0"/>
              <w:rPr>
                <w:sz w:val="18"/>
                <w:szCs w:val="18"/>
                <w:color w:val="auto"/>
              </w:rPr>
            </w:pPr>
          </w:p>
        </w:tc>
        <w:tc>
          <w:tcPr>
            <w:tcW w:w="1120" w:type="dxa"/>
            <w:vAlign w:val="bottom"/>
            <w:tcBorders>
              <w:bottom w:val="single" w:sz="8" w:color="DCDDDE"/>
            </w:tcBorders>
          </w:tcPr>
          <w:p>
            <w:pPr>
              <w:spacing w:after="0"/>
              <w:rPr>
                <w:sz w:val="18"/>
                <w:szCs w:val="18"/>
                <w:color w:val="auto"/>
              </w:rPr>
            </w:pPr>
          </w:p>
        </w:tc>
        <w:tc>
          <w:tcPr>
            <w:tcW w:w="1040" w:type="dxa"/>
            <w:vAlign w:val="bottom"/>
            <w:tcBorders>
              <w:bottom w:val="single" w:sz="8" w:color="DCDDDE"/>
            </w:tcBorders>
          </w:tcPr>
          <w:p>
            <w:pPr>
              <w:spacing w:after="0"/>
              <w:rPr>
                <w:sz w:val="18"/>
                <w:szCs w:val="18"/>
                <w:color w:val="auto"/>
              </w:rPr>
            </w:pPr>
          </w:p>
        </w:tc>
        <w:tc>
          <w:tcPr>
            <w:tcW w:w="84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780" w:type="dxa"/>
            <w:vAlign w:val="bottom"/>
            <w:gridSpan w:val="2"/>
          </w:tcPr>
          <w:p>
            <w:pPr>
              <w:ind w:left="80"/>
              <w:spacing w:after="0"/>
              <w:rPr>
                <w:sz w:val="20"/>
                <w:szCs w:val="20"/>
                <w:color w:val="auto"/>
              </w:rPr>
            </w:pPr>
            <w:r>
              <w:rPr>
                <w:rFonts w:ascii="Arial" w:cs="Arial" w:eastAsia="Arial" w:hAnsi="Arial"/>
                <w:sz w:val="14"/>
                <w:szCs w:val="14"/>
                <w:color w:val="auto"/>
              </w:rPr>
              <w:t>Without Cause/</w:t>
            </w:r>
          </w:p>
        </w:tc>
        <w:tc>
          <w:tcPr>
            <w:tcW w:w="2320" w:type="dxa"/>
            <w:vAlign w:val="bottom"/>
          </w:tcPr>
          <w:p>
            <w:pPr>
              <w:jc w:val="right"/>
              <w:ind w:right="9"/>
              <w:spacing w:after="0"/>
              <w:rPr>
                <w:sz w:val="20"/>
                <w:szCs w:val="20"/>
                <w:color w:val="auto"/>
              </w:rPr>
            </w:pPr>
            <w:r>
              <w:rPr>
                <w:rFonts w:ascii="Arial" w:cs="Arial" w:eastAsia="Arial" w:hAnsi="Arial"/>
                <w:sz w:val="14"/>
                <w:szCs w:val="14"/>
                <w:color w:val="auto"/>
              </w:rPr>
              <w:t>5,000,000</w:t>
            </w:r>
          </w:p>
        </w:tc>
        <w:tc>
          <w:tcPr>
            <w:tcW w:w="1000" w:type="dxa"/>
            <w:vAlign w:val="bottom"/>
          </w:tcPr>
          <w:p>
            <w:pPr>
              <w:jc w:val="right"/>
              <w:spacing w:after="0"/>
              <w:rPr>
                <w:sz w:val="20"/>
                <w:szCs w:val="20"/>
                <w:color w:val="auto"/>
              </w:rPr>
            </w:pPr>
            <w:r>
              <w:rPr>
                <w:rFonts w:ascii="Arial" w:cs="Arial" w:eastAsia="Arial" w:hAnsi="Arial"/>
                <w:sz w:val="14"/>
                <w:szCs w:val="14"/>
                <w:color w:val="auto"/>
              </w:rPr>
              <w:t>7,500,000</w:t>
            </w:r>
          </w:p>
        </w:tc>
        <w:tc>
          <w:tcPr>
            <w:tcW w:w="1020" w:type="dxa"/>
            <w:vAlign w:val="bottom"/>
          </w:tcPr>
          <w:p>
            <w:pPr>
              <w:jc w:val="right"/>
              <w:spacing w:after="0"/>
              <w:rPr>
                <w:sz w:val="20"/>
                <w:szCs w:val="20"/>
                <w:color w:val="auto"/>
              </w:rPr>
            </w:pPr>
            <w:r>
              <w:rPr>
                <w:rFonts w:ascii="Arial" w:cs="Arial" w:eastAsia="Arial" w:hAnsi="Arial"/>
                <w:sz w:val="14"/>
                <w:szCs w:val="14"/>
                <w:color w:val="auto"/>
              </w:rPr>
              <w:t>7,500,003</w:t>
            </w:r>
          </w:p>
        </w:tc>
        <w:tc>
          <w:tcPr>
            <w:tcW w:w="1120" w:type="dxa"/>
            <w:vAlign w:val="bottom"/>
          </w:tcPr>
          <w:p>
            <w:pPr>
              <w:jc w:val="right"/>
              <w:spacing w:after="0"/>
              <w:rPr>
                <w:sz w:val="20"/>
                <w:szCs w:val="20"/>
                <w:color w:val="auto"/>
              </w:rPr>
            </w:pPr>
            <w:r>
              <w:rPr>
                <w:rFonts w:ascii="Arial" w:cs="Arial" w:eastAsia="Arial" w:hAnsi="Arial"/>
                <w:sz w:val="14"/>
                <w:szCs w:val="14"/>
                <w:color w:val="auto"/>
              </w:rPr>
              <w:t>735,735</w:t>
            </w:r>
          </w:p>
        </w:tc>
        <w:tc>
          <w:tcPr>
            <w:tcW w:w="1120" w:type="dxa"/>
            <w:vAlign w:val="bottom"/>
          </w:tcPr>
          <w:p>
            <w:pPr>
              <w:jc w:val="right"/>
              <w:spacing w:after="0"/>
              <w:rPr>
                <w:sz w:val="20"/>
                <w:szCs w:val="20"/>
                <w:color w:val="auto"/>
              </w:rPr>
            </w:pPr>
            <w:r>
              <w:rPr>
                <w:rFonts w:ascii="Arial" w:cs="Arial" w:eastAsia="Arial" w:hAnsi="Arial"/>
                <w:sz w:val="14"/>
                <w:szCs w:val="14"/>
                <w:color w:val="auto"/>
              </w:rPr>
              <w:t>10,780,680</w:t>
            </w:r>
          </w:p>
        </w:tc>
        <w:tc>
          <w:tcPr>
            <w:tcW w:w="1040" w:type="dxa"/>
            <w:vAlign w:val="bottom"/>
          </w:tcPr>
          <w:p>
            <w:pPr>
              <w:jc w:val="right"/>
              <w:spacing w:after="0"/>
              <w:rPr>
                <w:sz w:val="20"/>
                <w:szCs w:val="20"/>
                <w:color w:val="auto"/>
              </w:rPr>
            </w:pPr>
            <w:r>
              <w:rPr>
                <w:rFonts w:ascii="Arial" w:cs="Arial" w:eastAsia="Arial" w:hAnsi="Arial"/>
                <w:sz w:val="14"/>
                <w:szCs w:val="14"/>
                <w:color w:val="auto"/>
              </w:rPr>
              <w:t>23,335</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31,539,753</w:t>
            </w:r>
          </w:p>
        </w:tc>
        <w:tc>
          <w:tcPr>
            <w:tcW w:w="0" w:type="dxa"/>
            <w:vAlign w:val="bottom"/>
          </w:tcPr>
          <w:p>
            <w:pPr>
              <w:spacing w:after="0"/>
              <w:rPr>
                <w:sz w:val="1"/>
                <w:szCs w:val="1"/>
                <w:color w:val="auto"/>
              </w:rPr>
            </w:pPr>
          </w:p>
        </w:tc>
      </w:tr>
      <w:tr>
        <w:trPr>
          <w:trHeight w:val="228"/>
        </w:trPr>
        <w:tc>
          <w:tcPr>
            <w:tcW w:w="2780" w:type="dxa"/>
            <w:vAlign w:val="bottom"/>
            <w:tcBorders>
              <w:bottom w:val="single" w:sz="8" w:color="DCDDDE"/>
            </w:tcBorders>
            <w:gridSpan w:val="2"/>
          </w:tcPr>
          <w:p>
            <w:pPr>
              <w:ind w:left="80"/>
              <w:spacing w:after="0" w:line="229" w:lineRule="exact"/>
              <w:rPr>
                <w:sz w:val="20"/>
                <w:szCs w:val="20"/>
                <w:color w:val="auto"/>
              </w:rPr>
            </w:pPr>
            <w:r>
              <w:rPr>
                <w:rFonts w:ascii="Arial" w:cs="Arial" w:eastAsia="Arial" w:hAnsi="Arial"/>
                <w:sz w:val="14"/>
                <w:szCs w:val="14"/>
                <w:color w:val="auto"/>
              </w:rPr>
              <w:t>With Good Reason</w:t>
            </w:r>
            <w:r>
              <w:rPr>
                <w:rFonts w:ascii="Arial" w:cs="Arial" w:eastAsia="Arial" w:hAnsi="Arial"/>
                <w:sz w:val="23"/>
                <w:szCs w:val="23"/>
                <w:color w:val="auto"/>
                <w:vertAlign w:val="superscript"/>
              </w:rPr>
              <w:t>(7)</w:t>
            </w:r>
          </w:p>
        </w:tc>
        <w:tc>
          <w:tcPr>
            <w:tcW w:w="2320" w:type="dxa"/>
            <w:vAlign w:val="bottom"/>
            <w:tcBorders>
              <w:bottom w:val="single" w:sz="8" w:color="DCDDDE"/>
            </w:tcBorders>
          </w:tcPr>
          <w:p>
            <w:pPr>
              <w:spacing w:after="0"/>
              <w:rPr>
                <w:sz w:val="19"/>
                <w:szCs w:val="19"/>
                <w:color w:val="auto"/>
              </w:rPr>
            </w:pPr>
          </w:p>
        </w:tc>
        <w:tc>
          <w:tcPr>
            <w:tcW w:w="1000" w:type="dxa"/>
            <w:vAlign w:val="bottom"/>
            <w:tcBorders>
              <w:bottom w:val="single" w:sz="8" w:color="DCDDDE"/>
            </w:tcBorders>
          </w:tcPr>
          <w:p>
            <w:pPr>
              <w:spacing w:after="0"/>
              <w:rPr>
                <w:sz w:val="19"/>
                <w:szCs w:val="19"/>
                <w:color w:val="auto"/>
              </w:rPr>
            </w:pPr>
          </w:p>
        </w:tc>
        <w:tc>
          <w:tcPr>
            <w:tcW w:w="1020" w:type="dxa"/>
            <w:vAlign w:val="bottom"/>
            <w:tcBorders>
              <w:bottom w:val="single" w:sz="8" w:color="DCDDDE"/>
            </w:tcBorders>
          </w:tcPr>
          <w:p>
            <w:pPr>
              <w:spacing w:after="0"/>
              <w:rPr>
                <w:sz w:val="19"/>
                <w:szCs w:val="19"/>
                <w:color w:val="auto"/>
              </w:rPr>
            </w:pPr>
          </w:p>
        </w:tc>
        <w:tc>
          <w:tcPr>
            <w:tcW w:w="1120" w:type="dxa"/>
            <w:vAlign w:val="bottom"/>
            <w:tcBorders>
              <w:bottom w:val="single" w:sz="8" w:color="DCDDDE"/>
            </w:tcBorders>
          </w:tcPr>
          <w:p>
            <w:pPr>
              <w:spacing w:after="0"/>
              <w:rPr>
                <w:sz w:val="19"/>
                <w:szCs w:val="19"/>
                <w:color w:val="auto"/>
              </w:rPr>
            </w:pPr>
          </w:p>
        </w:tc>
        <w:tc>
          <w:tcPr>
            <w:tcW w:w="1120" w:type="dxa"/>
            <w:vAlign w:val="bottom"/>
            <w:tcBorders>
              <w:bottom w:val="single" w:sz="8" w:color="DCDDDE"/>
            </w:tcBorders>
          </w:tcPr>
          <w:p>
            <w:pPr>
              <w:spacing w:after="0"/>
              <w:rPr>
                <w:sz w:val="19"/>
                <w:szCs w:val="19"/>
                <w:color w:val="auto"/>
              </w:rPr>
            </w:pPr>
          </w:p>
        </w:tc>
        <w:tc>
          <w:tcPr>
            <w:tcW w:w="1040" w:type="dxa"/>
            <w:vAlign w:val="bottom"/>
            <w:tcBorders>
              <w:bottom w:val="single" w:sz="8" w:color="DCDDDE"/>
            </w:tcBorders>
          </w:tcPr>
          <w:p>
            <w:pPr>
              <w:spacing w:after="0"/>
              <w:rPr>
                <w:sz w:val="19"/>
                <w:szCs w:val="19"/>
                <w:color w:val="auto"/>
              </w:rPr>
            </w:pPr>
          </w:p>
        </w:tc>
        <w:tc>
          <w:tcPr>
            <w:tcW w:w="840" w:type="dxa"/>
            <w:vAlign w:val="bottom"/>
            <w:tcBorders>
              <w:bottom w:val="single" w:sz="8" w:color="DCDDDE"/>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DCDDDE"/>
            </w:tcBorders>
            <w:gridSpan w:val="2"/>
          </w:tcPr>
          <w:p>
            <w:pPr>
              <w:ind w:left="80"/>
              <w:spacing w:after="0" w:line="236" w:lineRule="exact"/>
              <w:rPr>
                <w:sz w:val="20"/>
                <w:szCs w:val="20"/>
                <w:color w:val="auto"/>
              </w:rPr>
            </w:pPr>
            <w:r>
              <w:rPr>
                <w:rFonts w:ascii="Arial" w:cs="Arial" w:eastAsia="Arial" w:hAnsi="Arial"/>
                <w:sz w:val="14"/>
                <w:szCs w:val="14"/>
                <w:color w:val="auto"/>
              </w:rPr>
              <w:t>Death/Disability</w:t>
            </w:r>
            <w:r>
              <w:rPr>
                <w:rFonts w:ascii="Arial" w:cs="Arial" w:eastAsia="Arial" w:hAnsi="Arial"/>
                <w:sz w:val="23"/>
                <w:szCs w:val="23"/>
                <w:color w:val="auto"/>
                <w:vertAlign w:val="superscript"/>
              </w:rPr>
              <w:t>(8)</w:t>
            </w:r>
          </w:p>
        </w:tc>
        <w:tc>
          <w:tcPr>
            <w:tcW w:w="232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625,000</w:t>
            </w:r>
          </w:p>
        </w:tc>
        <w:tc>
          <w:tcPr>
            <w:tcW w:w="10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7,500,003</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6,456,265</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33,047,792</w:t>
            </w:r>
          </w:p>
        </w:tc>
        <w:tc>
          <w:tcPr>
            <w:tcW w:w="1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47,629,060</w:t>
            </w:r>
          </w:p>
        </w:tc>
        <w:tc>
          <w:tcPr>
            <w:tcW w:w="0" w:type="dxa"/>
            <w:vAlign w:val="bottom"/>
          </w:tcPr>
          <w:p>
            <w:pPr>
              <w:spacing w:after="0"/>
              <w:rPr>
                <w:sz w:val="1"/>
                <w:szCs w:val="1"/>
                <w:color w:val="auto"/>
              </w:rPr>
            </w:pPr>
          </w:p>
        </w:tc>
      </w:tr>
      <w:tr>
        <w:trPr>
          <w:trHeight w:val="237"/>
        </w:trPr>
        <w:tc>
          <w:tcPr>
            <w:tcW w:w="2780" w:type="dxa"/>
            <w:vAlign w:val="bottom"/>
            <w:tcBorders>
              <w:bottom w:val="single" w:sz="8" w:color="DCDDDE"/>
            </w:tcBorders>
            <w:gridSpan w:val="2"/>
          </w:tcPr>
          <w:p>
            <w:pPr>
              <w:ind w:left="80"/>
              <w:spacing w:after="0" w:line="236" w:lineRule="exact"/>
              <w:rPr>
                <w:sz w:val="20"/>
                <w:szCs w:val="20"/>
                <w:color w:val="auto"/>
              </w:rPr>
            </w:pPr>
            <w:r>
              <w:rPr>
                <w:rFonts w:ascii="Arial" w:cs="Arial" w:eastAsia="Arial" w:hAnsi="Arial"/>
                <w:sz w:val="14"/>
                <w:szCs w:val="14"/>
                <w:color w:val="auto"/>
              </w:rPr>
              <w:t>Retirement</w:t>
            </w:r>
            <w:r>
              <w:rPr>
                <w:rFonts w:ascii="Arial" w:cs="Arial" w:eastAsia="Arial" w:hAnsi="Arial"/>
                <w:sz w:val="23"/>
                <w:szCs w:val="23"/>
                <w:color w:val="auto"/>
                <w:vertAlign w:val="superscript"/>
              </w:rPr>
              <w:t>(5)</w:t>
            </w:r>
          </w:p>
        </w:tc>
        <w:tc>
          <w:tcPr>
            <w:tcW w:w="232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780" w:type="dxa"/>
            <w:vAlign w:val="bottom"/>
            <w:tcBorders>
              <w:bottom w:val="single" w:sz="8" w:color="auto"/>
            </w:tcBorders>
            <w:gridSpan w:val="2"/>
          </w:tcPr>
          <w:p>
            <w:pPr>
              <w:ind w:left="80"/>
              <w:spacing w:after="0" w:line="236" w:lineRule="exact"/>
              <w:rPr>
                <w:sz w:val="20"/>
                <w:szCs w:val="20"/>
                <w:color w:val="auto"/>
              </w:rPr>
            </w:pPr>
            <w:r>
              <w:rPr>
                <w:rFonts w:ascii="Arial" w:cs="Arial" w:eastAsia="Arial" w:hAnsi="Arial"/>
                <w:sz w:val="14"/>
                <w:szCs w:val="14"/>
                <w:color w:val="auto"/>
              </w:rPr>
              <w:t>Change in Control</w:t>
            </w:r>
            <w:r>
              <w:rPr>
                <w:rFonts w:ascii="Arial" w:cs="Arial" w:eastAsia="Arial" w:hAnsi="Arial"/>
                <w:sz w:val="23"/>
                <w:szCs w:val="23"/>
                <w:color w:val="auto"/>
                <w:vertAlign w:val="superscript"/>
              </w:rPr>
              <w:t>(6)</w:t>
            </w:r>
          </w:p>
        </w:tc>
        <w:tc>
          <w:tcPr>
            <w:tcW w:w="2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780" w:type="dxa"/>
            <w:vAlign w:val="bottom"/>
            <w:tcBorders>
              <w:bottom w:val="single" w:sz="8" w:color="DCDDDE"/>
            </w:tcBorders>
            <w:gridSpan w:val="2"/>
          </w:tcPr>
          <w:p>
            <w:pPr>
              <w:ind w:left="80"/>
              <w:spacing w:after="0"/>
              <w:rPr>
                <w:sz w:val="20"/>
                <w:szCs w:val="20"/>
                <w:color w:val="auto"/>
              </w:rPr>
            </w:pPr>
            <w:r>
              <w:rPr>
                <w:rFonts w:ascii="Arial" w:cs="Arial" w:eastAsia="Arial" w:hAnsi="Arial"/>
                <w:sz w:val="14"/>
                <w:szCs w:val="14"/>
                <w:b w:val="1"/>
                <w:bCs w:val="1"/>
                <w:color w:val="auto"/>
              </w:rPr>
              <w:t>Jason S. Armstrong</w:t>
            </w:r>
          </w:p>
        </w:tc>
        <w:tc>
          <w:tcPr>
            <w:tcW w:w="2320" w:type="dxa"/>
            <w:vAlign w:val="bottom"/>
            <w:tcBorders>
              <w:bottom w:val="single" w:sz="8" w:color="DCDDDE"/>
            </w:tcBorders>
          </w:tcPr>
          <w:p>
            <w:pPr>
              <w:spacing w:after="0"/>
              <w:rPr>
                <w:sz w:val="18"/>
                <w:szCs w:val="18"/>
                <w:color w:val="auto"/>
              </w:rPr>
            </w:pPr>
          </w:p>
        </w:tc>
        <w:tc>
          <w:tcPr>
            <w:tcW w:w="1000" w:type="dxa"/>
            <w:vAlign w:val="bottom"/>
            <w:tcBorders>
              <w:bottom w:val="single" w:sz="8" w:color="DCDDDE"/>
            </w:tcBorders>
          </w:tcPr>
          <w:p>
            <w:pPr>
              <w:spacing w:after="0"/>
              <w:rPr>
                <w:sz w:val="18"/>
                <w:szCs w:val="18"/>
                <w:color w:val="auto"/>
              </w:rPr>
            </w:pPr>
          </w:p>
        </w:tc>
        <w:tc>
          <w:tcPr>
            <w:tcW w:w="1020" w:type="dxa"/>
            <w:vAlign w:val="bottom"/>
            <w:tcBorders>
              <w:bottom w:val="single" w:sz="8" w:color="DCDDDE"/>
            </w:tcBorders>
          </w:tcPr>
          <w:p>
            <w:pPr>
              <w:spacing w:after="0"/>
              <w:rPr>
                <w:sz w:val="18"/>
                <w:szCs w:val="18"/>
                <w:color w:val="auto"/>
              </w:rPr>
            </w:pPr>
          </w:p>
        </w:tc>
        <w:tc>
          <w:tcPr>
            <w:tcW w:w="1120" w:type="dxa"/>
            <w:vAlign w:val="bottom"/>
            <w:tcBorders>
              <w:bottom w:val="single" w:sz="8" w:color="DCDDDE"/>
            </w:tcBorders>
          </w:tcPr>
          <w:p>
            <w:pPr>
              <w:spacing w:after="0"/>
              <w:rPr>
                <w:sz w:val="18"/>
                <w:szCs w:val="18"/>
                <w:color w:val="auto"/>
              </w:rPr>
            </w:pPr>
          </w:p>
        </w:tc>
        <w:tc>
          <w:tcPr>
            <w:tcW w:w="1120" w:type="dxa"/>
            <w:vAlign w:val="bottom"/>
            <w:tcBorders>
              <w:bottom w:val="single" w:sz="8" w:color="DCDDDE"/>
            </w:tcBorders>
          </w:tcPr>
          <w:p>
            <w:pPr>
              <w:spacing w:after="0"/>
              <w:rPr>
                <w:sz w:val="18"/>
                <w:szCs w:val="18"/>
                <w:color w:val="auto"/>
              </w:rPr>
            </w:pPr>
          </w:p>
        </w:tc>
        <w:tc>
          <w:tcPr>
            <w:tcW w:w="1040" w:type="dxa"/>
            <w:vAlign w:val="bottom"/>
            <w:tcBorders>
              <w:bottom w:val="single" w:sz="8" w:color="DCDDDE"/>
            </w:tcBorders>
          </w:tcPr>
          <w:p>
            <w:pPr>
              <w:spacing w:after="0"/>
              <w:rPr>
                <w:sz w:val="18"/>
                <w:szCs w:val="18"/>
                <w:color w:val="auto"/>
              </w:rPr>
            </w:pPr>
          </w:p>
        </w:tc>
        <w:tc>
          <w:tcPr>
            <w:tcW w:w="84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780" w:type="dxa"/>
            <w:vAlign w:val="bottom"/>
            <w:gridSpan w:val="2"/>
          </w:tcPr>
          <w:p>
            <w:pPr>
              <w:ind w:left="80"/>
              <w:spacing w:after="0"/>
              <w:rPr>
                <w:sz w:val="20"/>
                <w:szCs w:val="20"/>
                <w:color w:val="auto"/>
              </w:rPr>
            </w:pPr>
            <w:r>
              <w:rPr>
                <w:rFonts w:ascii="Arial" w:cs="Arial" w:eastAsia="Arial" w:hAnsi="Arial"/>
                <w:sz w:val="14"/>
                <w:szCs w:val="14"/>
                <w:color w:val="auto"/>
              </w:rPr>
              <w:t>Without Cause/</w:t>
            </w:r>
          </w:p>
        </w:tc>
        <w:tc>
          <w:tcPr>
            <w:tcW w:w="2320" w:type="dxa"/>
            <w:vAlign w:val="bottom"/>
          </w:tcPr>
          <w:p>
            <w:pPr>
              <w:jc w:val="right"/>
              <w:ind w:right="9"/>
              <w:spacing w:after="0"/>
              <w:rPr>
                <w:sz w:val="20"/>
                <w:szCs w:val="20"/>
                <w:color w:val="auto"/>
              </w:rPr>
            </w:pPr>
            <w:r>
              <w:rPr>
                <w:rFonts w:ascii="Arial" w:cs="Arial" w:eastAsia="Arial" w:hAnsi="Arial"/>
                <w:sz w:val="14"/>
                <w:szCs w:val="14"/>
                <w:color w:val="auto"/>
              </w:rPr>
              <w:t>3,600,000</w:t>
            </w:r>
          </w:p>
        </w:tc>
        <w:tc>
          <w:tcPr>
            <w:tcW w:w="1000" w:type="dxa"/>
            <w:vAlign w:val="bottom"/>
          </w:tcPr>
          <w:p>
            <w:pPr>
              <w:jc w:val="right"/>
              <w:spacing w:after="0"/>
              <w:rPr>
                <w:sz w:val="20"/>
                <w:szCs w:val="20"/>
                <w:color w:val="auto"/>
              </w:rPr>
            </w:pPr>
            <w:r>
              <w:rPr>
                <w:rFonts w:ascii="Arial" w:cs="Arial" w:eastAsia="Arial" w:hAnsi="Arial"/>
                <w:sz w:val="14"/>
                <w:szCs w:val="14"/>
                <w:color w:val="auto"/>
              </w:rPr>
              <w:t>3,600,000</w:t>
            </w:r>
          </w:p>
        </w:tc>
        <w:tc>
          <w:tcPr>
            <w:tcW w:w="1020" w:type="dxa"/>
            <w:vAlign w:val="bottom"/>
          </w:tcPr>
          <w:p>
            <w:pPr>
              <w:jc w:val="right"/>
              <w:spacing w:after="0"/>
              <w:rPr>
                <w:sz w:val="20"/>
                <w:szCs w:val="20"/>
                <w:color w:val="auto"/>
              </w:rPr>
            </w:pPr>
            <w:r>
              <w:rPr>
                <w:rFonts w:ascii="Arial" w:cs="Arial" w:eastAsia="Arial" w:hAnsi="Arial"/>
                <w:sz w:val="14"/>
                <w:szCs w:val="14"/>
                <w:color w:val="auto"/>
              </w:rPr>
              <w:t>3,992,308</w:t>
            </w:r>
          </w:p>
        </w:tc>
        <w:tc>
          <w:tcPr>
            <w:tcW w:w="1120" w:type="dxa"/>
            <w:vAlign w:val="bottom"/>
          </w:tcPr>
          <w:p>
            <w:pPr>
              <w:jc w:val="right"/>
              <w:spacing w:after="0"/>
              <w:rPr>
                <w:sz w:val="20"/>
                <w:szCs w:val="20"/>
                <w:color w:val="auto"/>
              </w:rPr>
            </w:pPr>
            <w:r>
              <w:rPr>
                <w:rFonts w:ascii="Arial" w:cs="Arial" w:eastAsia="Arial" w:hAnsi="Arial"/>
                <w:sz w:val="14"/>
                <w:szCs w:val="14"/>
                <w:color w:val="auto"/>
              </w:rPr>
              <w:t>43,218</w:t>
            </w:r>
          </w:p>
        </w:tc>
        <w:tc>
          <w:tcPr>
            <w:tcW w:w="1120" w:type="dxa"/>
            <w:vAlign w:val="bottom"/>
          </w:tcPr>
          <w:p>
            <w:pPr>
              <w:jc w:val="right"/>
              <w:spacing w:after="0"/>
              <w:rPr>
                <w:sz w:val="20"/>
                <w:szCs w:val="20"/>
                <w:color w:val="auto"/>
              </w:rPr>
            </w:pPr>
            <w:r>
              <w:rPr>
                <w:rFonts w:ascii="Arial" w:cs="Arial" w:eastAsia="Arial" w:hAnsi="Arial"/>
                <w:sz w:val="14"/>
                <w:szCs w:val="14"/>
                <w:color w:val="auto"/>
              </w:rPr>
              <w:t>886,684</w:t>
            </w:r>
          </w:p>
        </w:tc>
        <w:tc>
          <w:tcPr>
            <w:tcW w:w="1040" w:type="dxa"/>
            <w:vAlign w:val="bottom"/>
          </w:tcPr>
          <w:p>
            <w:pPr>
              <w:jc w:val="right"/>
              <w:spacing w:after="0"/>
              <w:rPr>
                <w:sz w:val="20"/>
                <w:szCs w:val="20"/>
                <w:color w:val="auto"/>
              </w:rPr>
            </w:pPr>
            <w:r>
              <w:rPr>
                <w:rFonts w:ascii="Arial" w:cs="Arial" w:eastAsia="Arial" w:hAnsi="Arial"/>
                <w:sz w:val="14"/>
                <w:szCs w:val="14"/>
                <w:color w:val="auto"/>
              </w:rPr>
              <w:t>23,335</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12,145,545</w:t>
            </w:r>
          </w:p>
        </w:tc>
        <w:tc>
          <w:tcPr>
            <w:tcW w:w="0" w:type="dxa"/>
            <w:vAlign w:val="bottom"/>
          </w:tcPr>
          <w:p>
            <w:pPr>
              <w:spacing w:after="0"/>
              <w:rPr>
                <w:sz w:val="1"/>
                <w:szCs w:val="1"/>
                <w:color w:val="auto"/>
              </w:rPr>
            </w:pPr>
          </w:p>
        </w:tc>
      </w:tr>
      <w:tr>
        <w:trPr>
          <w:trHeight w:val="228"/>
        </w:trPr>
        <w:tc>
          <w:tcPr>
            <w:tcW w:w="2780" w:type="dxa"/>
            <w:vAlign w:val="bottom"/>
            <w:tcBorders>
              <w:bottom w:val="single" w:sz="8" w:color="DCDDDE"/>
            </w:tcBorders>
            <w:gridSpan w:val="2"/>
          </w:tcPr>
          <w:p>
            <w:pPr>
              <w:ind w:left="80"/>
              <w:spacing w:after="0" w:line="229" w:lineRule="exact"/>
              <w:rPr>
                <w:sz w:val="20"/>
                <w:szCs w:val="20"/>
                <w:color w:val="auto"/>
              </w:rPr>
            </w:pPr>
            <w:r>
              <w:rPr>
                <w:rFonts w:ascii="Arial" w:cs="Arial" w:eastAsia="Arial" w:hAnsi="Arial"/>
                <w:sz w:val="14"/>
                <w:szCs w:val="14"/>
                <w:color w:val="auto"/>
              </w:rPr>
              <w:t>With Good Reason</w:t>
            </w:r>
            <w:r>
              <w:rPr>
                <w:rFonts w:ascii="Arial" w:cs="Arial" w:eastAsia="Arial" w:hAnsi="Arial"/>
                <w:sz w:val="23"/>
                <w:szCs w:val="23"/>
                <w:color w:val="auto"/>
                <w:vertAlign w:val="superscript"/>
              </w:rPr>
              <w:t>(7)</w:t>
            </w:r>
          </w:p>
        </w:tc>
        <w:tc>
          <w:tcPr>
            <w:tcW w:w="2320" w:type="dxa"/>
            <w:vAlign w:val="bottom"/>
            <w:tcBorders>
              <w:bottom w:val="single" w:sz="8" w:color="DCDDDE"/>
            </w:tcBorders>
          </w:tcPr>
          <w:p>
            <w:pPr>
              <w:spacing w:after="0"/>
              <w:rPr>
                <w:sz w:val="19"/>
                <w:szCs w:val="19"/>
                <w:color w:val="auto"/>
              </w:rPr>
            </w:pPr>
          </w:p>
        </w:tc>
        <w:tc>
          <w:tcPr>
            <w:tcW w:w="1000" w:type="dxa"/>
            <w:vAlign w:val="bottom"/>
            <w:tcBorders>
              <w:bottom w:val="single" w:sz="8" w:color="DCDDDE"/>
            </w:tcBorders>
          </w:tcPr>
          <w:p>
            <w:pPr>
              <w:spacing w:after="0"/>
              <w:rPr>
                <w:sz w:val="19"/>
                <w:szCs w:val="19"/>
                <w:color w:val="auto"/>
              </w:rPr>
            </w:pPr>
          </w:p>
        </w:tc>
        <w:tc>
          <w:tcPr>
            <w:tcW w:w="1020" w:type="dxa"/>
            <w:vAlign w:val="bottom"/>
            <w:tcBorders>
              <w:bottom w:val="single" w:sz="8" w:color="DCDDDE"/>
            </w:tcBorders>
          </w:tcPr>
          <w:p>
            <w:pPr>
              <w:spacing w:after="0"/>
              <w:rPr>
                <w:sz w:val="19"/>
                <w:szCs w:val="19"/>
                <w:color w:val="auto"/>
              </w:rPr>
            </w:pPr>
          </w:p>
        </w:tc>
        <w:tc>
          <w:tcPr>
            <w:tcW w:w="1120" w:type="dxa"/>
            <w:vAlign w:val="bottom"/>
            <w:tcBorders>
              <w:bottom w:val="single" w:sz="8" w:color="DCDDDE"/>
            </w:tcBorders>
          </w:tcPr>
          <w:p>
            <w:pPr>
              <w:spacing w:after="0"/>
              <w:rPr>
                <w:sz w:val="19"/>
                <w:szCs w:val="19"/>
                <w:color w:val="auto"/>
              </w:rPr>
            </w:pPr>
          </w:p>
        </w:tc>
        <w:tc>
          <w:tcPr>
            <w:tcW w:w="1120" w:type="dxa"/>
            <w:vAlign w:val="bottom"/>
            <w:tcBorders>
              <w:bottom w:val="single" w:sz="8" w:color="DCDDDE"/>
            </w:tcBorders>
          </w:tcPr>
          <w:p>
            <w:pPr>
              <w:spacing w:after="0"/>
              <w:rPr>
                <w:sz w:val="19"/>
                <w:szCs w:val="19"/>
                <w:color w:val="auto"/>
              </w:rPr>
            </w:pPr>
          </w:p>
        </w:tc>
        <w:tc>
          <w:tcPr>
            <w:tcW w:w="1040" w:type="dxa"/>
            <w:vAlign w:val="bottom"/>
            <w:tcBorders>
              <w:bottom w:val="single" w:sz="8" w:color="DCDDDE"/>
            </w:tcBorders>
          </w:tcPr>
          <w:p>
            <w:pPr>
              <w:spacing w:after="0"/>
              <w:rPr>
                <w:sz w:val="19"/>
                <w:szCs w:val="19"/>
                <w:color w:val="auto"/>
              </w:rPr>
            </w:pPr>
          </w:p>
        </w:tc>
        <w:tc>
          <w:tcPr>
            <w:tcW w:w="840" w:type="dxa"/>
            <w:vAlign w:val="bottom"/>
            <w:tcBorders>
              <w:bottom w:val="single" w:sz="8" w:color="DCDDDE"/>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DCDDDE"/>
            </w:tcBorders>
            <w:gridSpan w:val="2"/>
          </w:tcPr>
          <w:p>
            <w:pPr>
              <w:ind w:left="80"/>
              <w:spacing w:after="0" w:line="236" w:lineRule="exact"/>
              <w:rPr>
                <w:sz w:val="20"/>
                <w:szCs w:val="20"/>
                <w:color w:val="auto"/>
              </w:rPr>
            </w:pPr>
            <w:r>
              <w:rPr>
                <w:rFonts w:ascii="Arial" w:cs="Arial" w:eastAsia="Arial" w:hAnsi="Arial"/>
                <w:sz w:val="14"/>
                <w:szCs w:val="14"/>
                <w:color w:val="auto"/>
              </w:rPr>
              <w:t>Death/Disability</w:t>
            </w:r>
            <w:r>
              <w:rPr>
                <w:rFonts w:ascii="Arial" w:cs="Arial" w:eastAsia="Arial" w:hAnsi="Arial"/>
                <w:sz w:val="23"/>
                <w:szCs w:val="23"/>
                <w:color w:val="auto"/>
                <w:vertAlign w:val="superscript"/>
              </w:rPr>
              <w:t>(8)</w:t>
            </w:r>
          </w:p>
        </w:tc>
        <w:tc>
          <w:tcPr>
            <w:tcW w:w="232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450,000</w:t>
            </w:r>
          </w:p>
        </w:tc>
        <w:tc>
          <w:tcPr>
            <w:tcW w:w="10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3,992,308</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172,872</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10,662,461</w:t>
            </w:r>
          </w:p>
        </w:tc>
        <w:tc>
          <w:tcPr>
            <w:tcW w:w="1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15,277,641</w:t>
            </w:r>
          </w:p>
        </w:tc>
        <w:tc>
          <w:tcPr>
            <w:tcW w:w="0" w:type="dxa"/>
            <w:vAlign w:val="bottom"/>
          </w:tcPr>
          <w:p>
            <w:pPr>
              <w:spacing w:after="0"/>
              <w:rPr>
                <w:sz w:val="1"/>
                <w:szCs w:val="1"/>
                <w:color w:val="auto"/>
              </w:rPr>
            </w:pPr>
          </w:p>
        </w:tc>
      </w:tr>
      <w:tr>
        <w:trPr>
          <w:trHeight w:val="237"/>
        </w:trPr>
        <w:tc>
          <w:tcPr>
            <w:tcW w:w="2780" w:type="dxa"/>
            <w:vAlign w:val="bottom"/>
            <w:tcBorders>
              <w:bottom w:val="single" w:sz="8" w:color="DCDDDE"/>
            </w:tcBorders>
            <w:gridSpan w:val="2"/>
          </w:tcPr>
          <w:p>
            <w:pPr>
              <w:ind w:left="80"/>
              <w:spacing w:after="0" w:line="236" w:lineRule="exact"/>
              <w:rPr>
                <w:sz w:val="20"/>
                <w:szCs w:val="20"/>
                <w:color w:val="auto"/>
              </w:rPr>
            </w:pPr>
            <w:r>
              <w:rPr>
                <w:rFonts w:ascii="Arial" w:cs="Arial" w:eastAsia="Arial" w:hAnsi="Arial"/>
                <w:sz w:val="14"/>
                <w:szCs w:val="14"/>
                <w:color w:val="auto"/>
              </w:rPr>
              <w:t>Retirement</w:t>
            </w:r>
            <w:r>
              <w:rPr>
                <w:rFonts w:ascii="Arial" w:cs="Arial" w:eastAsia="Arial" w:hAnsi="Arial"/>
                <w:sz w:val="23"/>
                <w:szCs w:val="23"/>
                <w:color w:val="auto"/>
                <w:vertAlign w:val="superscript"/>
              </w:rPr>
              <w:t>(5)</w:t>
            </w:r>
          </w:p>
        </w:tc>
        <w:tc>
          <w:tcPr>
            <w:tcW w:w="232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auto"/>
            </w:tcBorders>
            <w:gridSpan w:val="2"/>
          </w:tcPr>
          <w:p>
            <w:pPr>
              <w:ind w:left="80"/>
              <w:spacing w:after="0" w:line="236" w:lineRule="exact"/>
              <w:rPr>
                <w:sz w:val="20"/>
                <w:szCs w:val="20"/>
                <w:color w:val="auto"/>
              </w:rPr>
            </w:pPr>
            <w:r>
              <w:rPr>
                <w:rFonts w:ascii="Arial" w:cs="Arial" w:eastAsia="Arial" w:hAnsi="Arial"/>
                <w:sz w:val="14"/>
                <w:szCs w:val="14"/>
                <w:color w:val="auto"/>
              </w:rPr>
              <w:t>Change in Control</w:t>
            </w:r>
            <w:r>
              <w:rPr>
                <w:rFonts w:ascii="Arial" w:cs="Arial" w:eastAsia="Arial" w:hAnsi="Arial"/>
                <w:sz w:val="23"/>
                <w:szCs w:val="23"/>
                <w:color w:val="auto"/>
                <w:vertAlign w:val="superscript"/>
              </w:rPr>
              <w:t>(6)</w:t>
            </w:r>
          </w:p>
        </w:tc>
        <w:tc>
          <w:tcPr>
            <w:tcW w:w="2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DCDDDE"/>
            </w:tcBorders>
            <w:gridSpan w:val="2"/>
          </w:tcPr>
          <w:p>
            <w:pPr>
              <w:ind w:left="80"/>
              <w:spacing w:after="0"/>
              <w:rPr>
                <w:sz w:val="20"/>
                <w:szCs w:val="20"/>
                <w:color w:val="auto"/>
              </w:rPr>
            </w:pPr>
            <w:r>
              <w:rPr>
                <w:rFonts w:ascii="Arial" w:cs="Arial" w:eastAsia="Arial" w:hAnsi="Arial"/>
                <w:sz w:val="14"/>
                <w:szCs w:val="14"/>
                <w:b w:val="1"/>
                <w:bCs w:val="1"/>
                <w:color w:val="auto"/>
              </w:rPr>
              <w:t>Thomas J. Reid</w:t>
            </w:r>
          </w:p>
        </w:tc>
        <w:tc>
          <w:tcPr>
            <w:tcW w:w="2320" w:type="dxa"/>
            <w:vAlign w:val="bottom"/>
            <w:tcBorders>
              <w:bottom w:val="single" w:sz="8" w:color="DCDDDE"/>
            </w:tcBorders>
          </w:tcPr>
          <w:p>
            <w:pPr>
              <w:spacing w:after="0"/>
              <w:rPr>
                <w:sz w:val="18"/>
                <w:szCs w:val="18"/>
                <w:color w:val="auto"/>
              </w:rPr>
            </w:pPr>
          </w:p>
        </w:tc>
        <w:tc>
          <w:tcPr>
            <w:tcW w:w="1000" w:type="dxa"/>
            <w:vAlign w:val="bottom"/>
            <w:tcBorders>
              <w:bottom w:val="single" w:sz="8" w:color="DCDDDE"/>
            </w:tcBorders>
          </w:tcPr>
          <w:p>
            <w:pPr>
              <w:spacing w:after="0"/>
              <w:rPr>
                <w:sz w:val="18"/>
                <w:szCs w:val="18"/>
                <w:color w:val="auto"/>
              </w:rPr>
            </w:pPr>
          </w:p>
        </w:tc>
        <w:tc>
          <w:tcPr>
            <w:tcW w:w="1020" w:type="dxa"/>
            <w:vAlign w:val="bottom"/>
            <w:tcBorders>
              <w:bottom w:val="single" w:sz="8" w:color="DCDDDE"/>
            </w:tcBorders>
          </w:tcPr>
          <w:p>
            <w:pPr>
              <w:spacing w:after="0"/>
              <w:rPr>
                <w:sz w:val="18"/>
                <w:szCs w:val="18"/>
                <w:color w:val="auto"/>
              </w:rPr>
            </w:pPr>
          </w:p>
        </w:tc>
        <w:tc>
          <w:tcPr>
            <w:tcW w:w="1120" w:type="dxa"/>
            <w:vAlign w:val="bottom"/>
            <w:tcBorders>
              <w:bottom w:val="single" w:sz="8" w:color="DCDDDE"/>
            </w:tcBorders>
          </w:tcPr>
          <w:p>
            <w:pPr>
              <w:spacing w:after="0"/>
              <w:rPr>
                <w:sz w:val="18"/>
                <w:szCs w:val="18"/>
                <w:color w:val="auto"/>
              </w:rPr>
            </w:pPr>
          </w:p>
        </w:tc>
        <w:tc>
          <w:tcPr>
            <w:tcW w:w="1120" w:type="dxa"/>
            <w:vAlign w:val="bottom"/>
            <w:tcBorders>
              <w:bottom w:val="single" w:sz="8" w:color="DCDDDE"/>
            </w:tcBorders>
          </w:tcPr>
          <w:p>
            <w:pPr>
              <w:spacing w:after="0"/>
              <w:rPr>
                <w:sz w:val="18"/>
                <w:szCs w:val="18"/>
                <w:color w:val="auto"/>
              </w:rPr>
            </w:pPr>
          </w:p>
        </w:tc>
        <w:tc>
          <w:tcPr>
            <w:tcW w:w="1040" w:type="dxa"/>
            <w:vAlign w:val="bottom"/>
            <w:tcBorders>
              <w:bottom w:val="single" w:sz="8" w:color="DCDDDE"/>
            </w:tcBorders>
          </w:tcPr>
          <w:p>
            <w:pPr>
              <w:spacing w:after="0"/>
              <w:rPr>
                <w:sz w:val="18"/>
                <w:szCs w:val="18"/>
                <w:color w:val="auto"/>
              </w:rPr>
            </w:pPr>
          </w:p>
        </w:tc>
        <w:tc>
          <w:tcPr>
            <w:tcW w:w="84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780" w:type="dxa"/>
            <w:vAlign w:val="bottom"/>
            <w:gridSpan w:val="2"/>
          </w:tcPr>
          <w:p>
            <w:pPr>
              <w:ind w:left="80"/>
              <w:spacing w:after="0"/>
              <w:rPr>
                <w:sz w:val="20"/>
                <w:szCs w:val="20"/>
                <w:color w:val="auto"/>
              </w:rPr>
            </w:pPr>
            <w:r>
              <w:rPr>
                <w:rFonts w:ascii="Arial" w:cs="Arial" w:eastAsia="Arial" w:hAnsi="Arial"/>
                <w:sz w:val="14"/>
                <w:szCs w:val="14"/>
                <w:color w:val="auto"/>
              </w:rPr>
              <w:t>Without Cause/</w:t>
            </w:r>
          </w:p>
        </w:tc>
        <w:tc>
          <w:tcPr>
            <w:tcW w:w="2320" w:type="dxa"/>
            <w:vAlign w:val="bottom"/>
          </w:tcPr>
          <w:p>
            <w:pPr>
              <w:jc w:val="right"/>
              <w:ind w:right="9"/>
              <w:spacing w:after="0"/>
              <w:rPr>
                <w:sz w:val="20"/>
                <w:szCs w:val="20"/>
                <w:color w:val="auto"/>
              </w:rPr>
            </w:pPr>
            <w:r>
              <w:rPr>
                <w:rFonts w:ascii="Arial" w:cs="Arial" w:eastAsia="Arial" w:hAnsi="Arial"/>
                <w:sz w:val="14"/>
                <w:szCs w:val="14"/>
                <w:color w:val="auto"/>
              </w:rPr>
              <w:t>3,800,000</w:t>
            </w:r>
          </w:p>
        </w:tc>
        <w:tc>
          <w:tcPr>
            <w:tcW w:w="1000" w:type="dxa"/>
            <w:vAlign w:val="bottom"/>
          </w:tcPr>
          <w:p>
            <w:pPr>
              <w:jc w:val="right"/>
              <w:spacing w:after="0"/>
              <w:rPr>
                <w:sz w:val="20"/>
                <w:szCs w:val="20"/>
                <w:color w:val="auto"/>
              </w:rPr>
            </w:pPr>
            <w:r>
              <w:rPr>
                <w:rFonts w:ascii="Arial" w:cs="Arial" w:eastAsia="Arial" w:hAnsi="Arial"/>
                <w:sz w:val="14"/>
                <w:szCs w:val="14"/>
                <w:color w:val="auto"/>
              </w:rPr>
              <w:t>4,750,000</w:t>
            </w:r>
          </w:p>
        </w:tc>
        <w:tc>
          <w:tcPr>
            <w:tcW w:w="1020" w:type="dxa"/>
            <w:vAlign w:val="bottom"/>
          </w:tcPr>
          <w:p>
            <w:pPr>
              <w:jc w:val="right"/>
              <w:spacing w:after="0"/>
              <w:rPr>
                <w:sz w:val="20"/>
                <w:szCs w:val="20"/>
                <w:color w:val="auto"/>
              </w:rPr>
            </w:pPr>
            <w:r>
              <w:rPr>
                <w:rFonts w:ascii="Arial" w:cs="Arial" w:eastAsia="Arial" w:hAnsi="Arial"/>
                <w:sz w:val="14"/>
                <w:szCs w:val="14"/>
                <w:color w:val="auto"/>
              </w:rPr>
              <w:t>4,745,198</w:t>
            </w:r>
          </w:p>
        </w:tc>
        <w:tc>
          <w:tcPr>
            <w:tcW w:w="1120" w:type="dxa"/>
            <w:vAlign w:val="bottom"/>
          </w:tcPr>
          <w:p>
            <w:pPr>
              <w:jc w:val="right"/>
              <w:spacing w:after="0"/>
              <w:rPr>
                <w:sz w:val="20"/>
                <w:szCs w:val="20"/>
                <w:color w:val="auto"/>
              </w:rPr>
            </w:pPr>
            <w:r>
              <w:rPr>
                <w:rFonts w:ascii="Arial" w:cs="Arial" w:eastAsia="Arial" w:hAnsi="Arial"/>
                <w:sz w:val="14"/>
                <w:szCs w:val="14"/>
                <w:color w:val="auto"/>
              </w:rPr>
              <w:t>43,218</w:t>
            </w:r>
          </w:p>
        </w:tc>
        <w:tc>
          <w:tcPr>
            <w:tcW w:w="1120" w:type="dxa"/>
            <w:vAlign w:val="bottom"/>
          </w:tcPr>
          <w:p>
            <w:pPr>
              <w:jc w:val="right"/>
              <w:spacing w:after="0"/>
              <w:rPr>
                <w:sz w:val="20"/>
                <w:szCs w:val="20"/>
                <w:color w:val="auto"/>
              </w:rPr>
            </w:pPr>
            <w:r>
              <w:rPr>
                <w:rFonts w:ascii="Arial" w:cs="Arial" w:eastAsia="Arial" w:hAnsi="Arial"/>
                <w:sz w:val="14"/>
                <w:szCs w:val="14"/>
                <w:color w:val="auto"/>
              </w:rPr>
              <w:t>3,221,200</w:t>
            </w:r>
          </w:p>
        </w:tc>
        <w:tc>
          <w:tcPr>
            <w:tcW w:w="1040" w:type="dxa"/>
            <w:vAlign w:val="bottom"/>
          </w:tcPr>
          <w:p>
            <w:pPr>
              <w:jc w:val="right"/>
              <w:spacing w:after="0"/>
              <w:rPr>
                <w:sz w:val="20"/>
                <w:szCs w:val="20"/>
                <w:color w:val="auto"/>
              </w:rPr>
            </w:pPr>
            <w:r>
              <w:rPr>
                <w:rFonts w:ascii="Arial" w:cs="Arial" w:eastAsia="Arial" w:hAnsi="Arial"/>
                <w:sz w:val="14"/>
                <w:szCs w:val="14"/>
                <w:color w:val="auto"/>
              </w:rPr>
              <w:t>18,109</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16,577,724</w:t>
            </w:r>
          </w:p>
        </w:tc>
        <w:tc>
          <w:tcPr>
            <w:tcW w:w="0" w:type="dxa"/>
            <w:vAlign w:val="bottom"/>
          </w:tcPr>
          <w:p>
            <w:pPr>
              <w:spacing w:after="0"/>
              <w:rPr>
                <w:sz w:val="1"/>
                <w:szCs w:val="1"/>
                <w:color w:val="auto"/>
              </w:rPr>
            </w:pPr>
          </w:p>
        </w:tc>
      </w:tr>
      <w:tr>
        <w:trPr>
          <w:trHeight w:val="228"/>
        </w:trPr>
        <w:tc>
          <w:tcPr>
            <w:tcW w:w="2780" w:type="dxa"/>
            <w:vAlign w:val="bottom"/>
            <w:tcBorders>
              <w:bottom w:val="single" w:sz="8" w:color="DCDDDE"/>
            </w:tcBorders>
            <w:gridSpan w:val="2"/>
          </w:tcPr>
          <w:p>
            <w:pPr>
              <w:ind w:left="80"/>
              <w:spacing w:after="0" w:line="229" w:lineRule="exact"/>
              <w:rPr>
                <w:sz w:val="20"/>
                <w:szCs w:val="20"/>
                <w:color w:val="auto"/>
              </w:rPr>
            </w:pPr>
            <w:r>
              <w:rPr>
                <w:rFonts w:ascii="Arial" w:cs="Arial" w:eastAsia="Arial" w:hAnsi="Arial"/>
                <w:sz w:val="14"/>
                <w:szCs w:val="14"/>
                <w:color w:val="auto"/>
              </w:rPr>
              <w:t>With Good Reason</w:t>
            </w:r>
            <w:r>
              <w:rPr>
                <w:rFonts w:ascii="Arial" w:cs="Arial" w:eastAsia="Arial" w:hAnsi="Arial"/>
                <w:sz w:val="23"/>
                <w:szCs w:val="23"/>
                <w:color w:val="auto"/>
                <w:vertAlign w:val="superscript"/>
              </w:rPr>
              <w:t>(7)</w:t>
            </w:r>
          </w:p>
        </w:tc>
        <w:tc>
          <w:tcPr>
            <w:tcW w:w="2320" w:type="dxa"/>
            <w:vAlign w:val="bottom"/>
            <w:tcBorders>
              <w:bottom w:val="single" w:sz="8" w:color="DCDDDE"/>
            </w:tcBorders>
          </w:tcPr>
          <w:p>
            <w:pPr>
              <w:spacing w:after="0"/>
              <w:rPr>
                <w:sz w:val="19"/>
                <w:szCs w:val="19"/>
                <w:color w:val="auto"/>
              </w:rPr>
            </w:pPr>
          </w:p>
        </w:tc>
        <w:tc>
          <w:tcPr>
            <w:tcW w:w="1000" w:type="dxa"/>
            <w:vAlign w:val="bottom"/>
            <w:tcBorders>
              <w:bottom w:val="single" w:sz="8" w:color="DCDDDE"/>
            </w:tcBorders>
          </w:tcPr>
          <w:p>
            <w:pPr>
              <w:spacing w:after="0"/>
              <w:rPr>
                <w:sz w:val="19"/>
                <w:szCs w:val="19"/>
                <w:color w:val="auto"/>
              </w:rPr>
            </w:pPr>
          </w:p>
        </w:tc>
        <w:tc>
          <w:tcPr>
            <w:tcW w:w="1020" w:type="dxa"/>
            <w:vAlign w:val="bottom"/>
            <w:tcBorders>
              <w:bottom w:val="single" w:sz="8" w:color="DCDDDE"/>
            </w:tcBorders>
          </w:tcPr>
          <w:p>
            <w:pPr>
              <w:spacing w:after="0"/>
              <w:rPr>
                <w:sz w:val="19"/>
                <w:szCs w:val="19"/>
                <w:color w:val="auto"/>
              </w:rPr>
            </w:pPr>
          </w:p>
        </w:tc>
        <w:tc>
          <w:tcPr>
            <w:tcW w:w="1120" w:type="dxa"/>
            <w:vAlign w:val="bottom"/>
            <w:tcBorders>
              <w:bottom w:val="single" w:sz="8" w:color="DCDDDE"/>
            </w:tcBorders>
          </w:tcPr>
          <w:p>
            <w:pPr>
              <w:spacing w:after="0"/>
              <w:rPr>
                <w:sz w:val="19"/>
                <w:szCs w:val="19"/>
                <w:color w:val="auto"/>
              </w:rPr>
            </w:pPr>
          </w:p>
        </w:tc>
        <w:tc>
          <w:tcPr>
            <w:tcW w:w="1120" w:type="dxa"/>
            <w:vAlign w:val="bottom"/>
            <w:tcBorders>
              <w:bottom w:val="single" w:sz="8" w:color="DCDDDE"/>
            </w:tcBorders>
          </w:tcPr>
          <w:p>
            <w:pPr>
              <w:spacing w:after="0"/>
              <w:rPr>
                <w:sz w:val="19"/>
                <w:szCs w:val="19"/>
                <w:color w:val="auto"/>
              </w:rPr>
            </w:pPr>
          </w:p>
        </w:tc>
        <w:tc>
          <w:tcPr>
            <w:tcW w:w="1040" w:type="dxa"/>
            <w:vAlign w:val="bottom"/>
            <w:tcBorders>
              <w:bottom w:val="single" w:sz="8" w:color="DCDDDE"/>
            </w:tcBorders>
          </w:tcPr>
          <w:p>
            <w:pPr>
              <w:spacing w:after="0"/>
              <w:rPr>
                <w:sz w:val="19"/>
                <w:szCs w:val="19"/>
                <w:color w:val="auto"/>
              </w:rPr>
            </w:pPr>
          </w:p>
        </w:tc>
        <w:tc>
          <w:tcPr>
            <w:tcW w:w="840" w:type="dxa"/>
            <w:vAlign w:val="bottom"/>
            <w:tcBorders>
              <w:bottom w:val="single" w:sz="8" w:color="DCDDDE"/>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DCDDDE"/>
            </w:tcBorders>
            <w:gridSpan w:val="2"/>
          </w:tcPr>
          <w:p>
            <w:pPr>
              <w:ind w:left="80"/>
              <w:spacing w:after="0" w:line="236" w:lineRule="exact"/>
              <w:rPr>
                <w:sz w:val="20"/>
                <w:szCs w:val="20"/>
                <w:color w:val="auto"/>
              </w:rPr>
            </w:pPr>
            <w:r>
              <w:rPr>
                <w:rFonts w:ascii="Arial" w:cs="Arial" w:eastAsia="Arial" w:hAnsi="Arial"/>
                <w:sz w:val="14"/>
                <w:szCs w:val="14"/>
                <w:color w:val="auto"/>
              </w:rPr>
              <w:t>Death/Disability</w:t>
            </w:r>
            <w:r>
              <w:rPr>
                <w:rFonts w:ascii="Arial" w:cs="Arial" w:eastAsia="Arial" w:hAnsi="Arial"/>
                <w:sz w:val="23"/>
                <w:szCs w:val="23"/>
                <w:color w:val="auto"/>
                <w:vertAlign w:val="superscript"/>
              </w:rPr>
              <w:t>(8)</w:t>
            </w:r>
          </w:p>
        </w:tc>
        <w:tc>
          <w:tcPr>
            <w:tcW w:w="232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475,000</w:t>
            </w:r>
          </w:p>
        </w:tc>
        <w:tc>
          <w:tcPr>
            <w:tcW w:w="10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4,745,198</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172,872</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10,800,196</w:t>
            </w:r>
          </w:p>
        </w:tc>
        <w:tc>
          <w:tcPr>
            <w:tcW w:w="1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16,193,266</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DCDDDE"/>
            </w:tcBorders>
            <w:gridSpan w:val="2"/>
          </w:tcPr>
          <w:p>
            <w:pPr>
              <w:ind w:left="80"/>
              <w:spacing w:after="0" w:line="236" w:lineRule="exact"/>
              <w:rPr>
                <w:sz w:val="20"/>
                <w:szCs w:val="20"/>
                <w:color w:val="auto"/>
              </w:rPr>
            </w:pPr>
            <w:r>
              <w:rPr>
                <w:rFonts w:ascii="Arial" w:cs="Arial" w:eastAsia="Arial" w:hAnsi="Arial"/>
                <w:sz w:val="14"/>
                <w:szCs w:val="14"/>
                <w:color w:val="auto"/>
              </w:rPr>
              <w:t>Retirement</w:t>
            </w:r>
            <w:r>
              <w:rPr>
                <w:rFonts w:ascii="Arial" w:cs="Arial" w:eastAsia="Arial" w:hAnsi="Arial"/>
                <w:sz w:val="23"/>
                <w:szCs w:val="23"/>
                <w:color w:val="auto"/>
                <w:vertAlign w:val="superscript"/>
              </w:rPr>
              <w:t>(5)</w:t>
            </w:r>
          </w:p>
        </w:tc>
        <w:tc>
          <w:tcPr>
            <w:tcW w:w="232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780" w:type="dxa"/>
            <w:vAlign w:val="bottom"/>
            <w:tcBorders>
              <w:bottom w:val="single" w:sz="8" w:color="auto"/>
            </w:tcBorders>
            <w:gridSpan w:val="2"/>
          </w:tcPr>
          <w:p>
            <w:pPr>
              <w:ind w:left="80"/>
              <w:spacing w:after="0" w:line="236" w:lineRule="exact"/>
              <w:rPr>
                <w:sz w:val="20"/>
                <w:szCs w:val="20"/>
                <w:color w:val="auto"/>
              </w:rPr>
            </w:pPr>
            <w:r>
              <w:rPr>
                <w:rFonts w:ascii="Arial" w:cs="Arial" w:eastAsia="Arial" w:hAnsi="Arial"/>
                <w:sz w:val="14"/>
                <w:szCs w:val="14"/>
                <w:color w:val="auto"/>
              </w:rPr>
              <w:t>Change in Control</w:t>
            </w:r>
            <w:r>
              <w:rPr>
                <w:rFonts w:ascii="Arial" w:cs="Arial" w:eastAsia="Arial" w:hAnsi="Arial"/>
                <w:sz w:val="23"/>
                <w:szCs w:val="23"/>
                <w:color w:val="auto"/>
                <w:vertAlign w:val="superscript"/>
              </w:rPr>
              <w:t>(6)</w:t>
            </w:r>
          </w:p>
        </w:tc>
        <w:tc>
          <w:tcPr>
            <w:tcW w:w="2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780" w:type="dxa"/>
            <w:vAlign w:val="bottom"/>
            <w:tcBorders>
              <w:bottom w:val="single" w:sz="8" w:color="DCDDDE"/>
            </w:tcBorders>
            <w:gridSpan w:val="2"/>
          </w:tcPr>
          <w:p>
            <w:pPr>
              <w:ind w:left="80"/>
              <w:spacing w:after="0"/>
              <w:rPr>
                <w:sz w:val="20"/>
                <w:szCs w:val="20"/>
                <w:color w:val="auto"/>
              </w:rPr>
            </w:pPr>
            <w:r>
              <w:rPr>
                <w:rFonts w:ascii="Arial" w:cs="Arial" w:eastAsia="Arial" w:hAnsi="Arial"/>
                <w:sz w:val="14"/>
                <w:szCs w:val="14"/>
                <w:b w:val="1"/>
                <w:bCs w:val="1"/>
                <w:color w:val="auto"/>
              </w:rPr>
              <w:t>Jennifer Khoury</w:t>
            </w:r>
          </w:p>
        </w:tc>
        <w:tc>
          <w:tcPr>
            <w:tcW w:w="2320" w:type="dxa"/>
            <w:vAlign w:val="bottom"/>
            <w:tcBorders>
              <w:bottom w:val="single" w:sz="8" w:color="DCDDDE"/>
            </w:tcBorders>
          </w:tcPr>
          <w:p>
            <w:pPr>
              <w:spacing w:after="0"/>
              <w:rPr>
                <w:sz w:val="18"/>
                <w:szCs w:val="18"/>
                <w:color w:val="auto"/>
              </w:rPr>
            </w:pPr>
          </w:p>
        </w:tc>
        <w:tc>
          <w:tcPr>
            <w:tcW w:w="1000" w:type="dxa"/>
            <w:vAlign w:val="bottom"/>
            <w:tcBorders>
              <w:bottom w:val="single" w:sz="8" w:color="DCDDDE"/>
            </w:tcBorders>
          </w:tcPr>
          <w:p>
            <w:pPr>
              <w:spacing w:after="0"/>
              <w:rPr>
                <w:sz w:val="18"/>
                <w:szCs w:val="18"/>
                <w:color w:val="auto"/>
              </w:rPr>
            </w:pPr>
          </w:p>
        </w:tc>
        <w:tc>
          <w:tcPr>
            <w:tcW w:w="1020" w:type="dxa"/>
            <w:vAlign w:val="bottom"/>
            <w:tcBorders>
              <w:bottom w:val="single" w:sz="8" w:color="DCDDDE"/>
            </w:tcBorders>
          </w:tcPr>
          <w:p>
            <w:pPr>
              <w:spacing w:after="0"/>
              <w:rPr>
                <w:sz w:val="18"/>
                <w:szCs w:val="18"/>
                <w:color w:val="auto"/>
              </w:rPr>
            </w:pPr>
          </w:p>
        </w:tc>
        <w:tc>
          <w:tcPr>
            <w:tcW w:w="1120" w:type="dxa"/>
            <w:vAlign w:val="bottom"/>
            <w:tcBorders>
              <w:bottom w:val="single" w:sz="8" w:color="DCDDDE"/>
            </w:tcBorders>
          </w:tcPr>
          <w:p>
            <w:pPr>
              <w:spacing w:after="0"/>
              <w:rPr>
                <w:sz w:val="18"/>
                <w:szCs w:val="18"/>
                <w:color w:val="auto"/>
              </w:rPr>
            </w:pPr>
          </w:p>
        </w:tc>
        <w:tc>
          <w:tcPr>
            <w:tcW w:w="1120" w:type="dxa"/>
            <w:vAlign w:val="bottom"/>
            <w:tcBorders>
              <w:bottom w:val="single" w:sz="8" w:color="DCDDDE"/>
            </w:tcBorders>
          </w:tcPr>
          <w:p>
            <w:pPr>
              <w:spacing w:after="0"/>
              <w:rPr>
                <w:sz w:val="18"/>
                <w:szCs w:val="18"/>
                <w:color w:val="auto"/>
              </w:rPr>
            </w:pPr>
          </w:p>
        </w:tc>
        <w:tc>
          <w:tcPr>
            <w:tcW w:w="1040" w:type="dxa"/>
            <w:vAlign w:val="bottom"/>
            <w:tcBorders>
              <w:bottom w:val="single" w:sz="8" w:color="DCDDDE"/>
            </w:tcBorders>
          </w:tcPr>
          <w:p>
            <w:pPr>
              <w:spacing w:after="0"/>
              <w:rPr>
                <w:sz w:val="18"/>
                <w:szCs w:val="18"/>
                <w:color w:val="auto"/>
              </w:rPr>
            </w:pPr>
          </w:p>
        </w:tc>
        <w:tc>
          <w:tcPr>
            <w:tcW w:w="84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780" w:type="dxa"/>
            <w:vAlign w:val="bottom"/>
            <w:gridSpan w:val="2"/>
          </w:tcPr>
          <w:p>
            <w:pPr>
              <w:ind w:left="80"/>
              <w:spacing w:after="0"/>
              <w:rPr>
                <w:sz w:val="20"/>
                <w:szCs w:val="20"/>
                <w:color w:val="auto"/>
              </w:rPr>
            </w:pPr>
            <w:r>
              <w:rPr>
                <w:rFonts w:ascii="Arial" w:cs="Arial" w:eastAsia="Arial" w:hAnsi="Arial"/>
                <w:sz w:val="14"/>
                <w:szCs w:val="14"/>
                <w:color w:val="auto"/>
              </w:rPr>
              <w:t>Without Cause/</w:t>
            </w:r>
          </w:p>
        </w:tc>
        <w:tc>
          <w:tcPr>
            <w:tcW w:w="2320" w:type="dxa"/>
            <w:vAlign w:val="bottom"/>
          </w:tcPr>
          <w:p>
            <w:pPr>
              <w:jc w:val="right"/>
              <w:ind w:right="9"/>
              <w:spacing w:after="0"/>
              <w:rPr>
                <w:sz w:val="20"/>
                <w:szCs w:val="20"/>
                <w:color w:val="auto"/>
              </w:rPr>
            </w:pPr>
            <w:r>
              <w:rPr>
                <w:rFonts w:ascii="Arial" w:cs="Arial" w:eastAsia="Arial" w:hAnsi="Arial"/>
                <w:sz w:val="14"/>
                <w:szCs w:val="14"/>
                <w:color w:val="auto"/>
              </w:rPr>
              <w:t>3,000,000</w:t>
            </w:r>
          </w:p>
        </w:tc>
        <w:tc>
          <w:tcPr>
            <w:tcW w:w="1000" w:type="dxa"/>
            <w:vAlign w:val="bottom"/>
          </w:tcPr>
          <w:p>
            <w:pPr>
              <w:jc w:val="right"/>
              <w:spacing w:after="0"/>
              <w:rPr>
                <w:sz w:val="20"/>
                <w:szCs w:val="20"/>
                <w:color w:val="auto"/>
              </w:rPr>
            </w:pPr>
            <w:r>
              <w:rPr>
                <w:rFonts w:ascii="Arial" w:cs="Arial" w:eastAsia="Arial" w:hAnsi="Arial"/>
                <w:sz w:val="14"/>
                <w:szCs w:val="14"/>
                <w:color w:val="auto"/>
              </w:rPr>
              <w:t>2,250,000</w:t>
            </w:r>
          </w:p>
        </w:tc>
        <w:tc>
          <w:tcPr>
            <w:tcW w:w="1020" w:type="dxa"/>
            <w:vAlign w:val="bottom"/>
          </w:tcPr>
          <w:p>
            <w:pPr>
              <w:jc w:val="right"/>
              <w:spacing w:after="0"/>
              <w:rPr>
                <w:sz w:val="20"/>
                <w:szCs w:val="20"/>
                <w:color w:val="auto"/>
              </w:rPr>
            </w:pPr>
            <w:r>
              <w:rPr>
                <w:rFonts w:ascii="Arial" w:cs="Arial" w:eastAsia="Arial" w:hAnsi="Arial"/>
                <w:sz w:val="14"/>
                <w:szCs w:val="14"/>
                <w:color w:val="auto"/>
              </w:rPr>
              <w:t>2,250,000</w:t>
            </w:r>
          </w:p>
        </w:tc>
        <w:tc>
          <w:tcPr>
            <w:tcW w:w="1120" w:type="dxa"/>
            <w:vAlign w:val="bottom"/>
          </w:tcPr>
          <w:p>
            <w:pPr>
              <w:jc w:val="right"/>
              <w:spacing w:after="0"/>
              <w:rPr>
                <w:sz w:val="20"/>
                <w:szCs w:val="20"/>
                <w:color w:val="auto"/>
              </w:rPr>
            </w:pPr>
            <w:r>
              <w:rPr>
                <w:rFonts w:ascii="Arial" w:cs="Arial" w:eastAsia="Arial" w:hAnsi="Arial"/>
                <w:sz w:val="14"/>
                <w:szCs w:val="14"/>
                <w:color w:val="auto"/>
              </w:rPr>
              <w:t>12,965</w:t>
            </w:r>
          </w:p>
        </w:tc>
        <w:tc>
          <w:tcPr>
            <w:tcW w:w="1120" w:type="dxa"/>
            <w:vAlign w:val="bottom"/>
          </w:tcPr>
          <w:p>
            <w:pPr>
              <w:jc w:val="right"/>
              <w:spacing w:after="0"/>
              <w:rPr>
                <w:sz w:val="20"/>
                <w:szCs w:val="20"/>
                <w:color w:val="auto"/>
              </w:rPr>
            </w:pPr>
            <w:r>
              <w:rPr>
                <w:rFonts w:ascii="Arial" w:cs="Arial" w:eastAsia="Arial" w:hAnsi="Arial"/>
                <w:sz w:val="14"/>
                <w:szCs w:val="14"/>
                <w:color w:val="auto"/>
              </w:rPr>
              <w:t>928,868</w:t>
            </w:r>
          </w:p>
        </w:tc>
        <w:tc>
          <w:tcPr>
            <w:tcW w:w="1040" w:type="dxa"/>
            <w:vAlign w:val="bottom"/>
          </w:tcPr>
          <w:p>
            <w:pPr>
              <w:jc w:val="right"/>
              <w:spacing w:after="0"/>
              <w:rPr>
                <w:sz w:val="20"/>
                <w:szCs w:val="20"/>
                <w:color w:val="auto"/>
              </w:rPr>
            </w:pPr>
            <w:r>
              <w:rPr>
                <w:rFonts w:ascii="Arial" w:cs="Arial" w:eastAsia="Arial" w:hAnsi="Arial"/>
                <w:sz w:val="14"/>
                <w:szCs w:val="14"/>
                <w:color w:val="auto"/>
              </w:rPr>
              <w:t>23,335</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8,465,168</w:t>
            </w:r>
          </w:p>
        </w:tc>
        <w:tc>
          <w:tcPr>
            <w:tcW w:w="0" w:type="dxa"/>
            <w:vAlign w:val="bottom"/>
          </w:tcPr>
          <w:p>
            <w:pPr>
              <w:spacing w:after="0"/>
              <w:rPr>
                <w:sz w:val="1"/>
                <w:szCs w:val="1"/>
                <w:color w:val="auto"/>
              </w:rPr>
            </w:pPr>
          </w:p>
        </w:tc>
      </w:tr>
      <w:tr>
        <w:trPr>
          <w:trHeight w:val="228"/>
        </w:trPr>
        <w:tc>
          <w:tcPr>
            <w:tcW w:w="2780" w:type="dxa"/>
            <w:vAlign w:val="bottom"/>
            <w:tcBorders>
              <w:bottom w:val="single" w:sz="8" w:color="DCDDDE"/>
            </w:tcBorders>
            <w:gridSpan w:val="2"/>
          </w:tcPr>
          <w:p>
            <w:pPr>
              <w:ind w:left="80"/>
              <w:spacing w:after="0" w:line="229" w:lineRule="exact"/>
              <w:rPr>
                <w:sz w:val="20"/>
                <w:szCs w:val="20"/>
                <w:color w:val="auto"/>
              </w:rPr>
            </w:pPr>
            <w:r>
              <w:rPr>
                <w:rFonts w:ascii="Arial" w:cs="Arial" w:eastAsia="Arial" w:hAnsi="Arial"/>
                <w:sz w:val="14"/>
                <w:szCs w:val="14"/>
                <w:color w:val="auto"/>
              </w:rPr>
              <w:t>With Good Reason</w:t>
            </w:r>
            <w:r>
              <w:rPr>
                <w:rFonts w:ascii="Arial" w:cs="Arial" w:eastAsia="Arial" w:hAnsi="Arial"/>
                <w:sz w:val="23"/>
                <w:szCs w:val="23"/>
                <w:color w:val="auto"/>
                <w:vertAlign w:val="superscript"/>
              </w:rPr>
              <w:t>(7)</w:t>
            </w:r>
          </w:p>
        </w:tc>
        <w:tc>
          <w:tcPr>
            <w:tcW w:w="2320" w:type="dxa"/>
            <w:vAlign w:val="bottom"/>
            <w:tcBorders>
              <w:bottom w:val="single" w:sz="8" w:color="DCDDDE"/>
            </w:tcBorders>
          </w:tcPr>
          <w:p>
            <w:pPr>
              <w:spacing w:after="0"/>
              <w:rPr>
                <w:sz w:val="19"/>
                <w:szCs w:val="19"/>
                <w:color w:val="auto"/>
              </w:rPr>
            </w:pPr>
          </w:p>
        </w:tc>
        <w:tc>
          <w:tcPr>
            <w:tcW w:w="1000" w:type="dxa"/>
            <w:vAlign w:val="bottom"/>
            <w:tcBorders>
              <w:bottom w:val="single" w:sz="8" w:color="DCDDDE"/>
            </w:tcBorders>
          </w:tcPr>
          <w:p>
            <w:pPr>
              <w:spacing w:after="0"/>
              <w:rPr>
                <w:sz w:val="19"/>
                <w:szCs w:val="19"/>
                <w:color w:val="auto"/>
              </w:rPr>
            </w:pPr>
          </w:p>
        </w:tc>
        <w:tc>
          <w:tcPr>
            <w:tcW w:w="1020" w:type="dxa"/>
            <w:vAlign w:val="bottom"/>
            <w:tcBorders>
              <w:bottom w:val="single" w:sz="8" w:color="DCDDDE"/>
            </w:tcBorders>
          </w:tcPr>
          <w:p>
            <w:pPr>
              <w:spacing w:after="0"/>
              <w:rPr>
                <w:sz w:val="19"/>
                <w:szCs w:val="19"/>
                <w:color w:val="auto"/>
              </w:rPr>
            </w:pPr>
          </w:p>
        </w:tc>
        <w:tc>
          <w:tcPr>
            <w:tcW w:w="1120" w:type="dxa"/>
            <w:vAlign w:val="bottom"/>
            <w:tcBorders>
              <w:bottom w:val="single" w:sz="8" w:color="DCDDDE"/>
            </w:tcBorders>
          </w:tcPr>
          <w:p>
            <w:pPr>
              <w:spacing w:after="0"/>
              <w:rPr>
                <w:sz w:val="19"/>
                <w:szCs w:val="19"/>
                <w:color w:val="auto"/>
              </w:rPr>
            </w:pPr>
          </w:p>
        </w:tc>
        <w:tc>
          <w:tcPr>
            <w:tcW w:w="1120" w:type="dxa"/>
            <w:vAlign w:val="bottom"/>
            <w:tcBorders>
              <w:bottom w:val="single" w:sz="8" w:color="DCDDDE"/>
            </w:tcBorders>
          </w:tcPr>
          <w:p>
            <w:pPr>
              <w:spacing w:after="0"/>
              <w:rPr>
                <w:sz w:val="19"/>
                <w:szCs w:val="19"/>
                <w:color w:val="auto"/>
              </w:rPr>
            </w:pPr>
          </w:p>
        </w:tc>
        <w:tc>
          <w:tcPr>
            <w:tcW w:w="1040" w:type="dxa"/>
            <w:vAlign w:val="bottom"/>
            <w:tcBorders>
              <w:bottom w:val="single" w:sz="8" w:color="DCDDDE"/>
            </w:tcBorders>
          </w:tcPr>
          <w:p>
            <w:pPr>
              <w:spacing w:after="0"/>
              <w:rPr>
                <w:sz w:val="19"/>
                <w:szCs w:val="19"/>
                <w:color w:val="auto"/>
              </w:rPr>
            </w:pPr>
          </w:p>
        </w:tc>
        <w:tc>
          <w:tcPr>
            <w:tcW w:w="840" w:type="dxa"/>
            <w:vAlign w:val="bottom"/>
            <w:tcBorders>
              <w:bottom w:val="single" w:sz="8" w:color="DCDDDE"/>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780" w:type="dxa"/>
            <w:vAlign w:val="bottom"/>
            <w:tcBorders>
              <w:bottom w:val="single" w:sz="8" w:color="DCDDDE"/>
            </w:tcBorders>
            <w:gridSpan w:val="2"/>
          </w:tcPr>
          <w:p>
            <w:pPr>
              <w:ind w:left="80"/>
              <w:spacing w:after="0" w:line="236" w:lineRule="exact"/>
              <w:rPr>
                <w:sz w:val="20"/>
                <w:szCs w:val="20"/>
                <w:color w:val="auto"/>
              </w:rPr>
            </w:pPr>
            <w:r>
              <w:rPr>
                <w:rFonts w:ascii="Arial" w:cs="Arial" w:eastAsia="Arial" w:hAnsi="Arial"/>
                <w:sz w:val="14"/>
                <w:szCs w:val="14"/>
                <w:color w:val="auto"/>
              </w:rPr>
              <w:t>Death/Disability</w:t>
            </w:r>
            <w:r>
              <w:rPr>
                <w:rFonts w:ascii="Arial" w:cs="Arial" w:eastAsia="Arial" w:hAnsi="Arial"/>
                <w:sz w:val="23"/>
                <w:szCs w:val="23"/>
                <w:color w:val="auto"/>
                <w:vertAlign w:val="superscript"/>
              </w:rPr>
              <w:t>(8)</w:t>
            </w:r>
          </w:p>
        </w:tc>
        <w:tc>
          <w:tcPr>
            <w:tcW w:w="232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375,000</w:t>
            </w:r>
          </w:p>
        </w:tc>
        <w:tc>
          <w:tcPr>
            <w:tcW w:w="10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2,250,000</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51,862</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3,183,632</w:t>
            </w:r>
          </w:p>
        </w:tc>
        <w:tc>
          <w:tcPr>
            <w:tcW w:w="1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5,860,494</w:t>
            </w:r>
          </w:p>
        </w:tc>
        <w:tc>
          <w:tcPr>
            <w:tcW w:w="0" w:type="dxa"/>
            <w:vAlign w:val="bottom"/>
          </w:tcPr>
          <w:p>
            <w:pPr>
              <w:spacing w:after="0"/>
              <w:rPr>
                <w:sz w:val="1"/>
                <w:szCs w:val="1"/>
                <w:color w:val="auto"/>
              </w:rPr>
            </w:pPr>
          </w:p>
        </w:tc>
      </w:tr>
      <w:tr>
        <w:trPr>
          <w:trHeight w:val="237"/>
        </w:trPr>
        <w:tc>
          <w:tcPr>
            <w:tcW w:w="2780" w:type="dxa"/>
            <w:vAlign w:val="bottom"/>
            <w:tcBorders>
              <w:bottom w:val="single" w:sz="8" w:color="DCDDDE"/>
            </w:tcBorders>
            <w:gridSpan w:val="2"/>
          </w:tcPr>
          <w:p>
            <w:pPr>
              <w:ind w:left="80"/>
              <w:spacing w:after="0" w:line="236" w:lineRule="exact"/>
              <w:rPr>
                <w:sz w:val="20"/>
                <w:szCs w:val="20"/>
                <w:color w:val="auto"/>
              </w:rPr>
            </w:pPr>
            <w:r>
              <w:rPr>
                <w:rFonts w:ascii="Arial" w:cs="Arial" w:eastAsia="Arial" w:hAnsi="Arial"/>
                <w:sz w:val="14"/>
                <w:szCs w:val="14"/>
                <w:color w:val="auto"/>
              </w:rPr>
              <w:t>Retirement</w:t>
            </w:r>
            <w:r>
              <w:rPr>
                <w:rFonts w:ascii="Arial" w:cs="Arial" w:eastAsia="Arial" w:hAnsi="Arial"/>
                <w:sz w:val="23"/>
                <w:szCs w:val="23"/>
                <w:color w:val="auto"/>
                <w:vertAlign w:val="superscript"/>
              </w:rPr>
              <w:t>(5)</w:t>
            </w:r>
          </w:p>
        </w:tc>
        <w:tc>
          <w:tcPr>
            <w:tcW w:w="232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auto"/>
            </w:tcBorders>
            <w:gridSpan w:val="2"/>
          </w:tcPr>
          <w:p>
            <w:pPr>
              <w:ind w:left="80"/>
              <w:spacing w:after="0" w:line="236" w:lineRule="exact"/>
              <w:rPr>
                <w:sz w:val="20"/>
                <w:szCs w:val="20"/>
                <w:color w:val="auto"/>
              </w:rPr>
            </w:pPr>
            <w:r>
              <w:rPr>
                <w:rFonts w:ascii="Arial" w:cs="Arial" w:eastAsia="Arial" w:hAnsi="Arial"/>
                <w:sz w:val="14"/>
                <w:szCs w:val="14"/>
                <w:color w:val="auto"/>
              </w:rPr>
              <w:t>Change in Control</w:t>
            </w:r>
            <w:r>
              <w:rPr>
                <w:rFonts w:ascii="Arial" w:cs="Arial" w:eastAsia="Arial" w:hAnsi="Arial"/>
                <w:sz w:val="23"/>
                <w:szCs w:val="23"/>
                <w:color w:val="auto"/>
                <w:vertAlign w:val="superscript"/>
              </w:rPr>
              <w:t>(6)</w:t>
            </w:r>
          </w:p>
        </w:tc>
        <w:tc>
          <w:tcPr>
            <w:tcW w:w="2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20" w:right="160" w:hanging="312"/>
        <w:spacing w:after="0" w:line="264" w:lineRule="auto"/>
        <w:tabs>
          <w:tab w:leader="none" w:pos="320" w:val="left"/>
        </w:tabs>
        <w:numPr>
          <w:ilvl w:val="0"/>
          <w:numId w:val="90"/>
        </w:numPr>
        <w:rPr>
          <w:rFonts w:ascii="Arial" w:cs="Arial" w:eastAsia="Arial" w:hAnsi="Arial"/>
          <w:sz w:val="13"/>
          <w:szCs w:val="13"/>
          <w:color w:val="auto"/>
        </w:rPr>
      </w:pPr>
      <w:r>
        <w:rPr>
          <w:rFonts w:ascii="Arial" w:cs="Arial" w:eastAsia="Arial" w:hAnsi="Arial"/>
          <w:sz w:val="15"/>
          <w:szCs w:val="15"/>
          <w:color w:val="auto"/>
        </w:rPr>
        <w:t>Based on the closing market price of a share of our Class A common stock as of December 31, 2024 ($37.53), minus, in the case of stock options, the exercise price. PSUs and the Performance Option granted to Mr. Cavanagh are based on the target vesting.</w:t>
      </w:r>
    </w:p>
    <w:p>
      <w:pPr>
        <w:spacing w:after="0" w:line="12" w:lineRule="exact"/>
        <w:rPr>
          <w:rFonts w:ascii="Arial" w:cs="Arial" w:eastAsia="Arial" w:hAnsi="Arial"/>
          <w:sz w:val="13"/>
          <w:szCs w:val="13"/>
          <w:color w:val="auto"/>
        </w:rPr>
      </w:pPr>
    </w:p>
    <w:p>
      <w:pPr>
        <w:ind w:left="320" w:right="60" w:hanging="312"/>
        <w:spacing w:after="0" w:line="234" w:lineRule="auto"/>
        <w:tabs>
          <w:tab w:leader="none" w:pos="320" w:val="left"/>
        </w:tabs>
        <w:numPr>
          <w:ilvl w:val="0"/>
          <w:numId w:val="90"/>
        </w:numPr>
        <w:rPr>
          <w:rFonts w:ascii="Arial" w:cs="Arial" w:eastAsia="Arial" w:hAnsi="Arial"/>
          <w:sz w:val="13"/>
          <w:szCs w:val="13"/>
          <w:color w:val="auto"/>
        </w:rPr>
      </w:pPr>
      <w:r>
        <w:rPr>
          <w:rFonts w:ascii="Arial" w:cs="Arial" w:eastAsia="Arial" w:hAnsi="Arial"/>
          <w:sz w:val="15"/>
          <w:szCs w:val="15"/>
          <w:color w:val="auto"/>
        </w:rPr>
        <w:t>Mr. Roberts’ termination without cause or with good reason would entitle him to (i) payment of his base salary on a monthly basis for three years after the termination date, (ii) payment of his annual cash bonus (appropriately prorated for partial calendar years), assuming full (i.e., 100%) achievement of performance goals, on an annual basis for three years and (iii) vesting of his unvested stock options and stock units in accordance with their terms as if his employment had continued. Mr. Roberts’ receipt of the payments and benefits is subject to his execution of our standard agreement containing certain mutual releases. Mr. Roberts is also entitled to receive a prorated annual cash bonus for the year of his termination, assuming full (i.e., 100%) achievement of the performance goals, and to continued health and welfare benefits for three years after the termination date.</w:t>
      </w:r>
    </w:p>
    <w:p>
      <w:pPr>
        <w:spacing w:after="0" w:line="30" w:lineRule="exact"/>
        <w:rPr>
          <w:rFonts w:ascii="Arial" w:cs="Arial" w:eastAsia="Arial" w:hAnsi="Arial"/>
          <w:sz w:val="13"/>
          <w:szCs w:val="13"/>
          <w:color w:val="auto"/>
        </w:rPr>
      </w:pPr>
    </w:p>
    <w:p>
      <w:pPr>
        <w:jc w:val="both"/>
        <w:ind w:left="320" w:right="200" w:hanging="312"/>
        <w:spacing w:after="0" w:line="244" w:lineRule="auto"/>
        <w:tabs>
          <w:tab w:leader="none" w:pos="320" w:val="left"/>
        </w:tabs>
        <w:numPr>
          <w:ilvl w:val="0"/>
          <w:numId w:val="90"/>
        </w:numPr>
        <w:rPr>
          <w:rFonts w:ascii="Arial" w:cs="Arial" w:eastAsia="Arial" w:hAnsi="Arial"/>
          <w:sz w:val="13"/>
          <w:szCs w:val="13"/>
          <w:color w:val="auto"/>
        </w:rPr>
      </w:pPr>
      <w:r>
        <w:rPr>
          <w:rFonts w:ascii="Arial" w:cs="Arial" w:eastAsia="Arial" w:hAnsi="Arial"/>
          <w:sz w:val="15"/>
          <w:szCs w:val="15"/>
          <w:color w:val="auto"/>
        </w:rPr>
        <w:t>Upon Mr. Roberts’ death, his unvested stock options and stock units will vest in full and his options will remain exercisable for the remainder of their terms. His spouse or his or her estate will receive payment of his annual cash bonus, prorated to reflect the number of days he was employed during the year of his death (assuming full (i.e., 100%) achievement of the performance goals), and his spouse will receive health and welfare benefits during her lifetime.</w:t>
      </w:r>
    </w:p>
    <w:p>
      <w:pPr>
        <w:spacing w:after="0" w:line="27" w:lineRule="exact"/>
        <w:rPr>
          <w:rFonts w:ascii="Arial" w:cs="Arial" w:eastAsia="Arial" w:hAnsi="Arial"/>
          <w:sz w:val="13"/>
          <w:szCs w:val="13"/>
          <w:color w:val="auto"/>
        </w:rPr>
      </w:pPr>
    </w:p>
    <w:p>
      <w:pPr>
        <w:ind w:left="320" w:right="20" w:hanging="312"/>
        <w:spacing w:after="0" w:line="236" w:lineRule="auto"/>
        <w:tabs>
          <w:tab w:leader="none" w:pos="320" w:val="left"/>
        </w:tabs>
        <w:numPr>
          <w:ilvl w:val="0"/>
          <w:numId w:val="90"/>
        </w:numPr>
        <w:rPr>
          <w:rFonts w:ascii="Arial" w:cs="Arial" w:eastAsia="Arial" w:hAnsi="Arial"/>
          <w:sz w:val="13"/>
          <w:szCs w:val="13"/>
          <w:color w:val="auto"/>
        </w:rPr>
      </w:pPr>
      <w:r>
        <w:rPr>
          <w:rFonts w:ascii="Arial" w:cs="Arial" w:eastAsia="Arial" w:hAnsi="Arial"/>
          <w:sz w:val="15"/>
          <w:szCs w:val="15"/>
          <w:color w:val="auto"/>
        </w:rPr>
        <w:t>If Mr. Roberts’ employment is terminated by reason of his disability, we must continue to pay his base salary on a monthly basis for three years, his annual cash bonus (appropriately prorated for partial calendar years), assuming full (i.e., 100%) achievement of performance goals, on an annual basis for three years, and his unvested stock options and stock units will vest in full and his options will remain exercisable for the remainder of their term. In the event of Mr. Roberts’ death prior to the end of such three-year period, no remaining payments will be made. Mr. Roberts is also entitled to receive a prorated annual cash bonus for the year of his termination, assuming full (i.e., 100%) achievement of the performance goals.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47</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12"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2" w:lineRule="exact"/>
        <w:rPr>
          <w:sz w:val="20"/>
          <w:szCs w:val="20"/>
          <w:color w:val="auto"/>
        </w:rPr>
      </w:pPr>
    </w:p>
    <w:p>
      <w:pPr>
        <w:ind w:left="320" w:right="80" w:hanging="312"/>
        <w:spacing w:after="0" w:line="231" w:lineRule="auto"/>
        <w:tabs>
          <w:tab w:leader="none" w:pos="320" w:val="left"/>
        </w:tabs>
        <w:numPr>
          <w:ilvl w:val="0"/>
          <w:numId w:val="91"/>
        </w:numPr>
        <w:rPr>
          <w:rFonts w:ascii="Arial" w:cs="Arial" w:eastAsia="Arial" w:hAnsi="Arial"/>
          <w:sz w:val="13"/>
          <w:szCs w:val="13"/>
          <w:color w:val="auto"/>
        </w:rPr>
      </w:pPr>
      <w:r>
        <w:rPr>
          <w:rFonts w:ascii="Arial" w:cs="Arial" w:eastAsia="Arial" w:hAnsi="Arial"/>
          <w:sz w:val="15"/>
          <w:szCs w:val="15"/>
          <w:color w:val="auto"/>
        </w:rPr>
        <w:t>Certain senior executives, including our NEOs, are entitled to continued vesting on retirement. For stock options granted before 2021 to Messrs. Roberts, Cavanagh and Reid, and before 2023 to Mr. Armstrong and Ms. Khoury, NEOs who reach the age of 62 are entitled to the continued vesting and exercisability of options following termination for (a) 36 and 39 months, respectively, with 10 years of service, (b) 60 and 63 months, respectively, with 15 years of service and (c) 114 and 117 months, respectively, with 20 years of service, provided that no option will be exercisable after the 10th anniversary of the date of grant. For stock units granted before 2021 to Messrs. Roberts, Cavanagh and Reid, and before 2023 to Mr. Armstrong and Ms. Khoury, NEOs who reach the age of 62 are entitled to the continued vesting of stock units following termination for (x) 36 months with 10 years of service, (y) 48 months with 15 years of service and (z) 60 months with 20 years of service. For stock option and stock unit awards granted in 2021 and subsequent years to Messrs. Roberts, Cavanagh and Reid and in 2023 and subsequent years to Mr. Armstrong and Ms. Khoury, NEOs qualify for continued vesting on retirement when the sum of the NEO’s age and completed years of service equals or exceeds 70 (provided that the NEO has reached age 62 and completed 5 years of service).</w:t>
      </w:r>
    </w:p>
    <w:p>
      <w:pPr>
        <w:spacing w:after="0" w:line="31" w:lineRule="exact"/>
        <w:rPr>
          <w:rFonts w:ascii="Arial" w:cs="Arial" w:eastAsia="Arial" w:hAnsi="Arial"/>
          <w:sz w:val="13"/>
          <w:szCs w:val="13"/>
          <w:color w:val="auto"/>
        </w:rPr>
      </w:pPr>
    </w:p>
    <w:p>
      <w:pPr>
        <w:ind w:left="320" w:right="200" w:hanging="312"/>
        <w:spacing w:after="0" w:line="236" w:lineRule="auto"/>
        <w:tabs>
          <w:tab w:leader="none" w:pos="320" w:val="left"/>
        </w:tabs>
        <w:numPr>
          <w:ilvl w:val="0"/>
          <w:numId w:val="91"/>
        </w:numPr>
        <w:rPr>
          <w:rFonts w:ascii="Arial" w:cs="Arial" w:eastAsia="Arial" w:hAnsi="Arial"/>
          <w:sz w:val="13"/>
          <w:szCs w:val="13"/>
          <w:color w:val="auto"/>
        </w:rPr>
      </w:pPr>
      <w:r>
        <w:rPr>
          <w:rFonts w:ascii="Arial" w:cs="Arial" w:eastAsia="Arial" w:hAnsi="Arial"/>
          <w:sz w:val="15"/>
          <w:szCs w:val="15"/>
          <w:color w:val="auto"/>
        </w:rPr>
        <w:t>None of our NEOs’ employment agreements provides for the automatic accelerated vesting of equity awards in connection with a change in control (a “single trigger”), and none of our NEOs’ employment agreements, other than Mr. Roberts’, provides for the automatic accelerated vesting of equity awards upon the occurrence of one or more specified events that may follow a change in control, such as a termination of employment (a “double trigger”). Under Mr. Roberts’ employment agreement, if we were to terminate Mr. Roberts’ employment following a change in control transaction, it would be treated as a termination without cause and he would be entitled to the same amounts set forth in the “Without Cause/With Good Reason” category, as described in footnote (2) to this table.</w:t>
      </w:r>
    </w:p>
    <w:p>
      <w:pPr>
        <w:spacing w:after="0" w:line="29" w:lineRule="exact"/>
        <w:rPr>
          <w:rFonts w:ascii="Arial" w:cs="Arial" w:eastAsia="Arial" w:hAnsi="Arial"/>
          <w:sz w:val="13"/>
          <w:szCs w:val="13"/>
          <w:color w:val="auto"/>
        </w:rPr>
      </w:pPr>
    </w:p>
    <w:p>
      <w:pPr>
        <w:ind w:left="320" w:right="80" w:hanging="312"/>
        <w:spacing w:after="0" w:line="230" w:lineRule="auto"/>
        <w:tabs>
          <w:tab w:leader="none" w:pos="320" w:val="left"/>
        </w:tabs>
        <w:numPr>
          <w:ilvl w:val="0"/>
          <w:numId w:val="91"/>
        </w:numPr>
        <w:rPr>
          <w:rFonts w:ascii="Arial" w:cs="Arial" w:eastAsia="Arial" w:hAnsi="Arial"/>
          <w:sz w:val="13"/>
          <w:szCs w:val="13"/>
          <w:color w:val="auto"/>
        </w:rPr>
      </w:pPr>
      <w:r>
        <w:rPr>
          <w:rFonts w:ascii="Arial" w:cs="Arial" w:eastAsia="Arial" w:hAnsi="Arial"/>
          <w:sz w:val="15"/>
          <w:szCs w:val="15"/>
          <w:color w:val="auto"/>
        </w:rPr>
        <w:t>If we terminate such executive’s employment without cause or the executive terminates with good reason, they will receive their then-current base salary for a period of 24 months, and they are entitled to receive continued health benefits for a period of 18 months. If the executive becomes reemployed, these payments will be reduced by the amount of any compensation earned or received by the executive in respect of such period and we will stop providing health and welfare benefits. Such executive will receive the full (non-prorated) amount of the current year’s annual cash bonus (based on actual company performance and assuming full (i.e., 100%) achievement of personal performance goals) and the following year’s target annual cash bonus (prorated for time employed during the year of termination, based on actual company performance and assuming full (i.e., 100%) achievement of personal performance goals). Stock options and stock units will continue to vest in accordance with their respective terms for 12 months following termination, and vested stock options will remain exercisable for a period equal to the lesser of 15 months or the end of the stock options’ term. Mr. Roberts, who is over the age of 62, is entitled to receive retirement-related compensation as set forth in footnote (5) to this table. The executives’ receipt of the payments and benefits described above are subject to execution of our standard agreement containing certain mutual releases.</w:t>
      </w:r>
    </w:p>
    <w:p>
      <w:pPr>
        <w:spacing w:after="0" w:line="34" w:lineRule="exact"/>
        <w:rPr>
          <w:rFonts w:ascii="Arial" w:cs="Arial" w:eastAsia="Arial" w:hAnsi="Arial"/>
          <w:sz w:val="13"/>
          <w:szCs w:val="13"/>
          <w:color w:val="auto"/>
        </w:rPr>
      </w:pPr>
    </w:p>
    <w:p>
      <w:pPr>
        <w:jc w:val="both"/>
        <w:ind w:left="320" w:right="360" w:hanging="312"/>
        <w:spacing w:after="0" w:line="244" w:lineRule="auto"/>
        <w:tabs>
          <w:tab w:leader="none" w:pos="320" w:val="left"/>
        </w:tabs>
        <w:numPr>
          <w:ilvl w:val="0"/>
          <w:numId w:val="91"/>
        </w:numPr>
        <w:rPr>
          <w:rFonts w:ascii="Arial" w:cs="Arial" w:eastAsia="Arial" w:hAnsi="Arial"/>
          <w:sz w:val="13"/>
          <w:szCs w:val="13"/>
          <w:color w:val="auto"/>
        </w:rPr>
      </w:pPr>
      <w:r>
        <w:rPr>
          <w:rFonts w:ascii="Arial" w:cs="Arial" w:eastAsia="Arial" w:hAnsi="Arial"/>
          <w:sz w:val="15"/>
          <w:szCs w:val="15"/>
          <w:color w:val="auto"/>
        </w:rPr>
        <w:t>If such executive’s employment terminates due to his or her death or disability, the executive or his or her estate will receive three months of base salary and payment of annual cash bonus, prorated for time employed during the year of such termination (assuming full achievement of performance goals), and stock options and stock units will fully vest, with stock options remaining exercisable for the remainder of their terms.</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auto"/>
        </w:rPr>
        <w:t>Equity Compensation Plan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equity plan information as of December 31, 2024.</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80" w:type="dxa"/>
            <w:vAlign w:val="bottom"/>
          </w:tcPr>
          <w:p>
            <w:pPr>
              <w:jc w:val="right"/>
              <w:ind w:right="9"/>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36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60" w:type="dxa"/>
            <w:vAlign w:val="bottom"/>
          </w:tcPr>
          <w:p>
            <w:pPr>
              <w:jc w:val="right"/>
              <w:ind w:right="29"/>
              <w:spacing w:after="0"/>
              <w:rPr>
                <w:sz w:val="20"/>
                <w:szCs w:val="20"/>
                <w:color w:val="auto"/>
              </w:rPr>
            </w:pPr>
            <w:r>
              <w:rPr>
                <w:rFonts w:ascii="Arial" w:cs="Arial" w:eastAsia="Arial" w:hAnsi="Arial"/>
                <w:sz w:val="14"/>
                <w:szCs w:val="14"/>
                <w:b w:val="1"/>
                <w:bCs w:val="1"/>
                <w:color w:val="auto"/>
              </w:rPr>
              <w:t>WEIGHTED-AVERAGE</w:t>
            </w:r>
          </w:p>
        </w:tc>
        <w:tc>
          <w:tcPr>
            <w:tcW w:w="2280" w:type="dxa"/>
            <w:vAlign w:val="bottom"/>
          </w:tcPr>
          <w:p>
            <w:pPr>
              <w:jc w:val="right"/>
              <w:ind w:right="9"/>
              <w:spacing w:after="0"/>
              <w:rPr>
                <w:sz w:val="20"/>
                <w:szCs w:val="20"/>
                <w:color w:val="auto"/>
              </w:rPr>
            </w:pPr>
            <w:r>
              <w:rPr>
                <w:rFonts w:ascii="Arial" w:cs="Arial" w:eastAsia="Arial" w:hAnsi="Arial"/>
                <w:sz w:val="14"/>
                <w:szCs w:val="14"/>
                <w:b w:val="1"/>
                <w:bCs w:val="1"/>
                <w:color w:val="auto"/>
              </w:rPr>
              <w:t>REMAINING AVAILABLE</w:t>
            </w:r>
          </w:p>
        </w:tc>
      </w:tr>
      <w:tr>
        <w:trPr>
          <w:trHeight w:val="162"/>
        </w:trPr>
        <w:tc>
          <w:tcPr>
            <w:tcW w:w="36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60" w:type="dxa"/>
            <w:vAlign w:val="bottom"/>
          </w:tcPr>
          <w:p>
            <w:pPr>
              <w:jc w:val="right"/>
              <w:ind w:right="29"/>
              <w:spacing w:after="0"/>
              <w:rPr>
                <w:sz w:val="20"/>
                <w:szCs w:val="20"/>
                <w:color w:val="auto"/>
              </w:rPr>
            </w:pPr>
            <w:r>
              <w:rPr>
                <w:rFonts w:ascii="Arial" w:cs="Arial" w:eastAsia="Arial" w:hAnsi="Arial"/>
                <w:sz w:val="14"/>
                <w:szCs w:val="14"/>
                <w:b w:val="1"/>
                <w:bCs w:val="1"/>
                <w:color w:val="auto"/>
              </w:rPr>
              <w:t>EXERCISE PRICE</w:t>
            </w:r>
          </w:p>
        </w:tc>
        <w:tc>
          <w:tcPr>
            <w:tcW w:w="2280" w:type="dxa"/>
            <w:vAlign w:val="bottom"/>
          </w:tcPr>
          <w:p>
            <w:pPr>
              <w:jc w:val="right"/>
              <w:ind w:right="9"/>
              <w:spacing w:after="0"/>
              <w:rPr>
                <w:sz w:val="20"/>
                <w:szCs w:val="20"/>
                <w:color w:val="auto"/>
              </w:rPr>
            </w:pPr>
            <w:r>
              <w:rPr>
                <w:rFonts w:ascii="Arial" w:cs="Arial" w:eastAsia="Arial" w:hAnsi="Arial"/>
                <w:sz w:val="14"/>
                <w:szCs w:val="14"/>
                <w:b w:val="1"/>
                <w:bCs w:val="1"/>
                <w:color w:val="auto"/>
              </w:rPr>
              <w:t>FOR FUTURE ISSUANCE</w:t>
            </w:r>
          </w:p>
        </w:tc>
      </w:tr>
      <w:tr>
        <w:trPr>
          <w:trHeight w:val="162"/>
        </w:trPr>
        <w:tc>
          <w:tcPr>
            <w:tcW w:w="3660" w:type="dxa"/>
            <w:vAlign w:val="bottom"/>
          </w:tcPr>
          <w:p>
            <w:pPr>
              <w:spacing w:after="0"/>
              <w:rPr>
                <w:sz w:val="14"/>
                <w:szCs w:val="14"/>
                <w:color w:val="auto"/>
              </w:rPr>
            </w:pPr>
          </w:p>
        </w:tc>
        <w:tc>
          <w:tcPr>
            <w:tcW w:w="3540" w:type="dxa"/>
            <w:vAlign w:val="bottom"/>
          </w:tcPr>
          <w:p>
            <w:pPr>
              <w:jc w:val="right"/>
              <w:ind w:right="29"/>
              <w:spacing w:after="0"/>
              <w:rPr>
                <w:sz w:val="20"/>
                <w:szCs w:val="20"/>
                <w:color w:val="auto"/>
              </w:rPr>
            </w:pPr>
            <w:r>
              <w:rPr>
                <w:rFonts w:ascii="Arial" w:cs="Arial" w:eastAsia="Arial" w:hAnsi="Arial"/>
                <w:sz w:val="14"/>
                <w:szCs w:val="14"/>
                <w:b w:val="1"/>
                <w:bCs w:val="1"/>
                <w:color w:val="auto"/>
              </w:rPr>
              <w:t>NUMBER OF SECURITIES TO</w:t>
            </w:r>
          </w:p>
        </w:tc>
        <w:tc>
          <w:tcPr>
            <w:tcW w:w="1760" w:type="dxa"/>
            <w:vAlign w:val="bottom"/>
          </w:tcPr>
          <w:p>
            <w:pPr>
              <w:jc w:val="right"/>
              <w:ind w:right="29"/>
              <w:spacing w:after="0"/>
              <w:rPr>
                <w:sz w:val="20"/>
                <w:szCs w:val="20"/>
                <w:color w:val="auto"/>
              </w:rPr>
            </w:pPr>
            <w:r>
              <w:rPr>
                <w:rFonts w:ascii="Arial" w:cs="Arial" w:eastAsia="Arial" w:hAnsi="Arial"/>
                <w:sz w:val="14"/>
                <w:szCs w:val="14"/>
                <w:b w:val="1"/>
                <w:bCs w:val="1"/>
                <w:color w:val="auto"/>
              </w:rPr>
              <w:t>OF OUTSTANDING</w:t>
            </w:r>
          </w:p>
        </w:tc>
        <w:tc>
          <w:tcPr>
            <w:tcW w:w="2280" w:type="dxa"/>
            <w:vAlign w:val="bottom"/>
          </w:tcPr>
          <w:p>
            <w:pPr>
              <w:jc w:val="right"/>
              <w:ind w:right="9"/>
              <w:spacing w:after="0"/>
              <w:rPr>
                <w:sz w:val="20"/>
                <w:szCs w:val="20"/>
                <w:color w:val="auto"/>
              </w:rPr>
            </w:pPr>
            <w:r>
              <w:rPr>
                <w:rFonts w:ascii="Arial" w:cs="Arial" w:eastAsia="Arial" w:hAnsi="Arial"/>
                <w:sz w:val="14"/>
                <w:szCs w:val="14"/>
                <w:b w:val="1"/>
                <w:bCs w:val="1"/>
                <w:color w:val="auto"/>
              </w:rPr>
              <w:t>UNDER EQUITY</w:t>
            </w:r>
          </w:p>
        </w:tc>
      </w:tr>
      <w:tr>
        <w:trPr>
          <w:trHeight w:val="159"/>
        </w:trPr>
        <w:tc>
          <w:tcPr>
            <w:tcW w:w="3660" w:type="dxa"/>
            <w:vAlign w:val="bottom"/>
          </w:tcPr>
          <w:p>
            <w:pPr>
              <w:spacing w:after="0"/>
              <w:rPr>
                <w:sz w:val="13"/>
                <w:szCs w:val="13"/>
                <w:color w:val="auto"/>
              </w:rPr>
            </w:pPr>
          </w:p>
        </w:tc>
        <w:tc>
          <w:tcPr>
            <w:tcW w:w="35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BE ISSUED UPON EXERCISE</w:t>
            </w:r>
          </w:p>
        </w:tc>
        <w:tc>
          <w:tcPr>
            <w:tcW w:w="176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OPTIONS, WARRANTS</w:t>
            </w:r>
          </w:p>
        </w:tc>
        <w:tc>
          <w:tcPr>
            <w:tcW w:w="2280" w:type="dxa"/>
            <w:vAlign w:val="bottom"/>
          </w:tcPr>
          <w:p>
            <w:pPr>
              <w:jc w:val="right"/>
              <w:ind w:right="9"/>
              <w:spacing w:after="0" w:line="159" w:lineRule="exact"/>
              <w:rPr>
                <w:sz w:val="20"/>
                <w:szCs w:val="20"/>
                <w:color w:val="auto"/>
              </w:rPr>
            </w:pPr>
            <w:r>
              <w:rPr>
                <w:rFonts w:ascii="Arial" w:cs="Arial" w:eastAsia="Arial" w:hAnsi="Arial"/>
                <w:sz w:val="14"/>
                <w:szCs w:val="14"/>
                <w:b w:val="1"/>
                <w:bCs w:val="1"/>
                <w:color w:val="auto"/>
              </w:rPr>
              <w:t>COMPENSATION PLANS</w:t>
            </w:r>
          </w:p>
        </w:tc>
      </w:tr>
      <w:tr>
        <w:trPr>
          <w:trHeight w:val="174"/>
        </w:trPr>
        <w:tc>
          <w:tcPr>
            <w:tcW w:w="3660" w:type="dxa"/>
            <w:vAlign w:val="bottom"/>
          </w:tcPr>
          <w:p>
            <w:pPr>
              <w:spacing w:after="0"/>
              <w:rPr>
                <w:sz w:val="15"/>
                <w:szCs w:val="15"/>
                <w:color w:val="auto"/>
              </w:rPr>
            </w:pPr>
          </w:p>
        </w:tc>
        <w:tc>
          <w:tcPr>
            <w:tcW w:w="3540" w:type="dxa"/>
            <w:vAlign w:val="bottom"/>
          </w:tcPr>
          <w:p>
            <w:pPr>
              <w:jc w:val="right"/>
              <w:ind w:right="29"/>
              <w:spacing w:after="0"/>
              <w:rPr>
                <w:sz w:val="20"/>
                <w:szCs w:val="20"/>
                <w:color w:val="auto"/>
              </w:rPr>
            </w:pPr>
            <w:r>
              <w:rPr>
                <w:rFonts w:ascii="Arial" w:cs="Arial" w:eastAsia="Arial" w:hAnsi="Arial"/>
                <w:sz w:val="14"/>
                <w:szCs w:val="14"/>
                <w:b w:val="1"/>
                <w:bCs w:val="1"/>
                <w:color w:val="auto"/>
              </w:rPr>
              <w:t>OF OUTSTANDING OPTIONS,</w:t>
            </w:r>
          </w:p>
        </w:tc>
        <w:tc>
          <w:tcPr>
            <w:tcW w:w="1760" w:type="dxa"/>
            <w:vAlign w:val="bottom"/>
          </w:tcPr>
          <w:p>
            <w:pPr>
              <w:jc w:val="right"/>
              <w:ind w:right="29"/>
              <w:spacing w:after="0" w:line="174" w:lineRule="exact"/>
              <w:rPr>
                <w:sz w:val="20"/>
                <w:szCs w:val="20"/>
                <w:color w:val="auto"/>
              </w:rPr>
            </w:pPr>
            <w:r>
              <w:rPr>
                <w:rFonts w:ascii="Arial" w:cs="Arial" w:eastAsia="Arial" w:hAnsi="Arial"/>
                <w:sz w:val="13"/>
                <w:szCs w:val="13"/>
                <w:b w:val="1"/>
                <w:bCs w:val="1"/>
                <w:color w:val="auto"/>
              </w:rPr>
              <w:t>AND RIGHTS</w:t>
            </w:r>
            <w:r>
              <w:rPr>
                <w:rFonts w:ascii="Arial" w:cs="Arial" w:eastAsia="Arial" w:hAnsi="Arial"/>
                <w:sz w:val="20"/>
                <w:szCs w:val="20"/>
                <w:b w:val="1"/>
                <w:bCs w:val="1"/>
                <w:color w:val="auto"/>
                <w:vertAlign w:val="superscript"/>
              </w:rPr>
              <w:t>(2)</w:t>
            </w:r>
          </w:p>
        </w:tc>
        <w:tc>
          <w:tcPr>
            <w:tcW w:w="2280" w:type="dxa"/>
            <w:vAlign w:val="bottom"/>
          </w:tcPr>
          <w:p>
            <w:pPr>
              <w:jc w:val="right"/>
              <w:ind w:right="9"/>
              <w:spacing w:after="0"/>
              <w:rPr>
                <w:sz w:val="20"/>
                <w:szCs w:val="20"/>
                <w:color w:val="auto"/>
              </w:rPr>
            </w:pPr>
            <w:r>
              <w:rPr>
                <w:rFonts w:ascii="Arial" w:cs="Arial" w:eastAsia="Arial" w:hAnsi="Arial"/>
                <w:sz w:val="14"/>
                <w:szCs w:val="14"/>
                <w:b w:val="1"/>
                <w:bCs w:val="1"/>
                <w:color w:val="auto"/>
              </w:rPr>
              <w:t>EXCLUDING SECURITIES</w:t>
            </w:r>
          </w:p>
        </w:tc>
      </w:tr>
      <w:tr>
        <w:trPr>
          <w:trHeight w:val="180"/>
        </w:trPr>
        <w:tc>
          <w:tcPr>
            <w:tcW w:w="3660" w:type="dxa"/>
            <w:vAlign w:val="bottom"/>
          </w:tcPr>
          <w:p>
            <w:pPr>
              <w:spacing w:after="0"/>
              <w:rPr>
                <w:sz w:val="15"/>
                <w:szCs w:val="15"/>
                <w:color w:val="auto"/>
              </w:rPr>
            </w:pPr>
          </w:p>
        </w:tc>
        <w:tc>
          <w:tcPr>
            <w:tcW w:w="3540" w:type="dxa"/>
            <w:vAlign w:val="bottom"/>
          </w:tcPr>
          <w:p>
            <w:pPr>
              <w:jc w:val="right"/>
              <w:ind w:right="29"/>
              <w:spacing w:after="0" w:line="181" w:lineRule="exact"/>
              <w:rPr>
                <w:sz w:val="20"/>
                <w:szCs w:val="20"/>
                <w:color w:val="auto"/>
              </w:rPr>
            </w:pPr>
            <w:r>
              <w:rPr>
                <w:rFonts w:ascii="Arial" w:cs="Arial" w:eastAsia="Arial" w:hAnsi="Arial"/>
                <w:sz w:val="13"/>
                <w:szCs w:val="13"/>
                <w:b w:val="1"/>
                <w:bCs w:val="1"/>
                <w:color w:val="auto"/>
              </w:rPr>
              <w:t>WARRANTS AND RIGHTS</w:t>
            </w:r>
            <w:r>
              <w:rPr>
                <w:rFonts w:ascii="Arial" w:cs="Arial" w:eastAsia="Arial" w:hAnsi="Arial"/>
                <w:sz w:val="20"/>
                <w:szCs w:val="20"/>
                <w:b w:val="1"/>
                <w:bCs w:val="1"/>
                <w:color w:val="auto"/>
                <w:vertAlign w:val="superscript"/>
              </w:rPr>
              <w:t>(1)</w:t>
            </w:r>
          </w:p>
        </w:tc>
        <w:tc>
          <w:tcPr>
            <w:tcW w:w="176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2280" w:type="dxa"/>
            <w:vAlign w:val="bottom"/>
          </w:tcPr>
          <w:p>
            <w:pPr>
              <w:jc w:val="right"/>
              <w:ind w:right="9"/>
              <w:spacing w:after="0" w:line="181" w:lineRule="exact"/>
              <w:rPr>
                <w:sz w:val="20"/>
                <w:szCs w:val="20"/>
                <w:color w:val="auto"/>
              </w:rPr>
            </w:pPr>
            <w:r>
              <w:rPr>
                <w:rFonts w:ascii="Arial" w:cs="Arial" w:eastAsia="Arial" w:hAnsi="Arial"/>
                <w:sz w:val="13"/>
                <w:szCs w:val="13"/>
                <w:b w:val="1"/>
                <w:bCs w:val="1"/>
                <w:color w:val="auto"/>
              </w:rPr>
              <w:t>REFLECTED IN COLUMN (A)</w:t>
            </w:r>
            <w:r>
              <w:rPr>
                <w:rFonts w:ascii="Arial" w:cs="Arial" w:eastAsia="Arial" w:hAnsi="Arial"/>
                <w:sz w:val="20"/>
                <w:szCs w:val="20"/>
                <w:b w:val="1"/>
                <w:bCs w:val="1"/>
                <w:color w:val="auto"/>
                <w:vertAlign w:val="superscript"/>
              </w:rPr>
              <w:t>(3)</w:t>
            </w:r>
          </w:p>
        </w:tc>
      </w:tr>
      <w:tr>
        <w:trPr>
          <w:trHeight w:val="197"/>
        </w:trPr>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PLAN CATEGORY</w:t>
            </w:r>
          </w:p>
        </w:tc>
        <w:tc>
          <w:tcPr>
            <w:tcW w:w="3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(a)</w:t>
            </w:r>
          </w:p>
        </w:tc>
        <w:tc>
          <w:tcPr>
            <w:tcW w:w="1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(b)</w:t>
            </w:r>
          </w:p>
        </w:tc>
        <w:tc>
          <w:tcPr>
            <w:tcW w:w="22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(c)</w:t>
            </w:r>
          </w:p>
        </w:tc>
      </w:tr>
      <w:tr>
        <w:trPr>
          <w:trHeight w:val="174"/>
        </w:trPr>
        <w:tc>
          <w:tcPr>
            <w:tcW w:w="3660" w:type="dxa"/>
            <w:vAlign w:val="bottom"/>
          </w:tcPr>
          <w:p>
            <w:pPr>
              <w:ind w:left="80"/>
              <w:spacing w:after="0"/>
              <w:rPr>
                <w:sz w:val="20"/>
                <w:szCs w:val="20"/>
                <w:color w:val="auto"/>
              </w:rPr>
            </w:pPr>
            <w:r>
              <w:rPr>
                <w:rFonts w:ascii="Arial" w:cs="Arial" w:eastAsia="Arial" w:hAnsi="Arial"/>
                <w:sz w:val="14"/>
                <w:szCs w:val="14"/>
                <w:b w:val="1"/>
                <w:bCs w:val="1"/>
                <w:color w:val="auto"/>
              </w:rPr>
              <w:t>Equity compensation plans</w:t>
            </w:r>
          </w:p>
        </w:tc>
        <w:tc>
          <w:tcPr>
            <w:tcW w:w="3540" w:type="dxa"/>
            <w:vAlign w:val="bottom"/>
          </w:tcPr>
          <w:p>
            <w:pPr>
              <w:jc w:val="right"/>
              <w:ind w:right="29"/>
              <w:spacing w:after="0"/>
              <w:rPr>
                <w:sz w:val="20"/>
                <w:szCs w:val="20"/>
                <w:color w:val="auto"/>
              </w:rPr>
            </w:pPr>
            <w:r>
              <w:rPr>
                <w:rFonts w:ascii="Arial" w:cs="Arial" w:eastAsia="Arial" w:hAnsi="Arial"/>
                <w:sz w:val="14"/>
                <w:szCs w:val="14"/>
                <w:color w:val="auto"/>
              </w:rPr>
              <w:t>288,071,419</w:t>
            </w:r>
          </w:p>
        </w:tc>
        <w:tc>
          <w:tcPr>
            <w:tcW w:w="1760" w:type="dxa"/>
            <w:vAlign w:val="bottom"/>
          </w:tcPr>
          <w:p>
            <w:pPr>
              <w:jc w:val="right"/>
              <w:ind w:right="29"/>
              <w:spacing w:after="0"/>
              <w:rPr>
                <w:sz w:val="20"/>
                <w:szCs w:val="20"/>
                <w:color w:val="auto"/>
              </w:rPr>
            </w:pPr>
            <w:r>
              <w:rPr>
                <w:rFonts w:ascii="Arial" w:cs="Arial" w:eastAsia="Arial" w:hAnsi="Arial"/>
                <w:sz w:val="14"/>
                <w:szCs w:val="14"/>
                <w:color w:val="auto"/>
              </w:rPr>
              <w:t>41.73</w:t>
            </w:r>
          </w:p>
        </w:tc>
        <w:tc>
          <w:tcPr>
            <w:tcW w:w="2280" w:type="dxa"/>
            <w:vAlign w:val="bottom"/>
          </w:tcPr>
          <w:p>
            <w:pPr>
              <w:jc w:val="right"/>
              <w:ind w:right="9"/>
              <w:spacing w:after="0"/>
              <w:rPr>
                <w:sz w:val="20"/>
                <w:szCs w:val="20"/>
                <w:color w:val="auto"/>
              </w:rPr>
            </w:pPr>
            <w:r>
              <w:rPr>
                <w:rFonts w:ascii="Arial" w:cs="Arial" w:eastAsia="Arial" w:hAnsi="Arial"/>
                <w:sz w:val="14"/>
                <w:szCs w:val="14"/>
                <w:color w:val="auto"/>
              </w:rPr>
              <w:t>341,734,167</w:t>
            </w:r>
          </w:p>
        </w:tc>
      </w:tr>
      <w:tr>
        <w:trPr>
          <w:trHeight w:val="197"/>
        </w:trPr>
        <w:tc>
          <w:tcPr>
            <w:tcW w:w="366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approved by security holders</w:t>
            </w:r>
          </w:p>
        </w:tc>
        <w:tc>
          <w:tcPr>
            <w:tcW w:w="3540" w:type="dxa"/>
            <w:vAlign w:val="bottom"/>
            <w:tcBorders>
              <w:bottom w:val="single" w:sz="8" w:color="DCDDDE"/>
            </w:tcBorders>
          </w:tcPr>
          <w:p>
            <w:pPr>
              <w:spacing w:after="0"/>
              <w:rPr>
                <w:sz w:val="17"/>
                <w:szCs w:val="17"/>
                <w:color w:val="auto"/>
              </w:rPr>
            </w:pPr>
          </w:p>
        </w:tc>
        <w:tc>
          <w:tcPr>
            <w:tcW w:w="1760" w:type="dxa"/>
            <w:vAlign w:val="bottom"/>
            <w:tcBorders>
              <w:bottom w:val="single" w:sz="8" w:color="DCDDDE"/>
            </w:tcBorders>
          </w:tcPr>
          <w:p>
            <w:pPr>
              <w:spacing w:after="0"/>
              <w:rPr>
                <w:sz w:val="17"/>
                <w:szCs w:val="17"/>
                <w:color w:val="auto"/>
              </w:rPr>
            </w:pPr>
          </w:p>
        </w:tc>
        <w:tc>
          <w:tcPr>
            <w:tcW w:w="2280" w:type="dxa"/>
            <w:vAlign w:val="bottom"/>
            <w:tcBorders>
              <w:bottom w:val="single" w:sz="8" w:color="DCDDDE"/>
            </w:tcBorders>
          </w:tcPr>
          <w:p>
            <w:pPr>
              <w:spacing w:after="0"/>
              <w:rPr>
                <w:sz w:val="17"/>
                <w:szCs w:val="17"/>
                <w:color w:val="auto"/>
              </w:rPr>
            </w:pPr>
          </w:p>
        </w:tc>
      </w:tr>
      <w:tr>
        <w:trPr>
          <w:trHeight w:val="174"/>
        </w:trPr>
        <w:tc>
          <w:tcPr>
            <w:tcW w:w="3660" w:type="dxa"/>
            <w:vAlign w:val="bottom"/>
          </w:tcPr>
          <w:p>
            <w:pPr>
              <w:ind w:left="80"/>
              <w:spacing w:after="0"/>
              <w:rPr>
                <w:sz w:val="20"/>
                <w:szCs w:val="20"/>
                <w:color w:val="auto"/>
              </w:rPr>
            </w:pPr>
            <w:r>
              <w:rPr>
                <w:rFonts w:ascii="Arial" w:cs="Arial" w:eastAsia="Arial" w:hAnsi="Arial"/>
                <w:sz w:val="14"/>
                <w:szCs w:val="14"/>
                <w:b w:val="1"/>
                <w:bCs w:val="1"/>
                <w:color w:val="auto"/>
              </w:rPr>
              <w:t>Equity compensation plans not</w:t>
            </w:r>
          </w:p>
        </w:tc>
        <w:tc>
          <w:tcPr>
            <w:tcW w:w="3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760" w:type="dxa"/>
            <w:vAlign w:val="bottom"/>
          </w:tcPr>
          <w:p>
            <w:pPr>
              <w:spacing w:after="0"/>
              <w:rPr>
                <w:sz w:val="15"/>
                <w:szCs w:val="15"/>
                <w:color w:val="auto"/>
              </w:rPr>
            </w:pPr>
          </w:p>
        </w:tc>
        <w:tc>
          <w:tcPr>
            <w:tcW w:w="228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197"/>
        </w:trPr>
        <w:tc>
          <w:tcPr>
            <w:tcW w:w="366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approved by security holders</w:t>
            </w:r>
          </w:p>
        </w:tc>
        <w:tc>
          <w:tcPr>
            <w:tcW w:w="3540" w:type="dxa"/>
            <w:vAlign w:val="bottom"/>
            <w:tcBorders>
              <w:bottom w:val="single" w:sz="8" w:color="DCDDDE"/>
            </w:tcBorders>
          </w:tcPr>
          <w:p>
            <w:pPr>
              <w:spacing w:after="0"/>
              <w:rPr>
                <w:sz w:val="17"/>
                <w:szCs w:val="17"/>
                <w:color w:val="auto"/>
              </w:rPr>
            </w:pPr>
          </w:p>
        </w:tc>
        <w:tc>
          <w:tcPr>
            <w:tcW w:w="1760" w:type="dxa"/>
            <w:vAlign w:val="bottom"/>
            <w:tcBorders>
              <w:bottom w:val="single" w:sz="8" w:color="DCDDDE"/>
            </w:tcBorders>
          </w:tcPr>
          <w:p>
            <w:pPr>
              <w:spacing w:after="0"/>
              <w:rPr>
                <w:sz w:val="17"/>
                <w:szCs w:val="17"/>
                <w:color w:val="auto"/>
              </w:rPr>
            </w:pPr>
          </w:p>
        </w:tc>
        <w:tc>
          <w:tcPr>
            <w:tcW w:w="2280" w:type="dxa"/>
            <w:vAlign w:val="bottom"/>
            <w:tcBorders>
              <w:bottom w:val="single" w:sz="8" w:color="DCDDDE"/>
            </w:tcBorders>
          </w:tcPr>
          <w:p>
            <w:pPr>
              <w:spacing w:after="0"/>
              <w:rPr>
                <w:sz w:val="17"/>
                <w:szCs w:val="17"/>
                <w:color w:val="auto"/>
              </w:rPr>
            </w:pPr>
          </w:p>
        </w:tc>
      </w:tr>
      <w:tr>
        <w:trPr>
          <w:trHeight w:val="210"/>
        </w:trPr>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3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288,071,419</w:t>
            </w:r>
          </w:p>
        </w:tc>
        <w:tc>
          <w:tcPr>
            <w:tcW w:w="17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341,734,167</w:t>
            </w:r>
          </w:p>
        </w:tc>
      </w:tr>
    </w:tbl>
    <w:p>
      <w:pPr>
        <w:spacing w:after="0" w:line="91" w:lineRule="exact"/>
        <w:rPr>
          <w:sz w:val="20"/>
          <w:szCs w:val="20"/>
          <w:color w:val="auto"/>
        </w:rPr>
      </w:pPr>
    </w:p>
    <w:p>
      <w:pPr>
        <w:ind w:left="320" w:right="20" w:hanging="312"/>
        <w:spacing w:after="0" w:line="234" w:lineRule="auto"/>
        <w:tabs>
          <w:tab w:leader="none" w:pos="320" w:val="left"/>
        </w:tabs>
        <w:numPr>
          <w:ilvl w:val="0"/>
          <w:numId w:val="92"/>
        </w:numPr>
        <w:rPr>
          <w:rFonts w:ascii="Arial" w:cs="Arial" w:eastAsia="Arial" w:hAnsi="Arial"/>
          <w:sz w:val="13"/>
          <w:szCs w:val="13"/>
          <w:color w:val="auto"/>
        </w:rPr>
      </w:pPr>
      <w:r>
        <w:rPr>
          <w:rFonts w:ascii="Arial" w:cs="Arial" w:eastAsia="Arial" w:hAnsi="Arial"/>
          <w:sz w:val="15"/>
          <w:szCs w:val="15"/>
          <w:color w:val="auto"/>
        </w:rPr>
        <w:t>Includes shares of Class A common stock under the following plans: Comcast Corporation 2003 Stock Option Plan, Comcast Corporation 2002 Restricted Stock Plan (under which RSUs and PSUs have been granted), 2023 Omnibus Plan, Comcast Corporation 2002 Employee Stock Purchase Plan (“2002 ESPP”), Comcast-NBCUniversal 2011 Employee Stock Purchase Plan (“2011 ESPP”) and Comcast Corporation 2019 Omnibus Sharesave Plan (“Sharesave Plan”). Also includes our 2002 and 2005 Deferred Compensation Plans (under which shares of Class A common stock have been credited to participants’ accounts). After the 2023 Omnibus Plan was approved by shareholders at our 2023 annual meeting, the 2003 Stock Option Plan and 2002 Restricted Stock Plan were frozen and no new awards were granted under such plans.</w:t>
      </w:r>
    </w:p>
    <w:p>
      <w:pPr>
        <w:spacing w:after="0" w:line="30" w:lineRule="exact"/>
        <w:rPr>
          <w:rFonts w:ascii="Arial" w:cs="Arial" w:eastAsia="Arial" w:hAnsi="Arial"/>
          <w:sz w:val="13"/>
          <w:szCs w:val="13"/>
          <w:color w:val="auto"/>
        </w:rPr>
      </w:pPr>
    </w:p>
    <w:p>
      <w:pPr>
        <w:ind w:left="320" w:hanging="312"/>
        <w:spacing w:after="0"/>
        <w:tabs>
          <w:tab w:leader="none" w:pos="320" w:val="left"/>
        </w:tabs>
        <w:numPr>
          <w:ilvl w:val="0"/>
          <w:numId w:val="92"/>
        </w:numPr>
        <w:rPr>
          <w:rFonts w:ascii="Arial" w:cs="Arial" w:eastAsia="Arial" w:hAnsi="Arial"/>
          <w:sz w:val="13"/>
          <w:szCs w:val="13"/>
          <w:color w:val="auto"/>
        </w:rPr>
      </w:pPr>
      <w:r>
        <w:rPr>
          <w:rFonts w:ascii="Arial" w:cs="Arial" w:eastAsia="Arial" w:hAnsi="Arial"/>
          <w:sz w:val="15"/>
          <w:szCs w:val="15"/>
          <w:color w:val="auto"/>
        </w:rPr>
        <w:t>The weighted-average exercise price reflects stock options under our 2003 Stock Option Plan and the 2023 Omnibus Plan.</w:t>
      </w:r>
    </w:p>
    <w:p>
      <w:pPr>
        <w:spacing w:after="0" w:line="218" w:lineRule="exact"/>
        <w:rPr>
          <w:sz w:val="20"/>
          <w:szCs w:val="20"/>
          <w:color w:val="auto"/>
        </w:rPr>
      </w:pPr>
    </w:p>
    <w:p>
      <w:pPr>
        <w:ind w:left="400" w:hanging="392"/>
        <w:spacing w:after="0"/>
        <w:tabs>
          <w:tab w:leader="none" w:pos="400"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7" w:lineRule="exact"/>
        <w:rPr>
          <w:sz w:val="20"/>
          <w:szCs w:val="20"/>
          <w:color w:val="auto"/>
        </w:rPr>
      </w:pPr>
    </w:p>
    <w:p>
      <w:pPr>
        <w:ind w:left="300" w:right="20" w:hanging="292"/>
        <w:spacing w:after="0" w:line="249" w:lineRule="auto"/>
        <w:tabs>
          <w:tab w:leader="none" w:pos="300" w:val="left"/>
        </w:tabs>
        <w:numPr>
          <w:ilvl w:val="0"/>
          <w:numId w:val="94"/>
        </w:numPr>
        <w:rPr>
          <w:rFonts w:ascii="Arial" w:cs="Arial" w:eastAsia="Arial" w:hAnsi="Arial"/>
          <w:sz w:val="11"/>
          <w:szCs w:val="11"/>
          <w:color w:val="auto"/>
        </w:rPr>
      </w:pPr>
      <w:r>
        <w:rPr>
          <w:rFonts w:ascii="Arial" w:cs="Arial" w:eastAsia="Arial" w:hAnsi="Arial"/>
          <w:sz w:val="13"/>
          <w:szCs w:val="13"/>
          <w:color w:val="auto"/>
        </w:rPr>
        <w:t>The number of shares available for issuance includes the following number of shares of Class A common stock: 235,211,688 shares available for issuance under the 2023 Omnibus Plan; 3,152,034 shares available for issuance under the Sharesave Plan; 1,119,897 shares that were issued in connection with the fourth quarter 2024 purchase period under the 2002 ESPP and 97,396,659 shares available for issuance under the 2002 ESPP; and 361,310 shares that were issued in connection with the fourth quarter 2024 purchase period under the 2011 ESPP and 4,492,579 shares available for issuance under the 2011 ESPP. Does not include 10,000,000 additional shares that we are requesting that shareholders approve at this meeting (see Proposal 3: Increase Share Authorization Under Comcast-NBCUniversal 2011 Employee Stock Purchase Plan” for additional details).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CEO Pay Ratio</w:t>
      </w:r>
    </w:p>
    <w:p>
      <w:pPr>
        <w:spacing w:after="0" w:line="229"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We are required under SEC rules to provide a pay ratio comparing Mr. Roberts’ 2024 compensation to our median employee’s 2024 compensation (excluding Mr. Roberts). To identify the median employee, we engaged an unaffiliated third-party advisory services firm to conduct a statistical sampling of approximately 195,286 full-time, part-time, seasonal and temporary employees as of December 31, 2024 (which included approximately 65,123 non-U.S. employees) based on comparisons of base wages.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All of our part-time, seasonal and temporary employees as of December 31, 2024, including in our theme park and entertainment production businesses, were required to be taken into account for purposes of identifying our median employee under SEC rules. SEC rules do not permit us to annualize the compensation paid to these workers as if they were full-time employees, which has the effect of reducing the level of our median employee’s total compensation relative to what it would have been had the rules permitted us to annualize compensation across our entire workforce or to use only full-time U.S. employees. As a result, the impact of this rule may be different for us than some companies in our peer groups given the composition of our workforce across our uniquely diversified company, and year-over-year comparisons may not be meaningful. We believe putting into context how our median employee was identified highlights why that employee’s compensation and the resulting pay ratio, and year-over-year changes thereto, should not be compared on an “apples-to-apples” basis.</w:t>
      </w:r>
    </w:p>
    <w:p>
      <w:pPr>
        <w:spacing w:after="0" w:line="180"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We have estimated that our pay ratio for 2024 is 380 to 1, calculated by dividing Mr. Roberts’ 2024 total compensation set forth in the Summary Compensation Table, adjusted as described below, by $89,237, which represents the annual total compensation of our median employee. Our median employee’s annual total compensation was determined using the same methodology we used to determine the annual total compensation of our NEOs, which, along with Mr. Roberts’ compensation, was then adjusted to include the cost to Comcast of specified employee benefits provided on a non-discriminatory basis.</w:t>
      </w:r>
    </w:p>
    <w:p>
      <w:pPr>
        <w:spacing w:after="0" w:line="17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permitted under SEC rules, we adjusted our total employee population for purposes of identifying our median employee by excluding approximately 3.7% of our employee population as follows (all amounts are approximate): 6,177 in India; 735 in Ireland; 235 in Mexico; 81 in Canada; 51 in Brazil; and fewer than 10 employees in the remainder of the world.</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color w:val="auto"/>
        </w:rPr>
        <w:t>Pay Versus Performance</w:t>
      </w:r>
    </w:p>
    <w:p>
      <w:pPr>
        <w:spacing w:after="0" w:line="22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table below provides information on the compensation for our CEO and the average compensation for our other NEOs, both as reported in the Summary Compensation Table and with certain adjustments to reflect the compensation “actually paid” to such individuals, as defined under SEC rules, for each of 2024, 2023, 2022, 2021 and 2020. The table also provides information on our cumulative TSR, the cumulative TSR of our peer group, Net Income and Adjusted EBITDA.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AVERAGE</w:t>
            </w:r>
          </w:p>
        </w:tc>
        <w:tc>
          <w:tcPr>
            <w:tcW w:w="1220" w:type="dxa"/>
            <w:vAlign w:val="bottom"/>
          </w:tcPr>
          <w:p>
            <w:pPr>
              <w:spacing w:after="0"/>
              <w:rPr>
                <w:sz w:val="12"/>
                <w:szCs w:val="12"/>
                <w:color w:val="auto"/>
              </w:rPr>
            </w:pPr>
          </w:p>
        </w:tc>
        <w:tc>
          <w:tcPr>
            <w:tcW w:w="22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9"/>
              </w:rPr>
              <w:t>VALUE OF INITIAL FIXED $100</w:t>
            </w: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3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21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9"/>
              </w:rPr>
              <w:t>INVESTMENT BASED ON:</w:t>
            </w:r>
          </w:p>
        </w:tc>
        <w:tc>
          <w:tcPr>
            <w:tcW w:w="6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right"/>
              <w:spacing w:after="0" w:line="116" w:lineRule="exact"/>
              <w:rPr>
                <w:sz w:val="20"/>
                <w:szCs w:val="20"/>
                <w:color w:val="auto"/>
              </w:rPr>
            </w:pPr>
            <w:r>
              <w:rPr>
                <w:rFonts w:ascii="Arial" w:cs="Arial" w:eastAsia="Arial" w:hAnsi="Arial"/>
                <w:sz w:val="13"/>
                <w:szCs w:val="13"/>
                <w:b w:val="1"/>
                <w:bCs w:val="1"/>
                <w:color w:val="auto"/>
              </w:rPr>
              <w:t>SUMMARY</w:t>
            </w:r>
          </w:p>
        </w:tc>
        <w:tc>
          <w:tcPr>
            <w:tcW w:w="1220" w:type="dxa"/>
            <w:vAlign w:val="bottom"/>
          </w:tcPr>
          <w:p>
            <w:pPr>
              <w:jc w:val="right"/>
              <w:ind w:right="33"/>
              <w:spacing w:after="0" w:line="116" w:lineRule="exact"/>
              <w:rPr>
                <w:sz w:val="20"/>
                <w:szCs w:val="20"/>
                <w:color w:val="auto"/>
              </w:rPr>
            </w:pPr>
            <w:r>
              <w:rPr>
                <w:rFonts w:ascii="Arial" w:cs="Arial" w:eastAsia="Arial" w:hAnsi="Arial"/>
                <w:sz w:val="13"/>
                <w:szCs w:val="13"/>
                <w:b w:val="1"/>
                <w:bCs w:val="1"/>
                <w:color w:val="auto"/>
              </w:rPr>
              <w:t>AVERAGE</w:t>
            </w:r>
          </w:p>
        </w:tc>
        <w:tc>
          <w:tcPr>
            <w:tcW w:w="2160" w:type="dxa"/>
            <w:vAlign w:val="bottom"/>
            <w:tcBorders>
              <w:bottom w:val="single" w:sz="8" w:color="auto"/>
            </w:tcBorders>
            <w:gridSpan w:val="2"/>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32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SUMMARY</w:t>
            </w: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COMPENSATION</w:t>
            </w: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COMPENSATION</w:t>
            </w:r>
          </w:p>
        </w:tc>
        <w:tc>
          <w:tcPr>
            <w:tcW w:w="1220" w:type="dxa"/>
            <w:vAlign w:val="bottom"/>
          </w:tcPr>
          <w:p>
            <w:pPr>
              <w:jc w:val="right"/>
              <w:ind w:right="33"/>
              <w:spacing w:after="0"/>
              <w:rPr>
                <w:sz w:val="20"/>
                <w:szCs w:val="20"/>
                <w:color w:val="auto"/>
              </w:rPr>
            </w:pPr>
            <w:r>
              <w:rPr>
                <w:rFonts w:ascii="Arial" w:cs="Arial" w:eastAsia="Arial" w:hAnsi="Arial"/>
                <w:sz w:val="13"/>
                <w:szCs w:val="13"/>
                <w:b w:val="1"/>
                <w:bCs w:val="1"/>
                <w:color w:val="auto"/>
              </w:rPr>
              <w:t>COMPENSATION</w:t>
            </w:r>
          </w:p>
        </w:tc>
        <w:tc>
          <w:tcPr>
            <w:tcW w:w="10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PEER</w:t>
            </w:r>
          </w:p>
        </w:tc>
        <w:tc>
          <w:tcPr>
            <w:tcW w:w="1020" w:type="dxa"/>
            <w:vAlign w:val="bottom"/>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c>
          <w:tcPr>
            <w:tcW w:w="1220" w:type="dxa"/>
            <w:vAlign w:val="bottom"/>
            <w:gridSpan w:val="2"/>
            <w:vMerge w:val="continue"/>
          </w:tcPr>
          <w:p>
            <w:pPr>
              <w:spacing w:after="0"/>
              <w:rPr>
                <w:sz w:val="12"/>
                <w:szCs w:val="12"/>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auto"/>
              </w:rPr>
              <w:t>TABLE TOTAL</w:t>
            </w:r>
          </w:p>
        </w:tc>
        <w:tc>
          <w:tcPr>
            <w:tcW w:w="1220" w:type="dxa"/>
            <w:vAlign w:val="bottom"/>
          </w:tcPr>
          <w:p>
            <w:pPr>
              <w:jc w:val="right"/>
              <w:ind w:right="33"/>
              <w:spacing w:after="0"/>
              <w:rPr>
                <w:sz w:val="20"/>
                <w:szCs w:val="20"/>
                <w:color w:val="auto"/>
              </w:rPr>
            </w:pPr>
            <w:r>
              <w:rPr>
                <w:rFonts w:ascii="Arial" w:cs="Arial" w:eastAsia="Arial" w:hAnsi="Arial"/>
                <w:sz w:val="13"/>
                <w:szCs w:val="13"/>
                <w:b w:val="1"/>
                <w:bCs w:val="1"/>
                <w:color w:val="auto"/>
              </w:rPr>
              <w:t>ACTUALLY PAID</w:t>
            </w:r>
          </w:p>
        </w:tc>
        <w:tc>
          <w:tcPr>
            <w:tcW w:w="1080" w:type="dxa"/>
            <w:vAlign w:val="bottom"/>
            <w:vMerge w:val="continue"/>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GROUP TOTAL</w:t>
            </w: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NET INCOME</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TABLE TOTAL</w:t>
            </w:r>
          </w:p>
        </w:tc>
        <w:tc>
          <w:tcPr>
            <w:tcW w:w="12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ACTUALLY PAID</w:t>
            </w: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auto"/>
              </w:rPr>
              <w:t>FOR NON-PEO</w:t>
            </w:r>
          </w:p>
        </w:tc>
        <w:tc>
          <w:tcPr>
            <w:tcW w:w="1220" w:type="dxa"/>
            <w:vAlign w:val="bottom"/>
          </w:tcPr>
          <w:p>
            <w:pPr>
              <w:jc w:val="right"/>
              <w:ind w:right="33"/>
              <w:spacing w:after="0"/>
              <w:rPr>
                <w:sz w:val="20"/>
                <w:szCs w:val="20"/>
                <w:color w:val="auto"/>
              </w:rPr>
            </w:pPr>
            <w:r>
              <w:rPr>
                <w:rFonts w:ascii="Arial" w:cs="Arial" w:eastAsia="Arial" w:hAnsi="Arial"/>
                <w:sz w:val="13"/>
                <w:szCs w:val="13"/>
                <w:b w:val="1"/>
                <w:bCs w:val="1"/>
                <w:color w:val="auto"/>
              </w:rPr>
              <w:t>TO NON-PEO</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w w:val="99"/>
              </w:rPr>
              <w:t>SHAREHOLDER</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SHAREHOLDER</w:t>
            </w:r>
          </w:p>
        </w:tc>
        <w:tc>
          <w:tcPr>
            <w:tcW w:w="1020" w:type="dxa"/>
            <w:vAlign w:val="bottom"/>
            <w:vMerge w:val="continue"/>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EBITDA*</w:t>
            </w:r>
          </w:p>
        </w:tc>
        <w:tc>
          <w:tcPr>
            <w:tcW w:w="0" w:type="dxa"/>
            <w:vAlign w:val="bottom"/>
          </w:tcPr>
          <w:p>
            <w:pPr>
              <w:spacing w:after="0"/>
              <w:rPr>
                <w:sz w:val="1"/>
                <w:szCs w:val="1"/>
                <w:color w:val="auto"/>
              </w:rPr>
            </w:pPr>
          </w:p>
        </w:tc>
      </w:tr>
      <w:tr>
        <w:trPr>
          <w:trHeight w:val="177"/>
        </w:trPr>
        <w:tc>
          <w:tcPr>
            <w:tcW w:w="13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YEAR</w:t>
            </w:r>
          </w:p>
        </w:tc>
        <w:tc>
          <w:tcPr>
            <w:tcW w:w="2000" w:type="dxa"/>
            <w:vAlign w:val="bottom"/>
          </w:tcPr>
          <w:p>
            <w:pPr>
              <w:jc w:val="right"/>
              <w:spacing w:after="0" w:line="177" w:lineRule="exact"/>
              <w:rPr>
                <w:sz w:val="20"/>
                <w:szCs w:val="20"/>
                <w:color w:val="auto"/>
              </w:rPr>
            </w:pPr>
            <w:r>
              <w:rPr>
                <w:rFonts w:ascii="Arial" w:cs="Arial" w:eastAsia="Arial" w:hAnsi="Arial"/>
                <w:sz w:val="12"/>
                <w:szCs w:val="12"/>
                <w:b w:val="1"/>
                <w:bCs w:val="1"/>
                <w:color w:val="auto"/>
              </w:rPr>
              <w:t>FOR PEO</w:t>
            </w:r>
            <w:r>
              <w:rPr>
                <w:rFonts w:ascii="Arial" w:cs="Arial" w:eastAsia="Arial" w:hAnsi="Arial"/>
                <w:sz w:val="20"/>
                <w:szCs w:val="20"/>
                <w:b w:val="1"/>
                <w:bCs w:val="1"/>
                <w:color w:val="auto"/>
                <w:vertAlign w:val="superscript"/>
              </w:rPr>
              <w:t>(1)</w:t>
            </w:r>
          </w:p>
        </w:tc>
        <w:tc>
          <w:tcPr>
            <w:tcW w:w="1220" w:type="dxa"/>
            <w:vAlign w:val="bottom"/>
            <w:gridSpan w:val="2"/>
          </w:tcPr>
          <w:p>
            <w:pPr>
              <w:jc w:val="right"/>
              <w:ind w:right="100"/>
              <w:spacing w:after="0" w:line="177" w:lineRule="exact"/>
              <w:rPr>
                <w:sz w:val="20"/>
                <w:szCs w:val="20"/>
                <w:color w:val="auto"/>
              </w:rPr>
            </w:pPr>
            <w:r>
              <w:rPr>
                <w:rFonts w:ascii="Arial" w:cs="Arial" w:eastAsia="Arial" w:hAnsi="Arial"/>
                <w:sz w:val="12"/>
                <w:szCs w:val="12"/>
                <w:b w:val="1"/>
                <w:bCs w:val="1"/>
                <w:color w:val="auto"/>
              </w:rPr>
              <w:t>TO PEO</w:t>
            </w:r>
            <w:r>
              <w:rPr>
                <w:rFonts w:ascii="Arial" w:cs="Arial" w:eastAsia="Arial" w:hAnsi="Arial"/>
                <w:sz w:val="20"/>
                <w:szCs w:val="20"/>
                <w:b w:val="1"/>
                <w:bCs w:val="1"/>
                <w:color w:val="auto"/>
                <w:vertAlign w:val="superscript"/>
              </w:rPr>
              <w:t>(2)</w:t>
            </w:r>
          </w:p>
        </w:tc>
        <w:tc>
          <w:tcPr>
            <w:tcW w:w="600" w:type="dxa"/>
            <w:vAlign w:val="bottom"/>
          </w:tcPr>
          <w:p>
            <w:pPr>
              <w:spacing w:after="0"/>
              <w:rPr>
                <w:sz w:val="15"/>
                <w:szCs w:val="15"/>
                <w:color w:val="auto"/>
              </w:rPr>
            </w:pPr>
          </w:p>
        </w:tc>
        <w:tc>
          <w:tcPr>
            <w:tcW w:w="600" w:type="dxa"/>
            <w:vAlign w:val="bottom"/>
          </w:tcPr>
          <w:p>
            <w:pPr>
              <w:jc w:val="right"/>
              <w:spacing w:after="0" w:line="177" w:lineRule="exact"/>
              <w:rPr>
                <w:sz w:val="20"/>
                <w:szCs w:val="20"/>
                <w:color w:val="auto"/>
              </w:rPr>
            </w:pPr>
            <w:r>
              <w:rPr>
                <w:rFonts w:ascii="Arial" w:cs="Arial" w:eastAsia="Arial" w:hAnsi="Arial"/>
                <w:sz w:val="12"/>
                <w:szCs w:val="12"/>
                <w:b w:val="1"/>
                <w:bCs w:val="1"/>
                <w:color w:val="auto"/>
              </w:rPr>
              <w:t>NEOs</w:t>
            </w:r>
            <w:r>
              <w:rPr>
                <w:rFonts w:ascii="Arial" w:cs="Arial" w:eastAsia="Arial" w:hAnsi="Arial"/>
                <w:sz w:val="20"/>
                <w:szCs w:val="20"/>
                <w:b w:val="1"/>
                <w:bCs w:val="1"/>
                <w:color w:val="auto"/>
                <w:vertAlign w:val="superscript"/>
              </w:rPr>
              <w:t>(1)</w:t>
            </w:r>
          </w:p>
        </w:tc>
        <w:tc>
          <w:tcPr>
            <w:tcW w:w="1220" w:type="dxa"/>
            <w:vAlign w:val="bottom"/>
          </w:tcPr>
          <w:p>
            <w:pPr>
              <w:jc w:val="right"/>
              <w:ind w:right="33"/>
              <w:spacing w:after="0" w:line="177" w:lineRule="exact"/>
              <w:rPr>
                <w:sz w:val="20"/>
                <w:szCs w:val="20"/>
                <w:color w:val="auto"/>
              </w:rPr>
            </w:pPr>
            <w:r>
              <w:rPr>
                <w:rFonts w:ascii="Arial" w:cs="Arial" w:eastAsia="Arial" w:hAnsi="Arial"/>
                <w:sz w:val="12"/>
                <w:szCs w:val="12"/>
                <w:b w:val="1"/>
                <w:bCs w:val="1"/>
                <w:color w:val="auto"/>
              </w:rPr>
              <w:t>NEOs</w:t>
            </w:r>
            <w:r>
              <w:rPr>
                <w:rFonts w:ascii="Arial" w:cs="Arial" w:eastAsia="Arial" w:hAnsi="Arial"/>
                <w:sz w:val="20"/>
                <w:szCs w:val="20"/>
                <w:b w:val="1"/>
                <w:bCs w:val="1"/>
                <w:color w:val="auto"/>
                <w:vertAlign w:val="superscript"/>
              </w:rPr>
              <w:t>(2)</w:t>
            </w:r>
          </w:p>
        </w:tc>
        <w:tc>
          <w:tcPr>
            <w:tcW w:w="1080" w:type="dxa"/>
            <w:vAlign w:val="bottom"/>
          </w:tcPr>
          <w:p>
            <w:pPr>
              <w:jc w:val="right"/>
              <w:spacing w:after="0" w:line="177" w:lineRule="exact"/>
              <w:rPr>
                <w:sz w:val="20"/>
                <w:szCs w:val="20"/>
                <w:color w:val="auto"/>
              </w:rPr>
            </w:pPr>
            <w:r>
              <w:rPr>
                <w:rFonts w:ascii="Arial" w:cs="Arial" w:eastAsia="Arial" w:hAnsi="Arial"/>
                <w:sz w:val="20"/>
                <w:szCs w:val="20"/>
                <w:b w:val="1"/>
                <w:bCs w:val="1"/>
                <w:color w:val="auto"/>
                <w:vertAlign w:val="subscript"/>
              </w:rPr>
              <w:t>RETURN</w:t>
            </w:r>
            <w:r>
              <w:rPr>
                <w:rFonts w:ascii="Arial" w:cs="Arial" w:eastAsia="Arial" w:hAnsi="Arial"/>
                <w:sz w:val="10"/>
                <w:szCs w:val="10"/>
                <w:b w:val="1"/>
                <w:bCs w:val="1"/>
                <w:color w:val="auto"/>
              </w:rPr>
              <w:t>(3)(5)</w:t>
            </w:r>
          </w:p>
        </w:tc>
        <w:tc>
          <w:tcPr>
            <w:tcW w:w="1140" w:type="dxa"/>
            <w:vAlign w:val="bottom"/>
            <w:gridSpan w:val="2"/>
          </w:tcPr>
          <w:p>
            <w:pPr>
              <w:jc w:val="right"/>
              <w:ind w:right="60"/>
              <w:spacing w:after="0" w:line="177" w:lineRule="exact"/>
              <w:rPr>
                <w:sz w:val="20"/>
                <w:szCs w:val="20"/>
                <w:color w:val="auto"/>
              </w:rPr>
            </w:pPr>
            <w:r>
              <w:rPr>
                <w:rFonts w:ascii="Arial" w:cs="Arial" w:eastAsia="Arial" w:hAnsi="Arial"/>
                <w:sz w:val="20"/>
                <w:szCs w:val="20"/>
                <w:b w:val="1"/>
                <w:bCs w:val="1"/>
                <w:color w:val="auto"/>
                <w:vertAlign w:val="subscript"/>
              </w:rPr>
              <w:t>RETURN</w:t>
            </w:r>
            <w:r>
              <w:rPr>
                <w:rFonts w:ascii="Arial" w:cs="Arial" w:eastAsia="Arial" w:hAnsi="Arial"/>
                <w:sz w:val="10"/>
                <w:szCs w:val="10"/>
                <w:b w:val="1"/>
                <w:bCs w:val="1"/>
                <w:color w:val="auto"/>
              </w:rPr>
              <w:t>(3)(5)</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 IN</w:t>
            </w:r>
          </w:p>
        </w:tc>
        <w:tc>
          <w:tcPr>
            <w:tcW w:w="6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 IN</w:t>
            </w:r>
          </w:p>
        </w:tc>
        <w:tc>
          <w:tcPr>
            <w:tcW w:w="0" w:type="dxa"/>
            <w:vAlign w:val="bottom"/>
          </w:tcPr>
          <w:p>
            <w:pPr>
              <w:spacing w:after="0"/>
              <w:rPr>
                <w:sz w:val="1"/>
                <w:szCs w:val="1"/>
                <w:color w:val="auto"/>
              </w:rPr>
            </w:pPr>
          </w:p>
        </w:tc>
      </w:tr>
      <w:tr>
        <w:trPr>
          <w:trHeight w:val="161"/>
        </w:trPr>
        <w:tc>
          <w:tcPr>
            <w:tcW w:w="1320" w:type="dxa"/>
            <w:vAlign w:val="bottom"/>
            <w:vMerge w:val="continue"/>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22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spacing w:after="0" w:line="161" w:lineRule="exact"/>
              <w:rPr>
                <w:sz w:val="20"/>
                <w:szCs w:val="20"/>
                <w:color w:val="auto"/>
              </w:rPr>
            </w:pPr>
            <w:r>
              <w:rPr>
                <w:rFonts w:ascii="Arial" w:cs="Arial" w:eastAsia="Arial" w:hAnsi="Arial"/>
                <w:sz w:val="11"/>
                <w:szCs w:val="11"/>
                <w:b w:val="1"/>
                <w:bCs w:val="1"/>
                <w:color w:val="auto"/>
              </w:rPr>
              <w:t>BILLIONS)</w:t>
            </w:r>
            <w:r>
              <w:rPr>
                <w:rFonts w:ascii="Arial" w:cs="Arial" w:eastAsia="Arial" w:hAnsi="Arial"/>
                <w:sz w:val="18"/>
                <w:szCs w:val="18"/>
                <w:b w:val="1"/>
                <w:bCs w:val="1"/>
                <w:color w:val="auto"/>
                <w:vertAlign w:val="superscript"/>
              </w:rPr>
              <w:t>(4)(5)</w:t>
            </w:r>
          </w:p>
        </w:tc>
        <w:tc>
          <w:tcPr>
            <w:tcW w:w="1040" w:type="dxa"/>
            <w:vAlign w:val="bottom"/>
            <w:gridSpan w:val="2"/>
          </w:tcPr>
          <w:p>
            <w:pPr>
              <w:jc w:val="right"/>
              <w:spacing w:after="0" w:line="161" w:lineRule="exact"/>
              <w:rPr>
                <w:sz w:val="20"/>
                <w:szCs w:val="20"/>
                <w:color w:val="auto"/>
              </w:rPr>
            </w:pPr>
            <w:r>
              <w:rPr>
                <w:rFonts w:ascii="Arial" w:cs="Arial" w:eastAsia="Arial" w:hAnsi="Arial"/>
                <w:sz w:val="11"/>
                <w:szCs w:val="11"/>
                <w:b w:val="1"/>
                <w:bCs w:val="1"/>
                <w:color w:val="auto"/>
              </w:rPr>
              <w:t>BILLIONS)</w:t>
            </w:r>
            <w:r>
              <w:rPr>
                <w:rFonts w:ascii="Arial" w:cs="Arial" w:eastAsia="Arial" w:hAnsi="Arial"/>
                <w:sz w:val="18"/>
                <w:szCs w:val="18"/>
                <w:b w:val="1"/>
                <w:bCs w:val="1"/>
                <w:color w:val="auto"/>
                <w:vertAlign w:val="superscript"/>
              </w:rPr>
              <w:t>(5)(6)</w:t>
            </w:r>
          </w:p>
        </w:tc>
        <w:tc>
          <w:tcPr>
            <w:tcW w:w="0" w:type="dxa"/>
            <w:vAlign w:val="bottom"/>
          </w:tcPr>
          <w:p>
            <w:pPr>
              <w:spacing w:after="0"/>
              <w:rPr>
                <w:sz w:val="1"/>
                <w:szCs w:val="1"/>
                <w:color w:val="auto"/>
              </w:rPr>
            </w:pPr>
          </w:p>
        </w:tc>
      </w:tr>
      <w:tr>
        <w:trPr>
          <w:trHeight w:val="188"/>
        </w:trPr>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(b)</w:t>
            </w: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(c)</w:t>
            </w:r>
          </w:p>
        </w:tc>
        <w:tc>
          <w:tcPr>
            <w:tcW w:w="6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w:t>
            </w: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(g)</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(h)</w:t>
            </w:r>
          </w:p>
        </w:tc>
        <w:tc>
          <w:tcPr>
            <w:tcW w:w="6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(i)</w:t>
            </w:r>
          </w:p>
        </w:tc>
        <w:tc>
          <w:tcPr>
            <w:tcW w:w="0" w:type="dxa"/>
            <w:vAlign w:val="bottom"/>
          </w:tcPr>
          <w:p>
            <w:pPr>
              <w:spacing w:after="0"/>
              <w:rPr>
                <w:sz w:val="1"/>
                <w:szCs w:val="1"/>
                <w:color w:val="auto"/>
              </w:rPr>
            </w:pPr>
          </w:p>
        </w:tc>
      </w:tr>
      <w:tr>
        <w:trPr>
          <w:trHeight w:val="196"/>
        </w:trPr>
        <w:tc>
          <w:tcPr>
            <w:tcW w:w="1320" w:type="dxa"/>
            <w:vAlign w:val="bottom"/>
            <w:tcBorders>
              <w:bottom w:val="single" w:sz="8" w:color="DCDDDE"/>
            </w:tcBorders>
          </w:tcPr>
          <w:p>
            <w:pPr>
              <w:ind w:left="80"/>
              <w:spacing w:after="0"/>
              <w:rPr>
                <w:sz w:val="20"/>
                <w:szCs w:val="20"/>
                <w:color w:val="auto"/>
              </w:rPr>
            </w:pPr>
            <w:r>
              <w:rPr>
                <w:rFonts w:ascii="Arial" w:cs="Arial" w:eastAsia="Arial" w:hAnsi="Arial"/>
                <w:sz w:val="13"/>
                <w:szCs w:val="13"/>
                <w:b w:val="1"/>
                <w:bCs w:val="1"/>
                <w:color w:val="auto"/>
              </w:rPr>
              <w:t>2024</w:t>
            </w:r>
          </w:p>
        </w:tc>
        <w:tc>
          <w:tcPr>
            <w:tcW w:w="200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33,861,622</w:t>
            </w:r>
          </w:p>
        </w:tc>
        <w:tc>
          <w:tcPr>
            <w:tcW w:w="114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10,418,649</w:t>
            </w:r>
          </w:p>
        </w:tc>
        <w:tc>
          <w:tcPr>
            <w:tcW w:w="80" w:type="dxa"/>
            <w:vAlign w:val="bottom"/>
            <w:tcBorders>
              <w:bottom w:val="single" w:sz="8" w:color="DCDDDE"/>
            </w:tcBorders>
          </w:tcPr>
          <w:p>
            <w:pPr>
              <w:spacing w:after="0"/>
              <w:rPr>
                <w:sz w:val="17"/>
                <w:szCs w:val="17"/>
                <w:color w:val="auto"/>
              </w:rPr>
            </w:pPr>
          </w:p>
        </w:tc>
        <w:tc>
          <w:tcPr>
            <w:tcW w:w="1200" w:type="dxa"/>
            <w:vAlign w:val="bottom"/>
            <w:tcBorders>
              <w:bottom w:val="single" w:sz="8" w:color="DCDDDE"/>
            </w:tcBorders>
            <w:gridSpan w:val="2"/>
          </w:tcPr>
          <w:p>
            <w:pPr>
              <w:jc w:val="right"/>
              <w:spacing w:after="0"/>
              <w:rPr>
                <w:sz w:val="20"/>
                <w:szCs w:val="20"/>
                <w:color w:val="auto"/>
              </w:rPr>
            </w:pPr>
            <w:r>
              <w:rPr>
                <w:rFonts w:ascii="Arial" w:cs="Arial" w:eastAsia="Arial" w:hAnsi="Arial"/>
                <w:sz w:val="13"/>
                <w:szCs w:val="13"/>
                <w:color w:val="auto"/>
              </w:rPr>
              <w:t>15,748,397</w:t>
            </w:r>
          </w:p>
        </w:tc>
        <w:tc>
          <w:tcPr>
            <w:tcW w:w="1220" w:type="dxa"/>
            <w:vAlign w:val="bottom"/>
            <w:tcBorders>
              <w:bottom w:val="single" w:sz="8" w:color="DCDDDE"/>
            </w:tcBorders>
          </w:tcPr>
          <w:p>
            <w:pPr>
              <w:jc w:val="right"/>
              <w:ind w:right="33"/>
              <w:spacing w:after="0"/>
              <w:rPr>
                <w:sz w:val="20"/>
                <w:szCs w:val="20"/>
                <w:color w:val="auto"/>
              </w:rPr>
            </w:pPr>
            <w:r>
              <w:rPr>
                <w:rFonts w:ascii="Arial" w:cs="Arial" w:eastAsia="Arial" w:hAnsi="Arial"/>
                <w:sz w:val="13"/>
                <w:szCs w:val="13"/>
                <w:color w:val="auto"/>
              </w:rPr>
              <w:t>6,869,290</w:t>
            </w:r>
          </w:p>
        </w:tc>
        <w:tc>
          <w:tcPr>
            <w:tcW w:w="108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94.53</w:t>
            </w:r>
          </w:p>
        </w:tc>
        <w:tc>
          <w:tcPr>
            <w:tcW w:w="1140" w:type="dxa"/>
            <w:vAlign w:val="bottom"/>
            <w:tcBorders>
              <w:bottom w:val="single" w:sz="8" w:color="DCDDDE"/>
            </w:tcBorders>
            <w:gridSpan w:val="2"/>
          </w:tcPr>
          <w:p>
            <w:pPr>
              <w:jc w:val="right"/>
              <w:ind w:right="60"/>
              <w:spacing w:after="0"/>
              <w:rPr>
                <w:sz w:val="20"/>
                <w:szCs w:val="20"/>
                <w:color w:val="auto"/>
              </w:rPr>
            </w:pPr>
            <w:r>
              <w:rPr>
                <w:rFonts w:ascii="Arial" w:cs="Arial" w:eastAsia="Arial" w:hAnsi="Arial"/>
                <w:sz w:val="13"/>
                <w:szCs w:val="13"/>
                <w:color w:val="auto"/>
              </w:rPr>
              <w:t>102.62</w:t>
            </w:r>
          </w:p>
        </w:tc>
        <w:tc>
          <w:tcPr>
            <w:tcW w:w="102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15.9</w:t>
            </w:r>
          </w:p>
        </w:tc>
        <w:tc>
          <w:tcPr>
            <w:tcW w:w="640" w:type="dxa"/>
            <w:vAlign w:val="bottom"/>
            <w:tcBorders>
              <w:bottom w:val="single" w:sz="8" w:color="DCDDDE"/>
            </w:tcBorders>
          </w:tcPr>
          <w:p>
            <w:pPr>
              <w:spacing w:after="0"/>
              <w:rPr>
                <w:sz w:val="17"/>
                <w:szCs w:val="17"/>
                <w:color w:val="auto"/>
              </w:rPr>
            </w:pPr>
          </w:p>
        </w:tc>
        <w:tc>
          <w:tcPr>
            <w:tcW w:w="40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96"/>
        </w:trPr>
        <w:tc>
          <w:tcPr>
            <w:tcW w:w="1320" w:type="dxa"/>
            <w:vAlign w:val="bottom"/>
            <w:tcBorders>
              <w:bottom w:val="single" w:sz="8" w:color="DCDDDE"/>
            </w:tcBorders>
          </w:tcPr>
          <w:p>
            <w:pPr>
              <w:ind w:left="80"/>
              <w:spacing w:after="0"/>
              <w:rPr>
                <w:sz w:val="20"/>
                <w:szCs w:val="20"/>
                <w:color w:val="auto"/>
              </w:rPr>
            </w:pPr>
            <w:r>
              <w:rPr>
                <w:rFonts w:ascii="Arial" w:cs="Arial" w:eastAsia="Arial" w:hAnsi="Arial"/>
                <w:sz w:val="13"/>
                <w:szCs w:val="13"/>
                <w:b w:val="1"/>
                <w:bCs w:val="1"/>
                <w:color w:val="auto"/>
              </w:rPr>
              <w:t>2023</w:t>
            </w:r>
          </w:p>
        </w:tc>
        <w:tc>
          <w:tcPr>
            <w:tcW w:w="200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35,473,666</w:t>
            </w:r>
          </w:p>
        </w:tc>
        <w:tc>
          <w:tcPr>
            <w:tcW w:w="114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71,202,103</w:t>
            </w:r>
          </w:p>
        </w:tc>
        <w:tc>
          <w:tcPr>
            <w:tcW w:w="80" w:type="dxa"/>
            <w:vAlign w:val="bottom"/>
            <w:tcBorders>
              <w:bottom w:val="single" w:sz="8" w:color="DCDDDE"/>
            </w:tcBorders>
          </w:tcPr>
          <w:p>
            <w:pPr>
              <w:spacing w:after="0"/>
              <w:rPr>
                <w:sz w:val="17"/>
                <w:szCs w:val="17"/>
                <w:color w:val="auto"/>
              </w:rPr>
            </w:pPr>
          </w:p>
        </w:tc>
        <w:tc>
          <w:tcPr>
            <w:tcW w:w="1200" w:type="dxa"/>
            <w:vAlign w:val="bottom"/>
            <w:tcBorders>
              <w:bottom w:val="single" w:sz="8" w:color="DCDDDE"/>
            </w:tcBorders>
            <w:gridSpan w:val="2"/>
          </w:tcPr>
          <w:p>
            <w:pPr>
              <w:jc w:val="right"/>
              <w:spacing w:after="0"/>
              <w:rPr>
                <w:sz w:val="20"/>
                <w:szCs w:val="20"/>
                <w:color w:val="auto"/>
              </w:rPr>
            </w:pPr>
            <w:r>
              <w:rPr>
                <w:rFonts w:ascii="Arial" w:cs="Arial" w:eastAsia="Arial" w:hAnsi="Arial"/>
                <w:sz w:val="13"/>
                <w:szCs w:val="13"/>
                <w:color w:val="auto"/>
              </w:rPr>
              <w:t>14,498,736</w:t>
            </w:r>
          </w:p>
        </w:tc>
        <w:tc>
          <w:tcPr>
            <w:tcW w:w="1220" w:type="dxa"/>
            <w:vAlign w:val="bottom"/>
            <w:tcBorders>
              <w:bottom w:val="single" w:sz="8" w:color="DCDDDE"/>
            </w:tcBorders>
          </w:tcPr>
          <w:p>
            <w:pPr>
              <w:jc w:val="right"/>
              <w:ind w:right="33"/>
              <w:spacing w:after="0"/>
              <w:rPr>
                <w:sz w:val="20"/>
                <w:szCs w:val="20"/>
                <w:color w:val="auto"/>
              </w:rPr>
            </w:pPr>
            <w:r>
              <w:rPr>
                <w:rFonts w:ascii="Arial" w:cs="Arial" w:eastAsia="Arial" w:hAnsi="Arial"/>
                <w:sz w:val="13"/>
                <w:szCs w:val="13"/>
                <w:color w:val="auto"/>
              </w:rPr>
              <w:t>27,073,830</w:t>
            </w:r>
          </w:p>
        </w:tc>
        <w:tc>
          <w:tcPr>
            <w:tcW w:w="108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107.23</w:t>
            </w:r>
          </w:p>
        </w:tc>
        <w:tc>
          <w:tcPr>
            <w:tcW w:w="1140" w:type="dxa"/>
            <w:vAlign w:val="bottom"/>
            <w:tcBorders>
              <w:bottom w:val="single" w:sz="8" w:color="DCDDDE"/>
            </w:tcBorders>
            <w:gridSpan w:val="2"/>
          </w:tcPr>
          <w:p>
            <w:pPr>
              <w:jc w:val="right"/>
              <w:ind w:right="60"/>
              <w:spacing w:after="0"/>
              <w:rPr>
                <w:sz w:val="20"/>
                <w:szCs w:val="20"/>
                <w:color w:val="auto"/>
              </w:rPr>
            </w:pPr>
            <w:r>
              <w:rPr>
                <w:rFonts w:ascii="Arial" w:cs="Arial" w:eastAsia="Arial" w:hAnsi="Arial"/>
                <w:sz w:val="13"/>
                <w:szCs w:val="13"/>
                <w:color w:val="auto"/>
              </w:rPr>
              <w:t>86.75</w:t>
            </w:r>
          </w:p>
        </w:tc>
        <w:tc>
          <w:tcPr>
            <w:tcW w:w="102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15.1</w:t>
            </w:r>
          </w:p>
        </w:tc>
        <w:tc>
          <w:tcPr>
            <w:tcW w:w="640" w:type="dxa"/>
            <w:vAlign w:val="bottom"/>
            <w:tcBorders>
              <w:bottom w:val="single" w:sz="8" w:color="DCDDDE"/>
            </w:tcBorders>
          </w:tcPr>
          <w:p>
            <w:pPr>
              <w:spacing w:after="0"/>
              <w:rPr>
                <w:sz w:val="17"/>
                <w:szCs w:val="17"/>
                <w:color w:val="auto"/>
              </w:rPr>
            </w:pPr>
          </w:p>
        </w:tc>
        <w:tc>
          <w:tcPr>
            <w:tcW w:w="40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96"/>
        </w:trPr>
        <w:tc>
          <w:tcPr>
            <w:tcW w:w="1320" w:type="dxa"/>
            <w:vAlign w:val="bottom"/>
            <w:tcBorders>
              <w:bottom w:val="single" w:sz="8" w:color="DCDDDE"/>
            </w:tcBorders>
          </w:tcPr>
          <w:p>
            <w:pPr>
              <w:ind w:left="80"/>
              <w:spacing w:after="0"/>
              <w:rPr>
                <w:sz w:val="20"/>
                <w:szCs w:val="20"/>
                <w:color w:val="auto"/>
              </w:rPr>
            </w:pPr>
            <w:r>
              <w:rPr>
                <w:rFonts w:ascii="Arial" w:cs="Arial" w:eastAsia="Arial" w:hAnsi="Arial"/>
                <w:sz w:val="13"/>
                <w:szCs w:val="13"/>
                <w:b w:val="1"/>
                <w:bCs w:val="1"/>
                <w:color w:val="auto"/>
              </w:rPr>
              <w:t>2022</w:t>
            </w:r>
          </w:p>
        </w:tc>
        <w:tc>
          <w:tcPr>
            <w:tcW w:w="200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32,069,850</w:t>
            </w:r>
          </w:p>
        </w:tc>
        <w:tc>
          <w:tcPr>
            <w:tcW w:w="1220" w:type="dxa"/>
            <w:vAlign w:val="bottom"/>
            <w:tcBorders>
              <w:bottom w:val="single" w:sz="8" w:color="DCDDDE"/>
            </w:tcBorders>
            <w:gridSpan w:val="2"/>
          </w:tcPr>
          <w:p>
            <w:pPr>
              <w:jc w:val="right"/>
              <w:ind w:right="60"/>
              <w:spacing w:after="0"/>
              <w:rPr>
                <w:sz w:val="20"/>
                <w:szCs w:val="20"/>
                <w:color w:val="auto"/>
              </w:rPr>
            </w:pPr>
            <w:r>
              <w:rPr>
                <w:rFonts w:ascii="Arial" w:cs="Arial" w:eastAsia="Arial" w:hAnsi="Arial"/>
                <w:sz w:val="13"/>
                <w:szCs w:val="13"/>
                <w:color w:val="auto"/>
              </w:rPr>
              <w:t>(4,091,854)</w:t>
            </w:r>
          </w:p>
        </w:tc>
        <w:tc>
          <w:tcPr>
            <w:tcW w:w="1200" w:type="dxa"/>
            <w:vAlign w:val="bottom"/>
            <w:tcBorders>
              <w:bottom w:val="single" w:sz="8" w:color="DCDDDE"/>
            </w:tcBorders>
            <w:gridSpan w:val="2"/>
          </w:tcPr>
          <w:p>
            <w:pPr>
              <w:jc w:val="right"/>
              <w:spacing w:after="0"/>
              <w:rPr>
                <w:sz w:val="20"/>
                <w:szCs w:val="20"/>
                <w:color w:val="auto"/>
              </w:rPr>
            </w:pPr>
            <w:r>
              <w:rPr>
                <w:rFonts w:ascii="Arial" w:cs="Arial" w:eastAsia="Arial" w:hAnsi="Arial"/>
                <w:sz w:val="13"/>
                <w:szCs w:val="13"/>
                <w:color w:val="auto"/>
              </w:rPr>
              <w:t>24,672,250</w:t>
            </w:r>
          </w:p>
        </w:tc>
        <w:tc>
          <w:tcPr>
            <w:tcW w:w="1220" w:type="dxa"/>
            <w:vAlign w:val="bottom"/>
            <w:tcBorders>
              <w:bottom w:val="single" w:sz="8" w:color="DCDDDE"/>
            </w:tcBorders>
          </w:tcPr>
          <w:p>
            <w:pPr>
              <w:jc w:val="right"/>
              <w:ind w:right="33"/>
              <w:spacing w:after="0"/>
              <w:rPr>
                <w:sz w:val="20"/>
                <w:szCs w:val="20"/>
                <w:color w:val="auto"/>
              </w:rPr>
            </w:pPr>
            <w:r>
              <w:rPr>
                <w:rFonts w:ascii="Arial" w:cs="Arial" w:eastAsia="Arial" w:hAnsi="Arial"/>
                <w:sz w:val="13"/>
                <w:szCs w:val="13"/>
                <w:color w:val="auto"/>
              </w:rPr>
              <w:t>10,501,980</w:t>
            </w:r>
          </w:p>
        </w:tc>
        <w:tc>
          <w:tcPr>
            <w:tcW w:w="108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83.09</w:t>
            </w:r>
          </w:p>
        </w:tc>
        <w:tc>
          <w:tcPr>
            <w:tcW w:w="1140" w:type="dxa"/>
            <w:vAlign w:val="bottom"/>
            <w:tcBorders>
              <w:bottom w:val="single" w:sz="8" w:color="DCDDDE"/>
            </w:tcBorders>
            <w:gridSpan w:val="2"/>
          </w:tcPr>
          <w:p>
            <w:pPr>
              <w:jc w:val="right"/>
              <w:ind w:right="60"/>
              <w:spacing w:after="0"/>
              <w:rPr>
                <w:sz w:val="20"/>
                <w:szCs w:val="20"/>
                <w:color w:val="auto"/>
              </w:rPr>
            </w:pPr>
            <w:r>
              <w:rPr>
                <w:rFonts w:ascii="Arial" w:cs="Arial" w:eastAsia="Arial" w:hAnsi="Arial"/>
                <w:sz w:val="13"/>
                <w:szCs w:val="13"/>
                <w:color w:val="auto"/>
              </w:rPr>
              <w:t>79.14</w:t>
            </w:r>
          </w:p>
        </w:tc>
        <w:tc>
          <w:tcPr>
            <w:tcW w:w="102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4.9</w:t>
            </w:r>
          </w:p>
        </w:tc>
        <w:tc>
          <w:tcPr>
            <w:tcW w:w="640" w:type="dxa"/>
            <w:vAlign w:val="bottom"/>
            <w:tcBorders>
              <w:bottom w:val="single" w:sz="8" w:color="DCDDDE"/>
            </w:tcBorders>
          </w:tcPr>
          <w:p>
            <w:pPr>
              <w:spacing w:after="0"/>
              <w:rPr>
                <w:sz w:val="17"/>
                <w:szCs w:val="17"/>
                <w:color w:val="auto"/>
              </w:rPr>
            </w:pPr>
          </w:p>
        </w:tc>
        <w:tc>
          <w:tcPr>
            <w:tcW w:w="40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196"/>
        </w:trPr>
        <w:tc>
          <w:tcPr>
            <w:tcW w:w="1320" w:type="dxa"/>
            <w:vAlign w:val="bottom"/>
            <w:tcBorders>
              <w:bottom w:val="single" w:sz="8" w:color="DCDDDE"/>
            </w:tcBorders>
          </w:tcPr>
          <w:p>
            <w:pPr>
              <w:ind w:left="80"/>
              <w:spacing w:after="0"/>
              <w:rPr>
                <w:sz w:val="20"/>
                <w:szCs w:val="20"/>
                <w:color w:val="auto"/>
              </w:rPr>
            </w:pPr>
            <w:r>
              <w:rPr>
                <w:rFonts w:ascii="Arial" w:cs="Arial" w:eastAsia="Arial" w:hAnsi="Arial"/>
                <w:sz w:val="13"/>
                <w:szCs w:val="13"/>
                <w:b w:val="1"/>
                <w:bCs w:val="1"/>
                <w:color w:val="auto"/>
              </w:rPr>
              <w:t>2021</w:t>
            </w:r>
          </w:p>
        </w:tc>
        <w:tc>
          <w:tcPr>
            <w:tcW w:w="200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33,978,581</w:t>
            </w:r>
          </w:p>
        </w:tc>
        <w:tc>
          <w:tcPr>
            <w:tcW w:w="114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31,854,876</w:t>
            </w:r>
          </w:p>
        </w:tc>
        <w:tc>
          <w:tcPr>
            <w:tcW w:w="80" w:type="dxa"/>
            <w:vAlign w:val="bottom"/>
            <w:tcBorders>
              <w:bottom w:val="single" w:sz="8" w:color="DCDDDE"/>
            </w:tcBorders>
          </w:tcPr>
          <w:p>
            <w:pPr>
              <w:spacing w:after="0"/>
              <w:rPr>
                <w:sz w:val="17"/>
                <w:szCs w:val="17"/>
                <w:color w:val="auto"/>
              </w:rPr>
            </w:pPr>
          </w:p>
        </w:tc>
        <w:tc>
          <w:tcPr>
            <w:tcW w:w="1200" w:type="dxa"/>
            <w:vAlign w:val="bottom"/>
            <w:tcBorders>
              <w:bottom w:val="single" w:sz="8" w:color="DCDDDE"/>
            </w:tcBorders>
            <w:gridSpan w:val="2"/>
          </w:tcPr>
          <w:p>
            <w:pPr>
              <w:jc w:val="right"/>
              <w:spacing w:after="0"/>
              <w:rPr>
                <w:sz w:val="20"/>
                <w:szCs w:val="20"/>
                <w:color w:val="auto"/>
              </w:rPr>
            </w:pPr>
            <w:r>
              <w:rPr>
                <w:rFonts w:ascii="Arial" w:cs="Arial" w:eastAsia="Arial" w:hAnsi="Arial"/>
                <w:sz w:val="13"/>
                <w:szCs w:val="13"/>
                <w:color w:val="auto"/>
              </w:rPr>
              <w:t>21,905,224</w:t>
            </w:r>
          </w:p>
        </w:tc>
        <w:tc>
          <w:tcPr>
            <w:tcW w:w="1220" w:type="dxa"/>
            <w:vAlign w:val="bottom"/>
            <w:tcBorders>
              <w:bottom w:val="single" w:sz="8" w:color="DCDDDE"/>
            </w:tcBorders>
          </w:tcPr>
          <w:p>
            <w:pPr>
              <w:jc w:val="right"/>
              <w:ind w:right="33"/>
              <w:spacing w:after="0"/>
              <w:rPr>
                <w:sz w:val="20"/>
                <w:szCs w:val="20"/>
                <w:color w:val="auto"/>
              </w:rPr>
            </w:pPr>
            <w:r>
              <w:rPr>
                <w:rFonts w:ascii="Arial" w:cs="Arial" w:eastAsia="Arial" w:hAnsi="Arial"/>
                <w:sz w:val="13"/>
                <w:szCs w:val="13"/>
                <w:color w:val="auto"/>
              </w:rPr>
              <w:t>20,790,358</w:t>
            </w:r>
          </w:p>
        </w:tc>
        <w:tc>
          <w:tcPr>
            <w:tcW w:w="108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116.51</w:t>
            </w:r>
          </w:p>
        </w:tc>
        <w:tc>
          <w:tcPr>
            <w:tcW w:w="1140" w:type="dxa"/>
            <w:vAlign w:val="bottom"/>
            <w:tcBorders>
              <w:bottom w:val="single" w:sz="8" w:color="DCDDDE"/>
            </w:tcBorders>
            <w:gridSpan w:val="2"/>
          </w:tcPr>
          <w:p>
            <w:pPr>
              <w:jc w:val="right"/>
              <w:ind w:right="60"/>
              <w:spacing w:after="0"/>
              <w:rPr>
                <w:sz w:val="20"/>
                <w:szCs w:val="20"/>
                <w:color w:val="auto"/>
              </w:rPr>
            </w:pPr>
            <w:r>
              <w:rPr>
                <w:rFonts w:ascii="Arial" w:cs="Arial" w:eastAsia="Arial" w:hAnsi="Arial"/>
                <w:sz w:val="13"/>
                <w:szCs w:val="13"/>
                <w:color w:val="auto"/>
              </w:rPr>
              <w:t>102.76</w:t>
            </w:r>
          </w:p>
        </w:tc>
        <w:tc>
          <w:tcPr>
            <w:tcW w:w="102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13.8</w:t>
            </w:r>
          </w:p>
        </w:tc>
        <w:tc>
          <w:tcPr>
            <w:tcW w:w="640" w:type="dxa"/>
            <w:vAlign w:val="bottom"/>
            <w:tcBorders>
              <w:bottom w:val="single" w:sz="8" w:color="DCDDDE"/>
            </w:tcBorders>
          </w:tcPr>
          <w:p>
            <w:pPr>
              <w:spacing w:after="0"/>
              <w:rPr>
                <w:sz w:val="17"/>
                <w:szCs w:val="17"/>
                <w:color w:val="auto"/>
              </w:rPr>
            </w:pPr>
          </w:p>
        </w:tc>
        <w:tc>
          <w:tcPr>
            <w:tcW w:w="40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34.7</w:t>
            </w:r>
          </w:p>
        </w:tc>
        <w:tc>
          <w:tcPr>
            <w:tcW w:w="0" w:type="dxa"/>
            <w:vAlign w:val="bottom"/>
          </w:tcPr>
          <w:p>
            <w:pPr>
              <w:spacing w:after="0"/>
              <w:rPr>
                <w:sz w:val="1"/>
                <w:szCs w:val="1"/>
                <w:color w:val="auto"/>
              </w:rPr>
            </w:pPr>
          </w:p>
        </w:tc>
      </w:tr>
      <w:tr>
        <w:trPr>
          <w:trHeight w:val="196"/>
        </w:trPr>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2020</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32,713,267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54,701,549</w:t>
            </w: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17,695,036</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26,502,693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119.16</w:t>
            </w: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111.90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6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98"/>
        </w:trPr>
        <w:tc>
          <w:tcPr>
            <w:tcW w:w="5740" w:type="dxa"/>
            <w:vAlign w:val="bottom"/>
            <w:gridSpan w:val="6"/>
          </w:tcPr>
          <w:p>
            <w:pPr>
              <w:jc w:val="right"/>
              <w:ind w:right="495"/>
              <w:spacing w:after="0"/>
              <w:rPr>
                <w:sz w:val="20"/>
                <w:szCs w:val="20"/>
                <w:color w:val="auto"/>
              </w:rPr>
            </w:pPr>
            <w:r>
              <w:rPr>
                <w:rFonts w:ascii="Arial" w:cs="Arial" w:eastAsia="Arial" w:hAnsi="Arial"/>
                <w:sz w:val="13"/>
                <w:szCs w:val="13"/>
                <w:color w:val="auto"/>
              </w:rPr>
              <w:t>*  Reconciliations of non-GAAP financial metrics to GAAP are set forth in Appendix A.</w:t>
            </w: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gridSpan w:val="2"/>
          </w:tcPr>
          <w:p>
            <w:pPr>
              <w:ind w:left="360"/>
              <w:spacing w:after="0"/>
              <w:rPr>
                <w:sz w:val="20"/>
                <w:szCs w:val="20"/>
                <w:color w:val="auto"/>
              </w:rPr>
            </w:pPr>
            <w:r>
              <w:rPr>
                <w:rFonts w:ascii="Arial" w:cs="Arial" w:eastAsia="Arial" w:hAnsi="Arial"/>
                <w:sz w:val="13"/>
                <w:szCs w:val="13"/>
                <w:b w:val="1"/>
                <w:bCs w:val="1"/>
                <w:color w:val="auto"/>
                <w:w w:val="99"/>
              </w:rPr>
              <w:t xml:space="preserve">2025 </w:t>
            </w:r>
            <w:r>
              <w:rPr>
                <w:rFonts w:ascii="Arial" w:cs="Arial" w:eastAsia="Arial" w:hAnsi="Arial"/>
                <w:sz w:val="13"/>
                <w:szCs w:val="13"/>
                <w:color w:val="auto"/>
                <w:w w:val="99"/>
              </w:rPr>
              <w:t>Proxy Statement</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49</w:t>
            </w:r>
          </w:p>
        </w:tc>
        <w:tc>
          <w:tcPr>
            <w:tcW w:w="0" w:type="dxa"/>
            <w:vAlign w:val="bottom"/>
          </w:tcPr>
          <w:p>
            <w:pPr>
              <w:spacing w:after="0"/>
              <w:rPr>
                <w:sz w:val="1"/>
                <w:szCs w:val="1"/>
                <w:color w:val="auto"/>
              </w:rPr>
            </w:pPr>
          </w:p>
        </w:tc>
      </w:tr>
      <w:tr>
        <w:trPr>
          <w:trHeight w:val="231"/>
        </w:trPr>
        <w:tc>
          <w:tcPr>
            <w:tcW w:w="1320" w:type="dxa"/>
            <w:vAlign w:val="bottom"/>
            <w:tcBorders>
              <w:bottom w:val="single" w:sz="8" w:color="A1A1A1"/>
            </w:tcBorders>
          </w:tcPr>
          <w:p>
            <w:pPr>
              <w:spacing w:after="0"/>
              <w:rPr>
                <w:sz w:val="20"/>
                <w:szCs w:val="20"/>
                <w:color w:val="auto"/>
              </w:rPr>
            </w:pPr>
          </w:p>
        </w:tc>
        <w:tc>
          <w:tcPr>
            <w:tcW w:w="2000" w:type="dxa"/>
            <w:vAlign w:val="bottom"/>
            <w:tcBorders>
              <w:bottom w:val="single" w:sz="8" w:color="A1A1A1"/>
            </w:tcBorders>
          </w:tcPr>
          <w:p>
            <w:pPr>
              <w:spacing w:after="0"/>
              <w:rPr>
                <w:sz w:val="20"/>
                <w:szCs w:val="20"/>
                <w:color w:val="auto"/>
              </w:rPr>
            </w:pPr>
          </w:p>
        </w:tc>
        <w:tc>
          <w:tcPr>
            <w:tcW w:w="1140" w:type="dxa"/>
            <w:vAlign w:val="bottom"/>
            <w:tcBorders>
              <w:bottom w:val="single" w:sz="8" w:color="A1A1A1"/>
            </w:tcBorders>
          </w:tcPr>
          <w:p>
            <w:pPr>
              <w:spacing w:after="0"/>
              <w:rPr>
                <w:sz w:val="20"/>
                <w:szCs w:val="20"/>
                <w:color w:val="auto"/>
              </w:rPr>
            </w:pPr>
          </w:p>
        </w:tc>
        <w:tc>
          <w:tcPr>
            <w:tcW w:w="80" w:type="dxa"/>
            <w:vAlign w:val="bottom"/>
            <w:tcBorders>
              <w:bottom w:val="single" w:sz="8" w:color="A1A1A1"/>
            </w:tcBorders>
          </w:tcPr>
          <w:p>
            <w:pPr>
              <w:spacing w:after="0"/>
              <w:rPr>
                <w:sz w:val="20"/>
                <w:szCs w:val="20"/>
                <w:color w:val="auto"/>
              </w:rPr>
            </w:pPr>
          </w:p>
        </w:tc>
        <w:tc>
          <w:tcPr>
            <w:tcW w:w="600" w:type="dxa"/>
            <w:vAlign w:val="bottom"/>
            <w:tcBorders>
              <w:bottom w:val="single" w:sz="8" w:color="A1A1A1"/>
            </w:tcBorders>
          </w:tcPr>
          <w:p>
            <w:pPr>
              <w:spacing w:after="0"/>
              <w:rPr>
                <w:sz w:val="20"/>
                <w:szCs w:val="20"/>
                <w:color w:val="auto"/>
              </w:rPr>
            </w:pPr>
          </w:p>
        </w:tc>
        <w:tc>
          <w:tcPr>
            <w:tcW w:w="600" w:type="dxa"/>
            <w:vAlign w:val="bottom"/>
            <w:tcBorders>
              <w:bottom w:val="single" w:sz="8" w:color="A1A1A1"/>
            </w:tcBorders>
          </w:tcPr>
          <w:p>
            <w:pPr>
              <w:spacing w:after="0"/>
              <w:rPr>
                <w:sz w:val="20"/>
                <w:szCs w:val="20"/>
                <w:color w:val="auto"/>
              </w:rPr>
            </w:pPr>
          </w:p>
        </w:tc>
        <w:tc>
          <w:tcPr>
            <w:tcW w:w="1220" w:type="dxa"/>
            <w:vAlign w:val="bottom"/>
            <w:tcBorders>
              <w:bottom w:val="single" w:sz="8" w:color="A1A1A1"/>
            </w:tcBorders>
          </w:tcPr>
          <w:p>
            <w:pPr>
              <w:spacing w:after="0"/>
              <w:rPr>
                <w:sz w:val="20"/>
                <w:szCs w:val="20"/>
                <w:color w:val="auto"/>
              </w:rPr>
            </w:pPr>
          </w:p>
        </w:tc>
        <w:tc>
          <w:tcPr>
            <w:tcW w:w="1080" w:type="dxa"/>
            <w:vAlign w:val="bottom"/>
            <w:tcBorders>
              <w:bottom w:val="single" w:sz="8" w:color="A1A1A1"/>
            </w:tcBorders>
          </w:tcPr>
          <w:p>
            <w:pPr>
              <w:spacing w:after="0"/>
              <w:rPr>
                <w:sz w:val="20"/>
                <w:szCs w:val="20"/>
                <w:color w:val="auto"/>
              </w:rPr>
            </w:pPr>
          </w:p>
        </w:tc>
        <w:tc>
          <w:tcPr>
            <w:tcW w:w="1080" w:type="dxa"/>
            <w:vAlign w:val="bottom"/>
            <w:tcBorders>
              <w:bottom w:val="single" w:sz="8" w:color="A1A1A1"/>
            </w:tcBorders>
          </w:tcPr>
          <w:p>
            <w:pPr>
              <w:spacing w:after="0"/>
              <w:rPr>
                <w:sz w:val="20"/>
                <w:szCs w:val="20"/>
                <w:color w:val="auto"/>
              </w:rPr>
            </w:pPr>
          </w:p>
        </w:tc>
        <w:tc>
          <w:tcPr>
            <w:tcW w:w="60" w:type="dxa"/>
            <w:vAlign w:val="bottom"/>
            <w:tcBorders>
              <w:bottom w:val="single" w:sz="8" w:color="A1A1A1"/>
            </w:tcBorders>
          </w:tcPr>
          <w:p>
            <w:pPr>
              <w:spacing w:after="0"/>
              <w:rPr>
                <w:sz w:val="20"/>
                <w:szCs w:val="20"/>
                <w:color w:val="auto"/>
              </w:rPr>
            </w:pPr>
          </w:p>
        </w:tc>
        <w:tc>
          <w:tcPr>
            <w:tcW w:w="1020" w:type="dxa"/>
            <w:vAlign w:val="bottom"/>
            <w:tcBorders>
              <w:bottom w:val="single" w:sz="8" w:color="A1A1A1"/>
            </w:tcBorders>
          </w:tcPr>
          <w:p>
            <w:pPr>
              <w:spacing w:after="0"/>
              <w:rPr>
                <w:sz w:val="20"/>
                <w:szCs w:val="20"/>
                <w:color w:val="auto"/>
              </w:rPr>
            </w:pPr>
          </w:p>
        </w:tc>
        <w:tc>
          <w:tcPr>
            <w:tcW w:w="640" w:type="dxa"/>
            <w:vAlign w:val="bottom"/>
            <w:tcBorders>
              <w:bottom w:val="single" w:sz="8" w:color="A1A1A1"/>
            </w:tcBorders>
          </w:tcPr>
          <w:p>
            <w:pPr>
              <w:spacing w:after="0"/>
              <w:rPr>
                <w:sz w:val="20"/>
                <w:szCs w:val="20"/>
                <w:color w:val="auto"/>
              </w:rPr>
            </w:pPr>
          </w:p>
        </w:tc>
        <w:tc>
          <w:tcPr>
            <w:tcW w:w="400" w:type="dxa"/>
            <w:vAlign w:val="bottom"/>
            <w:tcBorders>
              <w:bottom w:val="single" w:sz="8" w:color="A1A1A1"/>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7" w:lineRule="exact"/>
        <w:rPr>
          <w:sz w:val="20"/>
          <w:szCs w:val="20"/>
          <w:color w:val="auto"/>
        </w:rPr>
      </w:pPr>
    </w:p>
    <w:p>
      <w:pPr>
        <w:jc w:val="both"/>
        <w:ind w:left="300" w:right="160" w:hanging="292"/>
        <w:spacing w:after="0" w:line="259" w:lineRule="auto"/>
        <w:tabs>
          <w:tab w:leader="none" w:pos="300" w:val="left"/>
        </w:tabs>
        <w:numPr>
          <w:ilvl w:val="0"/>
          <w:numId w:val="95"/>
        </w:numPr>
        <w:rPr>
          <w:rFonts w:ascii="Arial" w:cs="Arial" w:eastAsia="Arial" w:hAnsi="Arial"/>
          <w:sz w:val="11"/>
          <w:szCs w:val="11"/>
          <w:color w:val="auto"/>
        </w:rPr>
      </w:pPr>
      <w:r>
        <w:rPr>
          <w:rFonts w:ascii="Arial" w:cs="Arial" w:eastAsia="Arial" w:hAnsi="Arial"/>
          <w:sz w:val="13"/>
          <w:szCs w:val="13"/>
          <w:color w:val="auto"/>
        </w:rPr>
        <w:t>Compensation for our PEO, Mr. Roberts, reflects the amounts reported in the “Summary Compensation Table” for the respective years. Average compensation for non-PEO NEOs in 2024 and 2023 is for Messrs. Cavanagh, Armstrong, Reid and Ms. Khoury, in 2022 and 2021 is for Messrs. Cavanagh, Shell and Watson and Ms. Strong, and for 2020 is for Messrs. Cavanagh, Shell, Watson and Reid.</w:t>
      </w:r>
    </w:p>
    <w:p>
      <w:pPr>
        <w:spacing w:after="0" w:line="29" w:lineRule="exact"/>
        <w:rPr>
          <w:rFonts w:ascii="Arial" w:cs="Arial" w:eastAsia="Arial" w:hAnsi="Arial"/>
          <w:sz w:val="11"/>
          <w:szCs w:val="11"/>
          <w:color w:val="auto"/>
        </w:rPr>
      </w:pPr>
    </w:p>
    <w:p>
      <w:pPr>
        <w:ind w:left="300" w:right="40" w:hanging="292"/>
        <w:spacing w:after="0" w:line="252" w:lineRule="auto"/>
        <w:tabs>
          <w:tab w:leader="none" w:pos="300" w:val="left"/>
        </w:tabs>
        <w:numPr>
          <w:ilvl w:val="0"/>
          <w:numId w:val="95"/>
        </w:numPr>
        <w:rPr>
          <w:rFonts w:ascii="Arial" w:cs="Arial" w:eastAsia="Arial" w:hAnsi="Arial"/>
          <w:sz w:val="11"/>
          <w:szCs w:val="11"/>
          <w:color w:val="auto"/>
        </w:rPr>
      </w:pPr>
      <w:r>
        <w:rPr>
          <w:rFonts w:ascii="Arial" w:cs="Arial" w:eastAsia="Arial" w:hAnsi="Arial"/>
          <w:sz w:val="13"/>
          <w:szCs w:val="13"/>
          <w:color w:val="auto"/>
        </w:rPr>
        <w:t>Compensation “actually paid” for the PEO and average compensation “actually paid” for our non-PEO NEOs in 2024, 2023, 2022, 2021 and 2020 reflects the respective amounts set forth in columns (b) and (d) in the above table, adjusted in the table below, as determined in accordance with SEC rules. For awards that remain unvested or unexercised as of the end of the year, the ultimate value that will be realized upon vesting or upon exercise may be more or less than the current fair value below. See the “Option Exercises and Stock Vested” table on page 45 for the value of any such amounts received in 2024.</w:t>
      </w:r>
    </w:p>
    <w:p>
      <w:pPr>
        <w:spacing w:after="0" w:line="58"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2540" w:type="dxa"/>
            <w:vAlign w:val="bottom"/>
            <w:vMerge w:val="restart"/>
          </w:tcPr>
          <w:p>
            <w:pPr>
              <w:jc w:val="right"/>
              <w:ind w:right="133"/>
              <w:spacing w:after="0"/>
              <w:rPr>
                <w:sz w:val="20"/>
                <w:szCs w:val="20"/>
                <w:color w:val="auto"/>
              </w:rPr>
            </w:pPr>
            <w:r>
              <w:rPr>
                <w:rFonts w:ascii="Arial" w:cs="Arial" w:eastAsia="Arial" w:hAnsi="Arial"/>
                <w:sz w:val="13"/>
                <w:szCs w:val="13"/>
                <w:b w:val="1"/>
                <w:bCs w:val="1"/>
                <w:i w:val="1"/>
                <w:iCs w:val="1"/>
                <w:color w:val="auto"/>
              </w:rPr>
              <w:t xml:space="preserve">LESS </w:t>
            </w:r>
            <w:r>
              <w:rPr>
                <w:rFonts w:ascii="Arial" w:cs="Arial" w:eastAsia="Arial" w:hAnsi="Arial"/>
                <w:sz w:val="13"/>
                <w:szCs w:val="13"/>
                <w:b w:val="1"/>
                <w:bCs w:val="1"/>
                <w:color w:val="auto"/>
              </w:rPr>
              <w:t>STOCK/</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i w:val="1"/>
                <w:iCs w:val="1"/>
                <w:color w:val="auto"/>
              </w:rPr>
              <w:t xml:space="preserve">PLUS </w:t>
            </w:r>
            <w:r>
              <w:rPr>
                <w:rFonts w:ascii="Arial" w:cs="Arial" w:eastAsia="Arial" w:hAnsi="Arial"/>
                <w:sz w:val="13"/>
                <w:szCs w:val="13"/>
                <w:b w:val="1"/>
                <w:bCs w:val="1"/>
                <w:color w:val="auto"/>
              </w:rPr>
              <w:t>FAIR</w:t>
            </w:r>
          </w:p>
        </w:tc>
        <w:tc>
          <w:tcPr>
            <w:tcW w:w="1320" w:type="dxa"/>
            <w:vAlign w:val="bottom"/>
          </w:tcPr>
          <w:p>
            <w:pPr>
              <w:jc w:val="right"/>
              <w:ind w:right="133"/>
              <w:spacing w:after="0"/>
              <w:rPr>
                <w:sz w:val="20"/>
                <w:szCs w:val="20"/>
                <w:color w:val="auto"/>
              </w:rPr>
            </w:pPr>
            <w:r>
              <w:rPr>
                <w:rFonts w:ascii="Arial" w:cs="Arial" w:eastAsia="Arial" w:hAnsi="Arial"/>
                <w:sz w:val="13"/>
                <w:szCs w:val="13"/>
                <w:b w:val="1"/>
                <w:bCs w:val="1"/>
                <w:color w:val="auto"/>
              </w:rPr>
              <w:t>CHANGE IN</w:t>
            </w:r>
          </w:p>
        </w:tc>
        <w:tc>
          <w:tcPr>
            <w:tcW w:w="1340" w:type="dxa"/>
            <w:vAlign w:val="bottom"/>
          </w:tcPr>
          <w:p>
            <w:pPr>
              <w:jc w:val="right"/>
              <w:ind w:right="133"/>
              <w:spacing w:after="0"/>
              <w:rPr>
                <w:sz w:val="20"/>
                <w:szCs w:val="20"/>
                <w:color w:val="auto"/>
              </w:rPr>
            </w:pPr>
            <w:r>
              <w:rPr>
                <w:rFonts w:ascii="Arial" w:cs="Arial" w:eastAsia="Arial" w:hAnsi="Arial"/>
                <w:sz w:val="13"/>
                <w:szCs w:val="13"/>
                <w:b w:val="1"/>
                <w:bCs w:val="1"/>
                <w:color w:val="auto"/>
              </w:rPr>
              <w:t>CHANGE IN</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i w:val="1"/>
                <w:iCs w:val="1"/>
                <w:color w:val="auto"/>
              </w:rPr>
              <w:t xml:space="preserve">LESS </w:t>
            </w:r>
            <w:r>
              <w:rPr>
                <w:rFonts w:ascii="Arial" w:cs="Arial" w:eastAsia="Arial" w:hAnsi="Arial"/>
                <w:sz w:val="13"/>
                <w:szCs w:val="13"/>
                <w:b w:val="1"/>
                <w:bCs w:val="1"/>
                <w:color w:val="auto"/>
              </w:rPr>
              <w:t>FAIR</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VALUE FOR</w:t>
            </w:r>
          </w:p>
        </w:tc>
        <w:tc>
          <w:tcPr>
            <w:tcW w:w="1320" w:type="dxa"/>
            <w:vAlign w:val="bottom"/>
          </w:tcPr>
          <w:p>
            <w:pPr>
              <w:jc w:val="right"/>
              <w:ind w:right="133"/>
              <w:spacing w:after="0"/>
              <w:rPr>
                <w:sz w:val="20"/>
                <w:szCs w:val="20"/>
                <w:color w:val="auto"/>
              </w:rPr>
            </w:pPr>
            <w:r>
              <w:rPr>
                <w:rFonts w:ascii="Arial" w:cs="Arial" w:eastAsia="Arial" w:hAnsi="Arial"/>
                <w:sz w:val="13"/>
                <w:szCs w:val="13"/>
                <w:b w:val="1"/>
                <w:bCs w:val="1"/>
                <w:color w:val="auto"/>
              </w:rPr>
              <w:t>FAIR VALUE</w:t>
            </w:r>
          </w:p>
        </w:tc>
        <w:tc>
          <w:tcPr>
            <w:tcW w:w="1340" w:type="dxa"/>
            <w:vAlign w:val="bottom"/>
          </w:tcPr>
          <w:p>
            <w:pPr>
              <w:jc w:val="right"/>
              <w:ind w:right="133"/>
              <w:spacing w:after="0"/>
              <w:rPr>
                <w:sz w:val="20"/>
                <w:szCs w:val="20"/>
                <w:color w:val="auto"/>
              </w:rPr>
            </w:pPr>
            <w:r>
              <w:rPr>
                <w:rFonts w:ascii="Arial" w:cs="Arial" w:eastAsia="Arial" w:hAnsi="Arial"/>
                <w:sz w:val="13"/>
                <w:szCs w:val="13"/>
                <w:b w:val="1"/>
                <w:bCs w:val="1"/>
                <w:color w:val="auto"/>
              </w:rPr>
              <w:t>FAIR VALUE</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VALUE OF</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540" w:type="dxa"/>
            <w:vAlign w:val="bottom"/>
          </w:tcPr>
          <w:p>
            <w:pPr>
              <w:jc w:val="right"/>
              <w:ind w:right="133"/>
              <w:spacing w:after="0"/>
              <w:rPr>
                <w:sz w:val="20"/>
                <w:szCs w:val="20"/>
                <w:color w:val="auto"/>
              </w:rPr>
            </w:pPr>
            <w:r>
              <w:rPr>
                <w:rFonts w:ascii="Arial" w:cs="Arial" w:eastAsia="Arial" w:hAnsi="Arial"/>
                <w:sz w:val="13"/>
                <w:szCs w:val="13"/>
                <w:b w:val="1"/>
                <w:bCs w:val="1"/>
                <w:color w:val="auto"/>
              </w:rPr>
              <w:t>OPTION AWARD</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UNVESTED</w:t>
            </w:r>
          </w:p>
        </w:tc>
        <w:tc>
          <w:tcPr>
            <w:tcW w:w="1320" w:type="dxa"/>
            <w:vAlign w:val="bottom"/>
          </w:tcPr>
          <w:p>
            <w:pPr>
              <w:jc w:val="right"/>
              <w:ind w:right="133"/>
              <w:spacing w:after="0"/>
              <w:rPr>
                <w:sz w:val="20"/>
                <w:szCs w:val="20"/>
                <w:color w:val="auto"/>
              </w:rPr>
            </w:pPr>
            <w:r>
              <w:rPr>
                <w:rFonts w:ascii="Arial" w:cs="Arial" w:eastAsia="Arial" w:hAnsi="Arial"/>
                <w:sz w:val="13"/>
                <w:szCs w:val="13"/>
                <w:b w:val="1"/>
                <w:bCs w:val="1"/>
                <w:color w:val="auto"/>
              </w:rPr>
              <w:t>OF</w:t>
            </w:r>
          </w:p>
        </w:tc>
        <w:tc>
          <w:tcPr>
            <w:tcW w:w="1340" w:type="dxa"/>
            <w:vAlign w:val="bottom"/>
          </w:tcPr>
          <w:p>
            <w:pPr>
              <w:jc w:val="right"/>
              <w:ind w:right="133"/>
              <w:spacing w:after="0"/>
              <w:rPr>
                <w:sz w:val="20"/>
                <w:szCs w:val="20"/>
                <w:color w:val="auto"/>
              </w:rPr>
            </w:pPr>
            <w:r>
              <w:rPr>
                <w:rFonts w:ascii="Arial" w:cs="Arial" w:eastAsia="Arial" w:hAnsi="Arial"/>
                <w:sz w:val="13"/>
                <w:szCs w:val="13"/>
                <w:b w:val="1"/>
                <w:bCs w:val="1"/>
                <w:color w:val="auto"/>
              </w:rPr>
              <w:t>OF AWARDS</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AWARDS</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540" w:type="dxa"/>
            <w:vAlign w:val="bottom"/>
          </w:tcPr>
          <w:p>
            <w:pPr>
              <w:jc w:val="right"/>
              <w:ind w:right="133"/>
              <w:spacing w:after="0"/>
              <w:rPr>
                <w:sz w:val="20"/>
                <w:szCs w:val="20"/>
                <w:color w:val="auto"/>
              </w:rPr>
            </w:pPr>
            <w:r>
              <w:rPr>
                <w:rFonts w:ascii="Arial" w:cs="Arial" w:eastAsia="Arial" w:hAnsi="Arial"/>
                <w:sz w:val="13"/>
                <w:szCs w:val="13"/>
                <w:b w:val="1"/>
                <w:bCs w:val="1"/>
                <w:color w:val="auto"/>
              </w:rPr>
              <w:t>VALUE REPORTED</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AWARDS</w:t>
            </w:r>
          </w:p>
        </w:tc>
        <w:tc>
          <w:tcPr>
            <w:tcW w:w="1320" w:type="dxa"/>
            <w:vAlign w:val="bottom"/>
          </w:tcPr>
          <w:p>
            <w:pPr>
              <w:jc w:val="right"/>
              <w:ind w:right="133"/>
              <w:spacing w:after="0"/>
              <w:rPr>
                <w:sz w:val="20"/>
                <w:szCs w:val="20"/>
                <w:color w:val="auto"/>
              </w:rPr>
            </w:pPr>
            <w:r>
              <w:rPr>
                <w:rFonts w:ascii="Arial" w:cs="Arial" w:eastAsia="Arial" w:hAnsi="Arial"/>
                <w:sz w:val="13"/>
                <w:szCs w:val="13"/>
                <w:b w:val="1"/>
                <w:bCs w:val="1"/>
                <w:color w:val="auto"/>
              </w:rPr>
              <w:t>OUTSTANDING</w:t>
            </w:r>
          </w:p>
        </w:tc>
        <w:tc>
          <w:tcPr>
            <w:tcW w:w="1340" w:type="dxa"/>
            <w:vAlign w:val="bottom"/>
          </w:tcPr>
          <w:p>
            <w:pPr>
              <w:jc w:val="right"/>
              <w:ind w:right="133"/>
              <w:spacing w:after="0"/>
              <w:rPr>
                <w:sz w:val="20"/>
                <w:szCs w:val="20"/>
                <w:color w:val="auto"/>
              </w:rPr>
            </w:pPr>
            <w:r>
              <w:rPr>
                <w:rFonts w:ascii="Arial" w:cs="Arial" w:eastAsia="Arial" w:hAnsi="Arial"/>
                <w:sz w:val="13"/>
                <w:szCs w:val="13"/>
                <w:b w:val="1"/>
                <w:bCs w:val="1"/>
                <w:color w:val="auto"/>
              </w:rPr>
              <w:t>FROM PRIOR</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FORFEITED</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540" w:type="dxa"/>
            <w:vAlign w:val="bottom"/>
          </w:tcPr>
          <w:p>
            <w:pPr>
              <w:jc w:val="right"/>
              <w:ind w:right="133"/>
              <w:spacing w:after="0"/>
              <w:rPr>
                <w:sz w:val="20"/>
                <w:szCs w:val="20"/>
                <w:color w:val="auto"/>
              </w:rPr>
            </w:pPr>
            <w:r>
              <w:rPr>
                <w:rFonts w:ascii="Arial" w:cs="Arial" w:eastAsia="Arial" w:hAnsi="Arial"/>
                <w:sz w:val="13"/>
                <w:szCs w:val="13"/>
                <w:b w:val="1"/>
                <w:bCs w:val="1"/>
                <w:color w:val="auto"/>
              </w:rPr>
              <w:t>IN SUMMARY</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GRANTED</w:t>
            </w:r>
          </w:p>
        </w:tc>
        <w:tc>
          <w:tcPr>
            <w:tcW w:w="1320" w:type="dxa"/>
            <w:vAlign w:val="bottom"/>
          </w:tcPr>
          <w:p>
            <w:pPr>
              <w:jc w:val="right"/>
              <w:ind w:right="133"/>
              <w:spacing w:after="0"/>
              <w:rPr>
                <w:sz w:val="20"/>
                <w:szCs w:val="20"/>
                <w:color w:val="auto"/>
              </w:rPr>
            </w:pPr>
            <w:r>
              <w:rPr>
                <w:rFonts w:ascii="Arial" w:cs="Arial" w:eastAsia="Arial" w:hAnsi="Arial"/>
                <w:sz w:val="13"/>
                <w:szCs w:val="13"/>
                <w:b w:val="1"/>
                <w:bCs w:val="1"/>
                <w:color w:val="auto"/>
              </w:rPr>
              <w:t>UNVESTED</w:t>
            </w:r>
          </w:p>
        </w:tc>
        <w:tc>
          <w:tcPr>
            <w:tcW w:w="1340" w:type="dxa"/>
            <w:vAlign w:val="bottom"/>
          </w:tcPr>
          <w:p>
            <w:pPr>
              <w:jc w:val="right"/>
              <w:ind w:right="133"/>
              <w:spacing w:after="0"/>
              <w:rPr>
                <w:sz w:val="20"/>
                <w:szCs w:val="20"/>
                <w:color w:val="auto"/>
              </w:rPr>
            </w:pPr>
            <w:r>
              <w:rPr>
                <w:rFonts w:ascii="Arial" w:cs="Arial" w:eastAsia="Arial" w:hAnsi="Arial"/>
                <w:sz w:val="13"/>
                <w:szCs w:val="13"/>
                <w:b w:val="1"/>
                <w:bCs w:val="1"/>
                <w:color w:val="auto"/>
              </w:rPr>
              <w:t>YEARS THAT</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DURING</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540" w:type="dxa"/>
            <w:vAlign w:val="bottom"/>
          </w:tcPr>
          <w:p>
            <w:pPr>
              <w:jc w:val="right"/>
              <w:ind w:right="133"/>
              <w:spacing w:after="0"/>
              <w:rPr>
                <w:sz w:val="20"/>
                <w:szCs w:val="20"/>
                <w:color w:val="auto"/>
              </w:rPr>
            </w:pPr>
            <w:r>
              <w:rPr>
                <w:rFonts w:ascii="Arial" w:cs="Arial" w:eastAsia="Arial" w:hAnsi="Arial"/>
                <w:sz w:val="13"/>
                <w:szCs w:val="13"/>
                <w:b w:val="1"/>
                <w:bCs w:val="1"/>
                <w:color w:val="auto"/>
              </w:rPr>
              <w:t>COMPENSATION</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IN THE</w:t>
            </w:r>
          </w:p>
        </w:tc>
        <w:tc>
          <w:tcPr>
            <w:tcW w:w="1320" w:type="dxa"/>
            <w:vAlign w:val="bottom"/>
          </w:tcPr>
          <w:p>
            <w:pPr>
              <w:jc w:val="right"/>
              <w:ind w:right="133"/>
              <w:spacing w:after="0"/>
              <w:rPr>
                <w:sz w:val="20"/>
                <w:szCs w:val="20"/>
                <w:color w:val="auto"/>
              </w:rPr>
            </w:pPr>
            <w:r>
              <w:rPr>
                <w:rFonts w:ascii="Arial" w:cs="Arial" w:eastAsia="Arial" w:hAnsi="Arial"/>
                <w:sz w:val="13"/>
                <w:szCs w:val="13"/>
                <w:b w:val="1"/>
                <w:bCs w:val="1"/>
                <w:color w:val="auto"/>
              </w:rPr>
              <w:t>AWARDS</w:t>
            </w:r>
          </w:p>
        </w:tc>
        <w:tc>
          <w:tcPr>
            <w:tcW w:w="1340" w:type="dxa"/>
            <w:vAlign w:val="bottom"/>
          </w:tcPr>
          <w:p>
            <w:pPr>
              <w:jc w:val="right"/>
              <w:ind w:right="133"/>
              <w:spacing w:after="0"/>
              <w:rPr>
                <w:sz w:val="20"/>
                <w:szCs w:val="20"/>
                <w:color w:val="auto"/>
              </w:rPr>
            </w:pPr>
            <w:r>
              <w:rPr>
                <w:rFonts w:ascii="Arial" w:cs="Arial" w:eastAsia="Arial" w:hAnsi="Arial"/>
                <w:sz w:val="13"/>
                <w:szCs w:val="13"/>
                <w:b w:val="1"/>
                <w:bCs w:val="1"/>
                <w:color w:val="auto"/>
              </w:rPr>
              <w:t>VESTED IN</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THE</w:t>
            </w:r>
          </w:p>
        </w:tc>
        <w:tc>
          <w:tcPr>
            <w:tcW w:w="11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540" w:type="dxa"/>
            <w:vAlign w:val="bottom"/>
          </w:tcPr>
          <w:p>
            <w:pPr>
              <w:jc w:val="right"/>
              <w:ind w:right="133"/>
              <w:spacing w:after="0"/>
              <w:rPr>
                <w:sz w:val="20"/>
                <w:szCs w:val="20"/>
                <w:color w:val="auto"/>
              </w:rPr>
            </w:pPr>
            <w:r>
              <w:rPr>
                <w:rFonts w:ascii="Arial" w:cs="Arial" w:eastAsia="Arial" w:hAnsi="Arial"/>
                <w:sz w:val="13"/>
                <w:szCs w:val="13"/>
                <w:b w:val="1"/>
                <w:bCs w:val="1"/>
                <w:color w:val="auto"/>
              </w:rPr>
              <w:t>TABLE FOR THE</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COVERED</w:t>
            </w:r>
          </w:p>
        </w:tc>
        <w:tc>
          <w:tcPr>
            <w:tcW w:w="1320" w:type="dxa"/>
            <w:vAlign w:val="bottom"/>
          </w:tcPr>
          <w:p>
            <w:pPr>
              <w:jc w:val="right"/>
              <w:ind w:right="133"/>
              <w:spacing w:after="0"/>
              <w:rPr>
                <w:sz w:val="20"/>
                <w:szCs w:val="20"/>
                <w:color w:val="auto"/>
              </w:rPr>
            </w:pPr>
            <w:r>
              <w:rPr>
                <w:rFonts w:ascii="Arial" w:cs="Arial" w:eastAsia="Arial" w:hAnsi="Arial"/>
                <w:sz w:val="13"/>
                <w:szCs w:val="13"/>
                <w:b w:val="1"/>
                <w:bCs w:val="1"/>
                <w:color w:val="auto"/>
              </w:rPr>
              <w:t>FROM PRIOR</w:t>
            </w:r>
          </w:p>
        </w:tc>
        <w:tc>
          <w:tcPr>
            <w:tcW w:w="1340" w:type="dxa"/>
            <w:vAlign w:val="bottom"/>
          </w:tcPr>
          <w:p>
            <w:pPr>
              <w:jc w:val="right"/>
              <w:ind w:right="133"/>
              <w:spacing w:after="0"/>
              <w:rPr>
                <w:sz w:val="20"/>
                <w:szCs w:val="20"/>
                <w:color w:val="auto"/>
              </w:rPr>
            </w:pPr>
            <w:r>
              <w:rPr>
                <w:rFonts w:ascii="Arial" w:cs="Arial" w:eastAsia="Arial" w:hAnsi="Arial"/>
                <w:sz w:val="13"/>
                <w:szCs w:val="13"/>
                <w:b w:val="1"/>
                <w:bCs w:val="1"/>
                <w:color w:val="auto"/>
              </w:rPr>
              <w:t>THE COVERED</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COVERED</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540" w:type="dxa"/>
            <w:vAlign w:val="bottom"/>
          </w:tcPr>
          <w:p>
            <w:pPr>
              <w:jc w:val="right"/>
              <w:ind w:right="133"/>
              <w:spacing w:after="0"/>
              <w:rPr>
                <w:sz w:val="20"/>
                <w:szCs w:val="20"/>
                <w:color w:val="auto"/>
              </w:rPr>
            </w:pPr>
            <w:r>
              <w:rPr>
                <w:rFonts w:ascii="Arial" w:cs="Arial" w:eastAsia="Arial" w:hAnsi="Arial"/>
                <w:sz w:val="13"/>
                <w:szCs w:val="13"/>
                <w:b w:val="1"/>
                <w:bCs w:val="1"/>
                <w:color w:val="auto"/>
              </w:rPr>
              <w:t>COVERED YEAR</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YEAR</w:t>
            </w:r>
          </w:p>
        </w:tc>
        <w:tc>
          <w:tcPr>
            <w:tcW w:w="1320" w:type="dxa"/>
            <w:vAlign w:val="bottom"/>
          </w:tcPr>
          <w:p>
            <w:pPr>
              <w:jc w:val="right"/>
              <w:ind w:right="133"/>
              <w:spacing w:after="0"/>
              <w:rPr>
                <w:sz w:val="20"/>
                <w:szCs w:val="20"/>
                <w:color w:val="auto"/>
              </w:rPr>
            </w:pPr>
            <w:r>
              <w:rPr>
                <w:rFonts w:ascii="Arial" w:cs="Arial" w:eastAsia="Arial" w:hAnsi="Arial"/>
                <w:sz w:val="13"/>
                <w:szCs w:val="13"/>
                <w:b w:val="1"/>
                <w:bCs w:val="1"/>
                <w:color w:val="auto"/>
              </w:rPr>
              <w:t>YEARS</w:t>
            </w:r>
          </w:p>
        </w:tc>
        <w:tc>
          <w:tcPr>
            <w:tcW w:w="1340" w:type="dxa"/>
            <w:vAlign w:val="bottom"/>
          </w:tcPr>
          <w:p>
            <w:pPr>
              <w:jc w:val="right"/>
              <w:ind w:right="133"/>
              <w:spacing w:after="0"/>
              <w:rPr>
                <w:sz w:val="20"/>
                <w:szCs w:val="20"/>
                <w:color w:val="auto"/>
              </w:rPr>
            </w:pPr>
            <w:r>
              <w:rPr>
                <w:rFonts w:ascii="Arial" w:cs="Arial" w:eastAsia="Arial" w:hAnsi="Arial"/>
                <w:sz w:val="13"/>
                <w:szCs w:val="13"/>
                <w:b w:val="1"/>
                <w:bCs w:val="1"/>
                <w:color w:val="auto"/>
              </w:rPr>
              <w:t>YEAR</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YEAR</w:t>
            </w:r>
          </w:p>
        </w:tc>
        <w:tc>
          <w:tcPr>
            <w:tcW w:w="1140" w:type="dxa"/>
            <w:vAlign w:val="bottom"/>
          </w:tcPr>
          <w:p>
            <w:pPr>
              <w:jc w:val="right"/>
              <w:ind w:right="13"/>
              <w:spacing w:after="0"/>
              <w:rPr>
                <w:sz w:val="20"/>
                <w:szCs w:val="20"/>
                <w:color w:val="auto"/>
              </w:rPr>
            </w:pPr>
            <w:r>
              <w:rPr>
                <w:rFonts w:ascii="Arial" w:cs="Arial" w:eastAsia="Arial" w:hAnsi="Arial"/>
                <w:sz w:val="13"/>
                <w:szCs w:val="13"/>
                <w:b w:val="1"/>
                <w:bCs w:val="1"/>
                <w:color w:val="auto"/>
              </w:rPr>
              <w:t>ADJUSTMENT</w:t>
            </w:r>
          </w:p>
        </w:tc>
        <w:tc>
          <w:tcPr>
            <w:tcW w:w="0" w:type="dxa"/>
            <w:vAlign w:val="bottom"/>
          </w:tcPr>
          <w:p>
            <w:pPr>
              <w:spacing w:after="0"/>
              <w:rPr>
                <w:sz w:val="1"/>
                <w:szCs w:val="1"/>
                <w:color w:val="auto"/>
              </w:rPr>
            </w:pPr>
          </w:p>
        </w:tc>
      </w:tr>
      <w:tr>
        <w:trPr>
          <w:trHeight w:val="188"/>
        </w:trPr>
        <w:tc>
          <w:tcPr>
            <w:tcW w:w="25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3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DCDDDE"/>
            </w:tcBorders>
          </w:tcPr>
          <w:p>
            <w:pPr>
              <w:ind w:left="80"/>
              <w:spacing w:after="0"/>
              <w:rPr>
                <w:sz w:val="20"/>
                <w:szCs w:val="20"/>
                <w:color w:val="auto"/>
              </w:rPr>
            </w:pPr>
            <w:r>
              <w:rPr>
                <w:rFonts w:ascii="Arial" w:cs="Arial" w:eastAsia="Arial" w:hAnsi="Arial"/>
                <w:sz w:val="13"/>
                <w:szCs w:val="13"/>
                <w:b w:val="1"/>
                <w:bCs w:val="1"/>
                <w:color w:val="auto"/>
              </w:rPr>
              <w:t>PEO 2024</w:t>
            </w:r>
          </w:p>
        </w:tc>
        <w:tc>
          <w:tcPr>
            <w:tcW w:w="254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(23,661,136)</w:t>
            </w:r>
          </w:p>
        </w:tc>
        <w:tc>
          <w:tcPr>
            <w:tcW w:w="106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20,726,930</w:t>
            </w:r>
          </w:p>
        </w:tc>
        <w:tc>
          <w:tcPr>
            <w:tcW w:w="132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(19,768,822)</w:t>
            </w:r>
          </w:p>
        </w:tc>
        <w:tc>
          <w:tcPr>
            <w:tcW w:w="134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(739,946)</w:t>
            </w:r>
          </w:p>
        </w:tc>
        <w:tc>
          <w:tcPr>
            <w:tcW w:w="106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(23,442,973)</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DCDDDE"/>
            </w:tcBorders>
          </w:tcPr>
          <w:p>
            <w:pPr>
              <w:ind w:left="80"/>
              <w:spacing w:after="0"/>
              <w:rPr>
                <w:sz w:val="20"/>
                <w:szCs w:val="20"/>
                <w:color w:val="auto"/>
              </w:rPr>
            </w:pPr>
            <w:r>
              <w:rPr>
                <w:rFonts w:ascii="Arial" w:cs="Arial" w:eastAsia="Arial" w:hAnsi="Arial"/>
                <w:sz w:val="13"/>
                <w:szCs w:val="13"/>
                <w:b w:val="1"/>
                <w:bCs w:val="1"/>
                <w:color w:val="auto"/>
              </w:rPr>
              <w:t>PEO 2023</w:t>
            </w:r>
          </w:p>
        </w:tc>
        <w:tc>
          <w:tcPr>
            <w:tcW w:w="254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(24,224,618)</w:t>
            </w:r>
          </w:p>
        </w:tc>
        <w:tc>
          <w:tcPr>
            <w:tcW w:w="106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42,115,795</w:t>
            </w:r>
          </w:p>
        </w:tc>
        <w:tc>
          <w:tcPr>
            <w:tcW w:w="1320" w:type="dxa"/>
            <w:vAlign w:val="bottom"/>
            <w:tcBorders>
              <w:bottom w:val="single" w:sz="8" w:color="DCDDDE"/>
            </w:tcBorders>
          </w:tcPr>
          <w:p>
            <w:pPr>
              <w:jc w:val="right"/>
              <w:ind w:right="133"/>
              <w:spacing w:after="0"/>
              <w:rPr>
                <w:sz w:val="20"/>
                <w:szCs w:val="20"/>
                <w:color w:val="auto"/>
              </w:rPr>
            </w:pPr>
            <w:r>
              <w:rPr>
                <w:rFonts w:ascii="Arial" w:cs="Arial" w:eastAsia="Arial" w:hAnsi="Arial"/>
                <w:sz w:val="13"/>
                <w:szCs w:val="13"/>
                <w:color w:val="auto"/>
              </w:rPr>
              <w:t>18,326,999</w:t>
            </w:r>
          </w:p>
        </w:tc>
        <w:tc>
          <w:tcPr>
            <w:tcW w:w="134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(489,739)</w:t>
            </w:r>
          </w:p>
        </w:tc>
        <w:tc>
          <w:tcPr>
            <w:tcW w:w="106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DCDDDE"/>
            </w:tcBorders>
          </w:tcPr>
          <w:p>
            <w:pPr>
              <w:jc w:val="right"/>
              <w:ind w:right="13"/>
              <w:spacing w:after="0"/>
              <w:rPr>
                <w:sz w:val="20"/>
                <w:szCs w:val="20"/>
                <w:color w:val="auto"/>
              </w:rPr>
            </w:pPr>
            <w:r>
              <w:rPr>
                <w:rFonts w:ascii="Arial" w:cs="Arial" w:eastAsia="Arial" w:hAnsi="Arial"/>
                <w:sz w:val="13"/>
                <w:szCs w:val="13"/>
                <w:color w:val="auto"/>
              </w:rPr>
              <w:t>35,728,437</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DCDDDE"/>
            </w:tcBorders>
          </w:tcPr>
          <w:p>
            <w:pPr>
              <w:ind w:left="80"/>
              <w:spacing w:after="0"/>
              <w:rPr>
                <w:sz w:val="20"/>
                <w:szCs w:val="20"/>
                <w:color w:val="auto"/>
              </w:rPr>
            </w:pPr>
            <w:r>
              <w:rPr>
                <w:rFonts w:ascii="Arial" w:cs="Arial" w:eastAsia="Arial" w:hAnsi="Arial"/>
                <w:sz w:val="13"/>
                <w:szCs w:val="13"/>
                <w:b w:val="1"/>
                <w:bCs w:val="1"/>
                <w:color w:val="auto"/>
              </w:rPr>
              <w:t>PEO 2022</w:t>
            </w:r>
          </w:p>
        </w:tc>
        <w:tc>
          <w:tcPr>
            <w:tcW w:w="254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(21,863,723)</w:t>
            </w:r>
          </w:p>
        </w:tc>
        <w:tc>
          <w:tcPr>
            <w:tcW w:w="106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22,285,379</w:t>
            </w:r>
          </w:p>
        </w:tc>
        <w:tc>
          <w:tcPr>
            <w:tcW w:w="132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(31,633,629)</w:t>
            </w:r>
          </w:p>
        </w:tc>
        <w:tc>
          <w:tcPr>
            <w:tcW w:w="134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(4,949,732)</w:t>
            </w:r>
          </w:p>
        </w:tc>
        <w:tc>
          <w:tcPr>
            <w:tcW w:w="106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(36,161,704)</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DCDDDE"/>
            </w:tcBorders>
          </w:tcPr>
          <w:p>
            <w:pPr>
              <w:ind w:left="80"/>
              <w:spacing w:after="0"/>
              <w:rPr>
                <w:sz w:val="20"/>
                <w:szCs w:val="20"/>
                <w:color w:val="auto"/>
              </w:rPr>
            </w:pPr>
            <w:r>
              <w:rPr>
                <w:rFonts w:ascii="Arial" w:cs="Arial" w:eastAsia="Arial" w:hAnsi="Arial"/>
                <w:sz w:val="13"/>
                <w:szCs w:val="13"/>
                <w:b w:val="1"/>
                <w:bCs w:val="1"/>
                <w:color w:val="auto"/>
              </w:rPr>
              <w:t>PEO 2021</w:t>
            </w:r>
          </w:p>
        </w:tc>
        <w:tc>
          <w:tcPr>
            <w:tcW w:w="254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(21,988,022)</w:t>
            </w:r>
          </w:p>
        </w:tc>
        <w:tc>
          <w:tcPr>
            <w:tcW w:w="106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21,524,528</w:t>
            </w:r>
          </w:p>
        </w:tc>
        <w:tc>
          <w:tcPr>
            <w:tcW w:w="132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(5,141,104)</w:t>
            </w:r>
          </w:p>
        </w:tc>
        <w:tc>
          <w:tcPr>
            <w:tcW w:w="1340" w:type="dxa"/>
            <w:vAlign w:val="bottom"/>
            <w:tcBorders>
              <w:bottom w:val="single" w:sz="8" w:color="DCDDDE"/>
            </w:tcBorders>
          </w:tcPr>
          <w:p>
            <w:pPr>
              <w:jc w:val="right"/>
              <w:ind w:right="133"/>
              <w:spacing w:after="0"/>
              <w:rPr>
                <w:sz w:val="20"/>
                <w:szCs w:val="20"/>
                <w:color w:val="auto"/>
              </w:rPr>
            </w:pPr>
            <w:r>
              <w:rPr>
                <w:rFonts w:ascii="Arial" w:cs="Arial" w:eastAsia="Arial" w:hAnsi="Arial"/>
                <w:sz w:val="13"/>
                <w:szCs w:val="13"/>
                <w:color w:val="auto"/>
              </w:rPr>
              <w:t>3,480,893</w:t>
            </w:r>
          </w:p>
        </w:tc>
        <w:tc>
          <w:tcPr>
            <w:tcW w:w="106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(2,123,705)</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DCDDDE"/>
            </w:tcBorders>
          </w:tcPr>
          <w:p>
            <w:pPr>
              <w:ind w:left="80"/>
              <w:spacing w:after="0"/>
              <w:rPr>
                <w:sz w:val="20"/>
                <w:szCs w:val="20"/>
                <w:color w:val="auto"/>
              </w:rPr>
            </w:pPr>
            <w:r>
              <w:rPr>
                <w:rFonts w:ascii="Arial" w:cs="Arial" w:eastAsia="Arial" w:hAnsi="Arial"/>
                <w:sz w:val="13"/>
                <w:szCs w:val="13"/>
                <w:b w:val="1"/>
                <w:bCs w:val="1"/>
                <w:color w:val="auto"/>
              </w:rPr>
              <w:t>PEO 2020</w:t>
            </w:r>
          </w:p>
        </w:tc>
        <w:tc>
          <w:tcPr>
            <w:tcW w:w="254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(21,185,427)</w:t>
            </w:r>
          </w:p>
        </w:tc>
        <w:tc>
          <w:tcPr>
            <w:tcW w:w="106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33,698,156</w:t>
            </w:r>
          </w:p>
        </w:tc>
        <w:tc>
          <w:tcPr>
            <w:tcW w:w="1320" w:type="dxa"/>
            <w:vAlign w:val="bottom"/>
            <w:tcBorders>
              <w:bottom w:val="single" w:sz="8" w:color="DCDDDE"/>
            </w:tcBorders>
          </w:tcPr>
          <w:p>
            <w:pPr>
              <w:jc w:val="right"/>
              <w:ind w:right="133"/>
              <w:spacing w:after="0"/>
              <w:rPr>
                <w:sz w:val="20"/>
                <w:szCs w:val="20"/>
                <w:color w:val="auto"/>
              </w:rPr>
            </w:pPr>
            <w:r>
              <w:rPr>
                <w:rFonts w:ascii="Arial" w:cs="Arial" w:eastAsia="Arial" w:hAnsi="Arial"/>
                <w:sz w:val="13"/>
                <w:szCs w:val="13"/>
                <w:color w:val="auto"/>
              </w:rPr>
              <w:t>17,130,816</w:t>
            </w:r>
          </w:p>
        </w:tc>
        <w:tc>
          <w:tcPr>
            <w:tcW w:w="134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(7,655,263)</w:t>
            </w:r>
          </w:p>
        </w:tc>
        <w:tc>
          <w:tcPr>
            <w:tcW w:w="106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DCDDDE"/>
            </w:tcBorders>
          </w:tcPr>
          <w:p>
            <w:pPr>
              <w:jc w:val="right"/>
              <w:ind w:right="13"/>
              <w:spacing w:after="0"/>
              <w:rPr>
                <w:sz w:val="20"/>
                <w:szCs w:val="20"/>
                <w:color w:val="auto"/>
              </w:rPr>
            </w:pPr>
            <w:r>
              <w:rPr>
                <w:rFonts w:ascii="Arial" w:cs="Arial" w:eastAsia="Arial" w:hAnsi="Arial"/>
                <w:sz w:val="13"/>
                <w:szCs w:val="13"/>
                <w:color w:val="auto"/>
              </w:rPr>
              <w:t>21,988,282</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DCDDDE"/>
            </w:tcBorders>
          </w:tcPr>
          <w:p>
            <w:pPr>
              <w:ind w:left="80"/>
              <w:spacing w:after="0"/>
              <w:rPr>
                <w:sz w:val="20"/>
                <w:szCs w:val="20"/>
                <w:color w:val="auto"/>
              </w:rPr>
            </w:pPr>
            <w:r>
              <w:rPr>
                <w:rFonts w:ascii="Arial" w:cs="Arial" w:eastAsia="Arial" w:hAnsi="Arial"/>
                <w:sz w:val="13"/>
                <w:szCs w:val="13"/>
                <w:b w:val="1"/>
                <w:bCs w:val="1"/>
                <w:color w:val="auto"/>
              </w:rPr>
              <w:t>Non-PEO NEOs 2024</w:t>
            </w:r>
          </w:p>
        </w:tc>
        <w:tc>
          <w:tcPr>
            <w:tcW w:w="254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(8,834,453)</w:t>
            </w:r>
          </w:p>
        </w:tc>
        <w:tc>
          <w:tcPr>
            <w:tcW w:w="106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7,738,904</w:t>
            </w:r>
          </w:p>
        </w:tc>
        <w:tc>
          <w:tcPr>
            <w:tcW w:w="132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(7,532,750)</w:t>
            </w:r>
          </w:p>
        </w:tc>
        <w:tc>
          <w:tcPr>
            <w:tcW w:w="134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(250,809)</w:t>
            </w:r>
          </w:p>
        </w:tc>
        <w:tc>
          <w:tcPr>
            <w:tcW w:w="106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(8,879,107)</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DCDDDE"/>
            </w:tcBorders>
          </w:tcPr>
          <w:p>
            <w:pPr>
              <w:ind w:left="80"/>
              <w:spacing w:after="0"/>
              <w:rPr>
                <w:sz w:val="20"/>
                <w:szCs w:val="20"/>
                <w:color w:val="auto"/>
              </w:rPr>
            </w:pPr>
            <w:r>
              <w:rPr>
                <w:rFonts w:ascii="Arial" w:cs="Arial" w:eastAsia="Arial" w:hAnsi="Arial"/>
                <w:sz w:val="13"/>
                <w:szCs w:val="13"/>
                <w:b w:val="1"/>
                <w:bCs w:val="1"/>
                <w:color w:val="auto"/>
              </w:rPr>
              <w:t>Non-PEO NEOs 2023</w:t>
            </w:r>
          </w:p>
        </w:tc>
        <w:tc>
          <w:tcPr>
            <w:tcW w:w="254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(7,636,176)</w:t>
            </w:r>
          </w:p>
        </w:tc>
        <w:tc>
          <w:tcPr>
            <w:tcW w:w="106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13,275,920</w:t>
            </w:r>
          </w:p>
        </w:tc>
        <w:tc>
          <w:tcPr>
            <w:tcW w:w="1320" w:type="dxa"/>
            <w:vAlign w:val="bottom"/>
            <w:tcBorders>
              <w:bottom w:val="single" w:sz="8" w:color="DCDDDE"/>
            </w:tcBorders>
          </w:tcPr>
          <w:p>
            <w:pPr>
              <w:jc w:val="right"/>
              <w:ind w:right="133"/>
              <w:spacing w:after="0"/>
              <w:rPr>
                <w:sz w:val="20"/>
                <w:szCs w:val="20"/>
                <w:color w:val="auto"/>
              </w:rPr>
            </w:pPr>
            <w:r>
              <w:rPr>
                <w:rFonts w:ascii="Arial" w:cs="Arial" w:eastAsia="Arial" w:hAnsi="Arial"/>
                <w:sz w:val="13"/>
                <w:szCs w:val="13"/>
                <w:color w:val="auto"/>
              </w:rPr>
              <w:t>6,995,673</w:t>
            </w:r>
          </w:p>
        </w:tc>
        <w:tc>
          <w:tcPr>
            <w:tcW w:w="134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(60,324)</w:t>
            </w:r>
          </w:p>
        </w:tc>
        <w:tc>
          <w:tcPr>
            <w:tcW w:w="106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DCDDDE"/>
            </w:tcBorders>
          </w:tcPr>
          <w:p>
            <w:pPr>
              <w:jc w:val="right"/>
              <w:ind w:right="13"/>
              <w:spacing w:after="0"/>
              <w:rPr>
                <w:sz w:val="20"/>
                <w:szCs w:val="20"/>
                <w:color w:val="auto"/>
              </w:rPr>
            </w:pPr>
            <w:r>
              <w:rPr>
                <w:rFonts w:ascii="Arial" w:cs="Arial" w:eastAsia="Arial" w:hAnsi="Arial"/>
                <w:sz w:val="13"/>
                <w:szCs w:val="13"/>
                <w:color w:val="auto"/>
              </w:rPr>
              <w:t>12,575,094</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DCDDDE"/>
            </w:tcBorders>
          </w:tcPr>
          <w:p>
            <w:pPr>
              <w:ind w:left="80"/>
              <w:spacing w:after="0"/>
              <w:rPr>
                <w:sz w:val="20"/>
                <w:szCs w:val="20"/>
                <w:color w:val="auto"/>
              </w:rPr>
            </w:pPr>
            <w:r>
              <w:rPr>
                <w:rFonts w:ascii="Arial" w:cs="Arial" w:eastAsia="Arial" w:hAnsi="Arial"/>
                <w:sz w:val="13"/>
                <w:szCs w:val="13"/>
                <w:b w:val="1"/>
                <w:bCs w:val="1"/>
                <w:color w:val="auto"/>
              </w:rPr>
              <w:t>Non-PEO NEOs 2022</w:t>
            </w:r>
          </w:p>
        </w:tc>
        <w:tc>
          <w:tcPr>
            <w:tcW w:w="254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(15,386,069)</w:t>
            </w:r>
          </w:p>
        </w:tc>
        <w:tc>
          <w:tcPr>
            <w:tcW w:w="106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15,604,969</w:t>
            </w:r>
          </w:p>
        </w:tc>
        <w:tc>
          <w:tcPr>
            <w:tcW w:w="132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(12,701,844)</w:t>
            </w:r>
          </w:p>
        </w:tc>
        <w:tc>
          <w:tcPr>
            <w:tcW w:w="134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(1,687,326)</w:t>
            </w:r>
          </w:p>
        </w:tc>
        <w:tc>
          <w:tcPr>
            <w:tcW w:w="106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(14,170,270)</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DCDDDE"/>
            </w:tcBorders>
          </w:tcPr>
          <w:p>
            <w:pPr>
              <w:ind w:left="80"/>
              <w:spacing w:after="0"/>
              <w:rPr>
                <w:sz w:val="20"/>
                <w:szCs w:val="20"/>
                <w:color w:val="auto"/>
              </w:rPr>
            </w:pPr>
            <w:r>
              <w:rPr>
                <w:rFonts w:ascii="Arial" w:cs="Arial" w:eastAsia="Arial" w:hAnsi="Arial"/>
                <w:sz w:val="13"/>
                <w:szCs w:val="13"/>
                <w:b w:val="1"/>
                <w:bCs w:val="1"/>
                <w:color w:val="auto"/>
              </w:rPr>
              <w:t>Non-PEO NEOs 2021</w:t>
            </w:r>
          </w:p>
        </w:tc>
        <w:tc>
          <w:tcPr>
            <w:tcW w:w="254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(10,410,915)</w:t>
            </w:r>
          </w:p>
        </w:tc>
        <w:tc>
          <w:tcPr>
            <w:tcW w:w="106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10,191,675</w:t>
            </w:r>
          </w:p>
        </w:tc>
        <w:tc>
          <w:tcPr>
            <w:tcW w:w="1320" w:type="dxa"/>
            <w:vAlign w:val="bottom"/>
            <w:tcBorders>
              <w:bottom w:val="single" w:sz="8" w:color="DCDDDE"/>
            </w:tcBorders>
          </w:tcPr>
          <w:p>
            <w:pPr>
              <w:jc w:val="right"/>
              <w:ind w:right="93"/>
              <w:spacing w:after="0"/>
              <w:rPr>
                <w:sz w:val="20"/>
                <w:szCs w:val="20"/>
                <w:color w:val="auto"/>
              </w:rPr>
            </w:pPr>
            <w:r>
              <w:rPr>
                <w:rFonts w:ascii="Arial" w:cs="Arial" w:eastAsia="Arial" w:hAnsi="Arial"/>
                <w:sz w:val="13"/>
                <w:szCs w:val="13"/>
                <w:color w:val="auto"/>
              </w:rPr>
              <w:t>(1,844,037)</w:t>
            </w:r>
          </w:p>
        </w:tc>
        <w:tc>
          <w:tcPr>
            <w:tcW w:w="1340" w:type="dxa"/>
            <w:vAlign w:val="bottom"/>
            <w:tcBorders>
              <w:bottom w:val="single" w:sz="8" w:color="DCDDDE"/>
            </w:tcBorders>
          </w:tcPr>
          <w:p>
            <w:pPr>
              <w:jc w:val="right"/>
              <w:ind w:right="133"/>
              <w:spacing w:after="0"/>
              <w:rPr>
                <w:sz w:val="20"/>
                <w:szCs w:val="20"/>
                <w:color w:val="auto"/>
              </w:rPr>
            </w:pPr>
            <w:r>
              <w:rPr>
                <w:rFonts w:ascii="Arial" w:cs="Arial" w:eastAsia="Arial" w:hAnsi="Arial"/>
                <w:sz w:val="13"/>
                <w:szCs w:val="13"/>
                <w:color w:val="auto"/>
              </w:rPr>
              <w:t>948,410</w:t>
            </w:r>
          </w:p>
        </w:tc>
        <w:tc>
          <w:tcPr>
            <w:tcW w:w="106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(1,114,866)</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Non-PEO NEOs 2020</w:t>
            </w:r>
          </w:p>
        </w:tc>
        <w:tc>
          <w:tcPr>
            <w:tcW w:w="25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(8,619,244)</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13,815,414</w:t>
            </w:r>
          </w:p>
        </w:tc>
        <w:tc>
          <w:tcPr>
            <w:tcW w:w="13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5,498,177</w:t>
            </w:r>
          </w:p>
        </w:tc>
        <w:tc>
          <w:tcPr>
            <w:tcW w:w="13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(1,886,689)</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8,807,657</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280" w:right="20"/>
        <w:spacing w:after="0" w:line="245" w:lineRule="auto"/>
        <w:rPr>
          <w:sz w:val="20"/>
          <w:szCs w:val="20"/>
          <w:color w:val="auto"/>
        </w:rPr>
      </w:pPr>
      <w:r>
        <w:rPr>
          <w:rFonts w:ascii="Arial" w:cs="Arial" w:eastAsia="Arial" w:hAnsi="Arial"/>
          <w:sz w:val="13"/>
          <w:szCs w:val="13"/>
          <w:color w:val="auto"/>
        </w:rPr>
        <w:t>Fair values are calculated in accordance with FASB ASC Topic 718 as of the end of the respective fiscal year, other than awards that vest in the covered year, which are valued as of the applicable vesting dates. Stock option fair values were calculated using the Black-Scholes option pricing model, determined based on the same methodology as used to determine grant date fair values but using the common stock closing price on the applicable revaluation date, and in all cases based on volatility, term to exercise, dividend yields and interest rates determined as of the revaluation date. For PSUs and RSUs granted prior to 2021, the fair values were determined by multiplying the Class A common stock closing price on the valuation date by the number of outstanding shares, adjusted for dividends accrued, and, for PSUs as defined in the Glossary to FASB ASC Topic 718, taking into account the probable outcome of the PSUs’ performance conditions as of the valuation date. For PSUs granted in 2021 and subsequent years, fair values were calculated using a Monte Carlo simulation model, determined based on the probable outcome of the performance condition as of the applicable year-end revaluation date(s).</w:t>
      </w:r>
    </w:p>
    <w:p>
      <w:pPr>
        <w:spacing w:after="0" w:line="39" w:lineRule="exact"/>
        <w:rPr>
          <w:sz w:val="20"/>
          <w:szCs w:val="20"/>
          <w:color w:val="auto"/>
        </w:rPr>
      </w:pPr>
    </w:p>
    <w:p>
      <w:pPr>
        <w:ind w:left="280" w:right="20"/>
        <w:spacing w:after="0" w:line="281" w:lineRule="auto"/>
        <w:rPr>
          <w:sz w:val="20"/>
          <w:szCs w:val="20"/>
          <w:color w:val="auto"/>
        </w:rPr>
      </w:pPr>
      <w:r>
        <w:rPr>
          <w:rFonts w:ascii="Arial" w:cs="Arial" w:eastAsia="Arial" w:hAnsi="Arial"/>
          <w:sz w:val="13"/>
          <w:szCs w:val="13"/>
          <w:color w:val="auto"/>
        </w:rPr>
        <w:t>No awards were granted and vested within the same year in any period covered by the table above, and no dividends, dividend equivalents or other earnings are paid on equity awards prior to their vesting dates.</w:t>
      </w:r>
    </w:p>
    <w:p>
      <w:pPr>
        <w:spacing w:after="0" w:line="14" w:lineRule="exact"/>
        <w:rPr>
          <w:sz w:val="20"/>
          <w:szCs w:val="20"/>
          <w:color w:val="auto"/>
        </w:rPr>
      </w:pPr>
    </w:p>
    <w:p>
      <w:pPr>
        <w:ind w:left="300" w:right="100" w:hanging="292"/>
        <w:spacing w:after="0" w:line="249" w:lineRule="auto"/>
        <w:tabs>
          <w:tab w:leader="none" w:pos="300" w:val="left"/>
        </w:tabs>
        <w:numPr>
          <w:ilvl w:val="0"/>
          <w:numId w:val="96"/>
        </w:numPr>
        <w:rPr>
          <w:rFonts w:ascii="Arial" w:cs="Arial" w:eastAsia="Arial" w:hAnsi="Arial"/>
          <w:sz w:val="11"/>
          <w:szCs w:val="11"/>
          <w:color w:val="auto"/>
        </w:rPr>
      </w:pPr>
      <w:r>
        <w:rPr>
          <w:rFonts w:ascii="Arial" w:cs="Arial" w:eastAsia="Arial" w:hAnsi="Arial"/>
          <w:sz w:val="13"/>
          <w:szCs w:val="13"/>
          <w:color w:val="auto"/>
        </w:rPr>
        <w:t>TSR is cumulative for the measurement period beginning on December 31, 2019 and ending on December 31 of each of 2024, 2023, 2022, 2021 and 2020, respectively, calculated in accordance with Item 201(e) of Regulation S-K. The composition of the peer group (the “TSR Peer Group”) is the “Peer Group Index” set forth in the Stock Performance Graph of our Annual Report on Form 10-K for the year ended December 31, 2024. As discussed in our Annual Report on Form 10-K for the year ended December 31, 2023, we updated the composition of our TSR Peer Group in 2023 following the change in our segment reporting to simplify the calculation, remove DISH Network Corporation due to its smaller market capitalization and to add Fox Corp. The 2023 Peer Group Cumulative TSR for the prior TSR Peer Group was $91.18.</w:t>
      </w:r>
    </w:p>
    <w:p>
      <w:pPr>
        <w:spacing w:after="0" w:line="34" w:lineRule="exact"/>
        <w:rPr>
          <w:rFonts w:ascii="Arial" w:cs="Arial" w:eastAsia="Arial" w:hAnsi="Arial"/>
          <w:sz w:val="11"/>
          <w:szCs w:val="11"/>
          <w:color w:val="auto"/>
        </w:rPr>
      </w:pPr>
    </w:p>
    <w:p>
      <w:pPr>
        <w:ind w:left="300" w:right="120" w:hanging="292"/>
        <w:spacing w:after="0" w:line="260" w:lineRule="auto"/>
        <w:tabs>
          <w:tab w:leader="none" w:pos="300" w:val="left"/>
        </w:tabs>
        <w:numPr>
          <w:ilvl w:val="0"/>
          <w:numId w:val="96"/>
        </w:numPr>
        <w:rPr>
          <w:rFonts w:ascii="Arial" w:cs="Arial" w:eastAsia="Arial" w:hAnsi="Arial"/>
          <w:sz w:val="11"/>
          <w:szCs w:val="11"/>
          <w:color w:val="auto"/>
        </w:rPr>
      </w:pPr>
      <w:r>
        <w:rPr>
          <w:rFonts w:ascii="Arial" w:cs="Arial" w:eastAsia="Arial" w:hAnsi="Arial"/>
          <w:sz w:val="13"/>
          <w:szCs w:val="13"/>
          <w:color w:val="auto"/>
        </w:rPr>
        <w:t>Reflects “Net Income” in our Consolidated Statement of Income included in our Annual Reports on Form 10-K for each of the years ended December 31, 2024, 2023, 2022, 2021 and 2020.</w:t>
      </w:r>
    </w:p>
    <w:p>
      <w:pPr>
        <w:spacing w:after="0" w:line="202" w:lineRule="exact"/>
        <w:rPr>
          <w:rFonts w:ascii="Arial" w:cs="Arial" w:eastAsia="Arial" w:hAnsi="Arial"/>
          <w:sz w:val="11"/>
          <w:szCs w:val="11"/>
          <w:color w:val="auto"/>
        </w:rPr>
      </w:pPr>
    </w:p>
    <w:p>
      <w:pPr>
        <w:ind w:left="300" w:right="120" w:hanging="292"/>
        <w:spacing w:after="0" w:line="266" w:lineRule="auto"/>
        <w:tabs>
          <w:tab w:leader="none" w:pos="300" w:val="left"/>
        </w:tabs>
        <w:numPr>
          <w:ilvl w:val="0"/>
          <w:numId w:val="96"/>
        </w:numPr>
        <w:rPr>
          <w:rFonts w:ascii="Arial" w:cs="Arial" w:eastAsia="Arial" w:hAnsi="Arial"/>
          <w:sz w:val="11"/>
          <w:szCs w:val="11"/>
          <w:color w:val="auto"/>
        </w:rPr>
      </w:pPr>
      <w:r>
        <w:rPr>
          <w:rFonts w:ascii="Arial" w:cs="Arial" w:eastAsia="Arial" w:hAnsi="Arial"/>
          <w:sz w:val="13"/>
          <w:szCs w:val="13"/>
          <w:color w:val="auto"/>
        </w:rPr>
        <w:t>The following table describes the relationship between company financial performance measures included in the Pay Versus Performance Table and the compensation “actually paid” to our NEOs, as reported in that table for the covered period, and the relationship between our cumulative TSR and the cumulative TSR of the TSR Peer Group over the covered period.</w:t>
      </w:r>
    </w:p>
    <w:p>
      <w:pPr>
        <w:spacing w:after="0" w:line="325" w:lineRule="exact"/>
        <w:rPr>
          <w:sz w:val="20"/>
          <w:szCs w:val="20"/>
          <w:color w:val="auto"/>
        </w:rPr>
      </w:pPr>
    </w:p>
    <w:p>
      <w:pPr>
        <w:ind w:left="400" w:hanging="392"/>
        <w:spacing w:after="0"/>
        <w:tabs>
          <w:tab w:leader="none" w:pos="400" w:val="left"/>
        </w:tabs>
        <w:numPr>
          <w:ilvl w:val="0"/>
          <w:numId w:val="9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49"/>
        </w:trPr>
        <w:tc>
          <w:tcPr>
            <w:tcW w:w="2540" w:type="dxa"/>
            <w:vAlign w:val="bottom"/>
            <w:gridSpan w:val="3"/>
          </w:tcPr>
          <w:p>
            <w:pPr>
              <w:spacing w:after="0"/>
              <w:rPr>
                <w:sz w:val="20"/>
                <w:szCs w:val="20"/>
                <w:color w:val="auto"/>
              </w:rPr>
            </w:pPr>
            <w:r>
              <w:rPr>
                <w:rFonts w:ascii="Arial" w:cs="Arial" w:eastAsia="Arial" w:hAnsi="Arial"/>
                <w:sz w:val="13"/>
                <w:szCs w:val="13"/>
                <w:b w:val="1"/>
                <w:bCs w:val="1"/>
                <w:color w:val="0000EE"/>
              </w:rPr>
              <w:t>Table of Contents</w:t>
            </w:r>
          </w:p>
        </w:tc>
        <w:tc>
          <w:tcPr>
            <w:tcW w:w="1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2023-24</w:t>
            </w: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2022-23</w:t>
            </w:r>
          </w:p>
        </w:tc>
        <w:tc>
          <w:tcPr>
            <w:tcW w:w="82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2021-22</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2020-21</w:t>
            </w:r>
          </w:p>
        </w:tc>
        <w:tc>
          <w:tcPr>
            <w:tcW w:w="0" w:type="dxa"/>
            <w:vAlign w:val="bottom"/>
          </w:tcPr>
          <w:p>
            <w:pPr>
              <w:spacing w:after="0" w:line="20" w:lineRule="exact"/>
              <w:rPr>
                <w:sz w:val="1"/>
                <w:szCs w:val="1"/>
                <w:color w:val="auto"/>
              </w:rPr>
            </w:pPr>
          </w:p>
        </w:tc>
      </w:tr>
      <w:tr>
        <w:trPr>
          <w:trHeight w:val="370"/>
        </w:trPr>
        <w:tc>
          <w:tcPr>
            <w:tcW w:w="280" w:type="dxa"/>
            <w:vAlign w:val="bottom"/>
          </w:tcPr>
          <w:p>
            <w:pPr>
              <w:spacing w:after="0"/>
              <w:rPr>
                <w:sz w:val="24"/>
                <w:szCs w:val="24"/>
                <w:color w:val="auto"/>
              </w:rPr>
            </w:pPr>
          </w:p>
        </w:tc>
        <w:tc>
          <w:tcPr>
            <w:tcW w:w="22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PERFORMANCE</w:t>
            </w:r>
          </w:p>
        </w:tc>
        <w:tc>
          <w:tcPr>
            <w:tcW w:w="182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2024</w:t>
            </w:r>
          </w:p>
        </w:tc>
        <w:tc>
          <w:tcPr>
            <w:tcW w:w="90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2023</w:t>
            </w:r>
          </w:p>
        </w:tc>
        <w:tc>
          <w:tcPr>
            <w:tcW w:w="92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2022</w:t>
            </w:r>
          </w:p>
        </w:tc>
        <w:tc>
          <w:tcPr>
            <w:tcW w:w="90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2021</w:t>
            </w:r>
          </w:p>
        </w:tc>
        <w:tc>
          <w:tcPr>
            <w:tcW w:w="92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2020</w:t>
            </w:r>
          </w:p>
        </w:tc>
        <w:tc>
          <w:tcPr>
            <w:tcW w:w="82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b w:val="1"/>
                <w:bCs w:val="1"/>
                <w:color w:val="auto"/>
              </w:rPr>
              <w:t>YOY</w:t>
            </w: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YOY</w:t>
            </w:r>
          </w:p>
        </w:tc>
        <w:tc>
          <w:tcPr>
            <w:tcW w:w="820" w:type="dxa"/>
            <w:vAlign w:val="bottom"/>
          </w:tcPr>
          <w:p>
            <w:pPr>
              <w:jc w:val="right"/>
              <w:ind w:right="53"/>
              <w:spacing w:after="0"/>
              <w:rPr>
                <w:sz w:val="20"/>
                <w:szCs w:val="20"/>
                <w:color w:val="auto"/>
              </w:rPr>
            </w:pPr>
            <w:r>
              <w:rPr>
                <w:rFonts w:ascii="Arial" w:cs="Arial" w:eastAsia="Arial" w:hAnsi="Arial"/>
                <w:sz w:val="13"/>
                <w:szCs w:val="13"/>
                <w:b w:val="1"/>
                <w:bCs w:val="1"/>
                <w:color w:val="auto"/>
              </w:rPr>
              <w:t>YOY</w:t>
            </w:r>
          </w:p>
        </w:tc>
        <w:tc>
          <w:tcPr>
            <w:tcW w:w="760" w:type="dxa"/>
            <w:vAlign w:val="bottom"/>
          </w:tcPr>
          <w:p>
            <w:pPr>
              <w:jc w:val="right"/>
              <w:ind w:right="13"/>
              <w:spacing w:after="0"/>
              <w:rPr>
                <w:sz w:val="20"/>
                <w:szCs w:val="20"/>
                <w:color w:val="auto"/>
              </w:rPr>
            </w:pPr>
            <w:r>
              <w:rPr>
                <w:rFonts w:ascii="Arial" w:cs="Arial" w:eastAsia="Arial" w:hAnsi="Arial"/>
                <w:sz w:val="13"/>
                <w:szCs w:val="13"/>
                <w:b w:val="1"/>
                <w:bCs w:val="1"/>
                <w:color w:val="auto"/>
              </w:rPr>
              <w:t>YOY</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2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MEASURE</w:t>
            </w:r>
          </w:p>
        </w:tc>
        <w:tc>
          <w:tcPr>
            <w:tcW w:w="18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CHANGE</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CHANGE</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CHANGE</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2260" w:type="dxa"/>
            <w:vAlign w:val="bottom"/>
            <w:gridSpan w:val="2"/>
          </w:tcPr>
          <w:p>
            <w:pPr>
              <w:ind w:left="80"/>
              <w:spacing w:after="0"/>
              <w:rPr>
                <w:sz w:val="20"/>
                <w:szCs w:val="20"/>
                <w:color w:val="auto"/>
              </w:rPr>
            </w:pPr>
            <w:r>
              <w:rPr>
                <w:rFonts w:ascii="Arial" w:cs="Arial" w:eastAsia="Arial" w:hAnsi="Arial"/>
                <w:sz w:val="13"/>
                <w:szCs w:val="13"/>
                <w:b w:val="1"/>
                <w:bCs w:val="1"/>
                <w:color w:val="auto"/>
              </w:rPr>
              <w:t>Compensation</w:t>
            </w:r>
          </w:p>
        </w:tc>
        <w:tc>
          <w:tcPr>
            <w:tcW w:w="1820" w:type="dxa"/>
            <w:vAlign w:val="bottom"/>
          </w:tcPr>
          <w:p>
            <w:pPr>
              <w:jc w:val="right"/>
              <w:ind w:right="53"/>
              <w:spacing w:after="0"/>
              <w:rPr>
                <w:sz w:val="20"/>
                <w:szCs w:val="20"/>
                <w:color w:val="auto"/>
              </w:rPr>
            </w:pPr>
            <w:r>
              <w:rPr>
                <w:rFonts w:ascii="Arial" w:cs="Arial" w:eastAsia="Arial" w:hAnsi="Arial"/>
                <w:sz w:val="13"/>
                <w:szCs w:val="13"/>
                <w:color w:val="auto"/>
              </w:rPr>
              <w:t>10,418,649</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71,202,103</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(4,091,854)</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31,854,876</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54,701,549</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(85%)</w:t>
            </w: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1840%**</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(113)%</w:t>
            </w: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2260" w:type="dxa"/>
            <w:vAlign w:val="bottom"/>
            <w:gridSpan w:val="2"/>
          </w:tcPr>
          <w:p>
            <w:pPr>
              <w:ind w:left="80"/>
              <w:spacing w:after="0"/>
              <w:rPr>
                <w:sz w:val="20"/>
                <w:szCs w:val="20"/>
                <w:color w:val="auto"/>
              </w:rPr>
            </w:pPr>
            <w:r>
              <w:rPr>
                <w:rFonts w:ascii="Arial" w:cs="Arial" w:eastAsia="Arial" w:hAnsi="Arial"/>
                <w:sz w:val="13"/>
                <w:szCs w:val="13"/>
                <w:b w:val="1"/>
                <w:bCs w:val="1"/>
                <w:color w:val="auto"/>
              </w:rPr>
              <w:t>“Actually Paid”</w:t>
            </w:r>
          </w:p>
        </w:tc>
        <w:tc>
          <w:tcPr>
            <w:tcW w:w="1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260" w:type="dxa"/>
            <w:vAlign w:val="bottom"/>
            <w:tcBorders>
              <w:bottom w:val="single" w:sz="8" w:color="DCDDDE"/>
            </w:tcBorders>
            <w:gridSpan w:val="2"/>
          </w:tcPr>
          <w:p>
            <w:pPr>
              <w:ind w:left="80"/>
              <w:spacing w:after="0"/>
              <w:rPr>
                <w:sz w:val="20"/>
                <w:szCs w:val="20"/>
                <w:color w:val="auto"/>
              </w:rPr>
            </w:pPr>
            <w:r>
              <w:rPr>
                <w:rFonts w:ascii="Arial" w:cs="Arial" w:eastAsia="Arial" w:hAnsi="Arial"/>
                <w:sz w:val="13"/>
                <w:szCs w:val="13"/>
                <w:b w:val="1"/>
                <w:bCs w:val="1"/>
                <w:color w:val="auto"/>
              </w:rPr>
              <w:t>to PEO</w:t>
            </w:r>
          </w:p>
        </w:tc>
        <w:tc>
          <w:tcPr>
            <w:tcW w:w="1820" w:type="dxa"/>
            <w:vAlign w:val="bottom"/>
            <w:tcBorders>
              <w:bottom w:val="single" w:sz="8" w:color="DCDDDE"/>
            </w:tcBorders>
          </w:tcPr>
          <w:p>
            <w:pPr>
              <w:spacing w:after="0"/>
              <w:rPr>
                <w:sz w:val="16"/>
                <w:szCs w:val="16"/>
                <w:color w:val="auto"/>
              </w:rPr>
            </w:pPr>
          </w:p>
        </w:tc>
        <w:tc>
          <w:tcPr>
            <w:tcW w:w="900" w:type="dxa"/>
            <w:vAlign w:val="bottom"/>
            <w:tcBorders>
              <w:bottom w:val="single" w:sz="8" w:color="DCDDDE"/>
            </w:tcBorders>
          </w:tcPr>
          <w:p>
            <w:pPr>
              <w:spacing w:after="0"/>
              <w:rPr>
                <w:sz w:val="16"/>
                <w:szCs w:val="16"/>
                <w:color w:val="auto"/>
              </w:rPr>
            </w:pPr>
          </w:p>
        </w:tc>
        <w:tc>
          <w:tcPr>
            <w:tcW w:w="920" w:type="dxa"/>
            <w:vAlign w:val="bottom"/>
            <w:tcBorders>
              <w:bottom w:val="single" w:sz="8" w:color="DCDDDE"/>
            </w:tcBorders>
          </w:tcPr>
          <w:p>
            <w:pPr>
              <w:spacing w:after="0"/>
              <w:rPr>
                <w:sz w:val="16"/>
                <w:szCs w:val="16"/>
                <w:color w:val="auto"/>
              </w:rPr>
            </w:pPr>
          </w:p>
        </w:tc>
        <w:tc>
          <w:tcPr>
            <w:tcW w:w="900" w:type="dxa"/>
            <w:vAlign w:val="bottom"/>
            <w:tcBorders>
              <w:bottom w:val="single" w:sz="8" w:color="DCDDDE"/>
            </w:tcBorders>
          </w:tcPr>
          <w:p>
            <w:pPr>
              <w:spacing w:after="0"/>
              <w:rPr>
                <w:sz w:val="16"/>
                <w:szCs w:val="16"/>
                <w:color w:val="auto"/>
              </w:rPr>
            </w:pPr>
          </w:p>
        </w:tc>
        <w:tc>
          <w:tcPr>
            <w:tcW w:w="920" w:type="dxa"/>
            <w:vAlign w:val="bottom"/>
            <w:tcBorders>
              <w:bottom w:val="single" w:sz="8" w:color="DCDDDE"/>
            </w:tcBorders>
          </w:tcPr>
          <w:p>
            <w:pPr>
              <w:spacing w:after="0"/>
              <w:rPr>
                <w:sz w:val="16"/>
                <w:szCs w:val="16"/>
                <w:color w:val="auto"/>
              </w:rPr>
            </w:pPr>
          </w:p>
        </w:tc>
        <w:tc>
          <w:tcPr>
            <w:tcW w:w="820" w:type="dxa"/>
            <w:vAlign w:val="bottom"/>
            <w:tcBorders>
              <w:bottom w:val="single" w:sz="8" w:color="DCDDDE"/>
            </w:tcBorders>
          </w:tcPr>
          <w:p>
            <w:pPr>
              <w:spacing w:after="0"/>
              <w:rPr>
                <w:sz w:val="16"/>
                <w:szCs w:val="16"/>
                <w:color w:val="auto"/>
              </w:rPr>
            </w:pPr>
          </w:p>
        </w:tc>
        <w:tc>
          <w:tcPr>
            <w:tcW w:w="840" w:type="dxa"/>
            <w:vAlign w:val="bottom"/>
            <w:tcBorders>
              <w:bottom w:val="single" w:sz="8" w:color="DCDDDE"/>
            </w:tcBorders>
          </w:tcPr>
          <w:p>
            <w:pPr>
              <w:spacing w:after="0"/>
              <w:rPr>
                <w:sz w:val="16"/>
                <w:szCs w:val="16"/>
                <w:color w:val="auto"/>
              </w:rPr>
            </w:pPr>
          </w:p>
        </w:tc>
        <w:tc>
          <w:tcPr>
            <w:tcW w:w="820" w:type="dxa"/>
            <w:vAlign w:val="bottom"/>
            <w:tcBorders>
              <w:bottom w:val="single" w:sz="8" w:color="DCDDDE"/>
            </w:tcBorders>
          </w:tcPr>
          <w:p>
            <w:pPr>
              <w:spacing w:after="0"/>
              <w:rPr>
                <w:sz w:val="16"/>
                <w:szCs w:val="16"/>
                <w:color w:val="auto"/>
              </w:rPr>
            </w:pPr>
          </w:p>
        </w:tc>
        <w:tc>
          <w:tcPr>
            <w:tcW w:w="760" w:type="dxa"/>
            <w:vAlign w:val="bottom"/>
            <w:tcBorders>
              <w:bottom w:val="single" w:sz="8" w:color="DCDDDE"/>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2260" w:type="dxa"/>
            <w:vAlign w:val="bottom"/>
            <w:gridSpan w:val="2"/>
          </w:tcPr>
          <w:p>
            <w:pPr>
              <w:ind w:left="80"/>
              <w:spacing w:after="0"/>
              <w:rPr>
                <w:sz w:val="20"/>
                <w:szCs w:val="20"/>
                <w:color w:val="auto"/>
              </w:rPr>
            </w:pPr>
            <w:r>
              <w:rPr>
                <w:rFonts w:ascii="Arial" w:cs="Arial" w:eastAsia="Arial" w:hAnsi="Arial"/>
                <w:sz w:val="13"/>
                <w:szCs w:val="13"/>
                <w:b w:val="1"/>
                <w:bCs w:val="1"/>
                <w:color w:val="auto"/>
              </w:rPr>
              <w:t>Average</w:t>
            </w:r>
          </w:p>
        </w:tc>
        <w:tc>
          <w:tcPr>
            <w:tcW w:w="1820" w:type="dxa"/>
            <w:vAlign w:val="bottom"/>
          </w:tcPr>
          <w:p>
            <w:pPr>
              <w:jc w:val="right"/>
              <w:ind w:right="53"/>
              <w:spacing w:after="0"/>
              <w:rPr>
                <w:sz w:val="20"/>
                <w:szCs w:val="20"/>
                <w:color w:val="auto"/>
              </w:rPr>
            </w:pPr>
            <w:r>
              <w:rPr>
                <w:rFonts w:ascii="Arial" w:cs="Arial" w:eastAsia="Arial" w:hAnsi="Arial"/>
                <w:sz w:val="13"/>
                <w:szCs w:val="13"/>
                <w:color w:val="auto"/>
              </w:rPr>
              <w:t>6,869,290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27,073,830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10,501,980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20,790,358</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26,502,693</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(75%)</w:t>
            </w:r>
          </w:p>
        </w:tc>
        <w:tc>
          <w:tcPr>
            <w:tcW w:w="840" w:type="dxa"/>
            <w:vAlign w:val="bottom"/>
          </w:tcPr>
          <w:p>
            <w:pPr>
              <w:jc w:val="right"/>
              <w:ind w:right="213"/>
              <w:spacing w:after="0"/>
              <w:rPr>
                <w:sz w:val="20"/>
                <w:szCs w:val="20"/>
                <w:color w:val="auto"/>
              </w:rPr>
            </w:pPr>
            <w:r>
              <w:rPr>
                <w:rFonts w:ascii="Arial" w:cs="Arial" w:eastAsia="Arial" w:hAnsi="Arial"/>
                <w:sz w:val="13"/>
                <w:szCs w:val="13"/>
                <w:color w:val="auto"/>
              </w:rPr>
              <w:t>158%</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(49)%</w:t>
            </w: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60" w:type="dxa"/>
            <w:vAlign w:val="bottom"/>
            <w:gridSpan w:val="2"/>
          </w:tcPr>
          <w:p>
            <w:pPr>
              <w:ind w:left="80"/>
              <w:spacing w:after="0"/>
              <w:rPr>
                <w:sz w:val="20"/>
                <w:szCs w:val="20"/>
                <w:color w:val="auto"/>
              </w:rPr>
            </w:pPr>
            <w:r>
              <w:rPr>
                <w:rFonts w:ascii="Arial" w:cs="Arial" w:eastAsia="Arial" w:hAnsi="Arial"/>
                <w:sz w:val="13"/>
                <w:szCs w:val="13"/>
                <w:b w:val="1"/>
                <w:bCs w:val="1"/>
                <w:color w:val="auto"/>
              </w:rPr>
              <w:t>Compensation</w:t>
            </w:r>
          </w:p>
        </w:tc>
        <w:tc>
          <w:tcPr>
            <w:tcW w:w="1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2260" w:type="dxa"/>
            <w:vAlign w:val="bottom"/>
            <w:gridSpan w:val="2"/>
          </w:tcPr>
          <w:p>
            <w:pPr>
              <w:ind w:left="80"/>
              <w:spacing w:after="0"/>
              <w:rPr>
                <w:sz w:val="20"/>
                <w:szCs w:val="20"/>
                <w:color w:val="auto"/>
              </w:rPr>
            </w:pPr>
            <w:r>
              <w:rPr>
                <w:rFonts w:ascii="Arial" w:cs="Arial" w:eastAsia="Arial" w:hAnsi="Arial"/>
                <w:sz w:val="13"/>
                <w:szCs w:val="13"/>
                <w:b w:val="1"/>
                <w:bCs w:val="1"/>
                <w:color w:val="auto"/>
              </w:rPr>
              <w:t>“Actually Paid”</w:t>
            </w:r>
          </w:p>
        </w:tc>
        <w:tc>
          <w:tcPr>
            <w:tcW w:w="1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260" w:type="dxa"/>
            <w:vAlign w:val="bottom"/>
            <w:tcBorders>
              <w:bottom w:val="single" w:sz="8" w:color="DCDDDE"/>
            </w:tcBorders>
            <w:gridSpan w:val="2"/>
          </w:tcPr>
          <w:p>
            <w:pPr>
              <w:ind w:left="80"/>
              <w:spacing w:after="0"/>
              <w:rPr>
                <w:sz w:val="20"/>
                <w:szCs w:val="20"/>
                <w:color w:val="auto"/>
              </w:rPr>
            </w:pPr>
            <w:r>
              <w:rPr>
                <w:rFonts w:ascii="Arial" w:cs="Arial" w:eastAsia="Arial" w:hAnsi="Arial"/>
                <w:sz w:val="13"/>
                <w:szCs w:val="13"/>
                <w:b w:val="1"/>
                <w:bCs w:val="1"/>
                <w:color w:val="auto"/>
              </w:rPr>
              <w:t>to non-PEOs</w:t>
            </w:r>
          </w:p>
        </w:tc>
        <w:tc>
          <w:tcPr>
            <w:tcW w:w="1820" w:type="dxa"/>
            <w:vAlign w:val="bottom"/>
            <w:tcBorders>
              <w:bottom w:val="single" w:sz="8" w:color="DCDDDE"/>
            </w:tcBorders>
          </w:tcPr>
          <w:p>
            <w:pPr>
              <w:spacing w:after="0"/>
              <w:rPr>
                <w:sz w:val="16"/>
                <w:szCs w:val="16"/>
                <w:color w:val="auto"/>
              </w:rPr>
            </w:pPr>
          </w:p>
        </w:tc>
        <w:tc>
          <w:tcPr>
            <w:tcW w:w="900" w:type="dxa"/>
            <w:vAlign w:val="bottom"/>
            <w:tcBorders>
              <w:bottom w:val="single" w:sz="8" w:color="DCDDDE"/>
            </w:tcBorders>
          </w:tcPr>
          <w:p>
            <w:pPr>
              <w:spacing w:after="0"/>
              <w:rPr>
                <w:sz w:val="16"/>
                <w:szCs w:val="16"/>
                <w:color w:val="auto"/>
              </w:rPr>
            </w:pPr>
          </w:p>
        </w:tc>
        <w:tc>
          <w:tcPr>
            <w:tcW w:w="920" w:type="dxa"/>
            <w:vAlign w:val="bottom"/>
            <w:tcBorders>
              <w:bottom w:val="single" w:sz="8" w:color="DCDDDE"/>
            </w:tcBorders>
          </w:tcPr>
          <w:p>
            <w:pPr>
              <w:spacing w:after="0"/>
              <w:rPr>
                <w:sz w:val="16"/>
                <w:szCs w:val="16"/>
                <w:color w:val="auto"/>
              </w:rPr>
            </w:pPr>
          </w:p>
        </w:tc>
        <w:tc>
          <w:tcPr>
            <w:tcW w:w="900" w:type="dxa"/>
            <w:vAlign w:val="bottom"/>
            <w:tcBorders>
              <w:bottom w:val="single" w:sz="8" w:color="DCDDDE"/>
            </w:tcBorders>
          </w:tcPr>
          <w:p>
            <w:pPr>
              <w:spacing w:after="0"/>
              <w:rPr>
                <w:sz w:val="16"/>
                <w:szCs w:val="16"/>
                <w:color w:val="auto"/>
              </w:rPr>
            </w:pPr>
          </w:p>
        </w:tc>
        <w:tc>
          <w:tcPr>
            <w:tcW w:w="920" w:type="dxa"/>
            <w:vAlign w:val="bottom"/>
            <w:tcBorders>
              <w:bottom w:val="single" w:sz="8" w:color="DCDDDE"/>
            </w:tcBorders>
          </w:tcPr>
          <w:p>
            <w:pPr>
              <w:spacing w:after="0"/>
              <w:rPr>
                <w:sz w:val="16"/>
                <w:szCs w:val="16"/>
                <w:color w:val="auto"/>
              </w:rPr>
            </w:pPr>
          </w:p>
        </w:tc>
        <w:tc>
          <w:tcPr>
            <w:tcW w:w="820" w:type="dxa"/>
            <w:vAlign w:val="bottom"/>
            <w:tcBorders>
              <w:bottom w:val="single" w:sz="8" w:color="DCDDDE"/>
            </w:tcBorders>
          </w:tcPr>
          <w:p>
            <w:pPr>
              <w:spacing w:after="0"/>
              <w:rPr>
                <w:sz w:val="16"/>
                <w:szCs w:val="16"/>
                <w:color w:val="auto"/>
              </w:rPr>
            </w:pPr>
          </w:p>
        </w:tc>
        <w:tc>
          <w:tcPr>
            <w:tcW w:w="840" w:type="dxa"/>
            <w:vAlign w:val="bottom"/>
            <w:tcBorders>
              <w:bottom w:val="single" w:sz="8" w:color="DCDDDE"/>
            </w:tcBorders>
          </w:tcPr>
          <w:p>
            <w:pPr>
              <w:spacing w:after="0"/>
              <w:rPr>
                <w:sz w:val="16"/>
                <w:szCs w:val="16"/>
                <w:color w:val="auto"/>
              </w:rPr>
            </w:pPr>
          </w:p>
        </w:tc>
        <w:tc>
          <w:tcPr>
            <w:tcW w:w="820" w:type="dxa"/>
            <w:vAlign w:val="bottom"/>
            <w:tcBorders>
              <w:bottom w:val="single" w:sz="8" w:color="DCDDDE"/>
            </w:tcBorders>
          </w:tcPr>
          <w:p>
            <w:pPr>
              <w:spacing w:after="0"/>
              <w:rPr>
                <w:sz w:val="16"/>
                <w:szCs w:val="16"/>
                <w:color w:val="auto"/>
              </w:rPr>
            </w:pPr>
          </w:p>
        </w:tc>
        <w:tc>
          <w:tcPr>
            <w:tcW w:w="760" w:type="dxa"/>
            <w:vAlign w:val="bottom"/>
            <w:tcBorders>
              <w:bottom w:val="single" w:sz="8" w:color="DCDDDE"/>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2260" w:type="dxa"/>
            <w:vAlign w:val="bottom"/>
            <w:gridSpan w:val="2"/>
          </w:tcPr>
          <w:p>
            <w:pPr>
              <w:ind w:left="80"/>
              <w:spacing w:after="0"/>
              <w:rPr>
                <w:sz w:val="20"/>
                <w:szCs w:val="20"/>
                <w:color w:val="auto"/>
              </w:rPr>
            </w:pPr>
            <w:r>
              <w:rPr>
                <w:rFonts w:ascii="Arial" w:cs="Arial" w:eastAsia="Arial" w:hAnsi="Arial"/>
                <w:sz w:val="13"/>
                <w:szCs w:val="13"/>
                <w:b w:val="1"/>
                <w:bCs w:val="1"/>
                <w:color w:val="auto"/>
              </w:rPr>
              <w:t>Adjusted EBITDA*</w:t>
            </w:r>
          </w:p>
        </w:tc>
        <w:tc>
          <w:tcPr>
            <w:tcW w:w="1820" w:type="dxa"/>
            <w:vAlign w:val="bottom"/>
          </w:tcPr>
          <w:p>
            <w:pPr>
              <w:jc w:val="right"/>
              <w:ind w:right="53"/>
              <w:spacing w:after="0"/>
              <w:rPr>
                <w:sz w:val="20"/>
                <w:szCs w:val="20"/>
                <w:color w:val="auto"/>
              </w:rPr>
            </w:pPr>
            <w:r>
              <w:rPr>
                <w:rFonts w:ascii="Arial" w:cs="Arial" w:eastAsia="Arial" w:hAnsi="Arial"/>
                <w:sz w:val="13"/>
                <w:szCs w:val="13"/>
                <w:color w:val="auto"/>
              </w:rPr>
              <w:t>38.1</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37.6</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36.5</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34.7</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30.8</w:t>
            </w: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1%</w:t>
            </w:r>
          </w:p>
        </w:tc>
        <w:tc>
          <w:tcPr>
            <w:tcW w:w="840" w:type="dxa"/>
            <w:vAlign w:val="bottom"/>
          </w:tcPr>
          <w:p>
            <w:pPr>
              <w:jc w:val="right"/>
              <w:ind w:right="213"/>
              <w:spacing w:after="0"/>
              <w:rPr>
                <w:sz w:val="20"/>
                <w:szCs w:val="20"/>
                <w:color w:val="auto"/>
              </w:rPr>
            </w:pPr>
            <w:r>
              <w:rPr>
                <w:rFonts w:ascii="Arial" w:cs="Arial" w:eastAsia="Arial" w:hAnsi="Arial"/>
                <w:sz w:val="13"/>
                <w:szCs w:val="13"/>
                <w:color w:val="auto"/>
              </w:rPr>
              <w:t>3%</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5%</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260" w:type="dxa"/>
            <w:vAlign w:val="bottom"/>
            <w:tcBorders>
              <w:bottom w:val="single" w:sz="8" w:color="DCDDDE"/>
            </w:tcBorders>
            <w:gridSpan w:val="2"/>
          </w:tcPr>
          <w:p>
            <w:pPr>
              <w:ind w:left="80"/>
              <w:spacing w:after="0"/>
              <w:rPr>
                <w:sz w:val="20"/>
                <w:szCs w:val="20"/>
                <w:color w:val="auto"/>
              </w:rPr>
            </w:pPr>
            <w:r>
              <w:rPr>
                <w:rFonts w:ascii="Arial" w:cs="Arial" w:eastAsia="Arial" w:hAnsi="Arial"/>
                <w:sz w:val="13"/>
                <w:szCs w:val="13"/>
                <w:b w:val="1"/>
                <w:bCs w:val="1"/>
                <w:color w:val="auto"/>
              </w:rPr>
              <w:t>(in billions)</w:t>
            </w:r>
          </w:p>
        </w:tc>
        <w:tc>
          <w:tcPr>
            <w:tcW w:w="1820" w:type="dxa"/>
            <w:vAlign w:val="bottom"/>
            <w:tcBorders>
              <w:bottom w:val="single" w:sz="8" w:color="DCDDDE"/>
            </w:tcBorders>
          </w:tcPr>
          <w:p>
            <w:pPr>
              <w:spacing w:after="0"/>
              <w:rPr>
                <w:sz w:val="16"/>
                <w:szCs w:val="16"/>
                <w:color w:val="auto"/>
              </w:rPr>
            </w:pPr>
          </w:p>
        </w:tc>
        <w:tc>
          <w:tcPr>
            <w:tcW w:w="900" w:type="dxa"/>
            <w:vAlign w:val="bottom"/>
            <w:tcBorders>
              <w:bottom w:val="single" w:sz="8" w:color="DCDDDE"/>
            </w:tcBorders>
          </w:tcPr>
          <w:p>
            <w:pPr>
              <w:spacing w:after="0"/>
              <w:rPr>
                <w:sz w:val="16"/>
                <w:szCs w:val="16"/>
                <w:color w:val="auto"/>
              </w:rPr>
            </w:pPr>
          </w:p>
        </w:tc>
        <w:tc>
          <w:tcPr>
            <w:tcW w:w="920" w:type="dxa"/>
            <w:vAlign w:val="bottom"/>
            <w:tcBorders>
              <w:bottom w:val="single" w:sz="8" w:color="DCDDDE"/>
            </w:tcBorders>
          </w:tcPr>
          <w:p>
            <w:pPr>
              <w:spacing w:after="0"/>
              <w:rPr>
                <w:sz w:val="16"/>
                <w:szCs w:val="16"/>
                <w:color w:val="auto"/>
              </w:rPr>
            </w:pPr>
          </w:p>
        </w:tc>
        <w:tc>
          <w:tcPr>
            <w:tcW w:w="900" w:type="dxa"/>
            <w:vAlign w:val="bottom"/>
            <w:tcBorders>
              <w:bottom w:val="single" w:sz="8" w:color="DCDDDE"/>
            </w:tcBorders>
          </w:tcPr>
          <w:p>
            <w:pPr>
              <w:spacing w:after="0"/>
              <w:rPr>
                <w:sz w:val="16"/>
                <w:szCs w:val="16"/>
                <w:color w:val="auto"/>
              </w:rPr>
            </w:pPr>
          </w:p>
        </w:tc>
        <w:tc>
          <w:tcPr>
            <w:tcW w:w="920" w:type="dxa"/>
            <w:vAlign w:val="bottom"/>
            <w:tcBorders>
              <w:bottom w:val="single" w:sz="8" w:color="DCDDDE"/>
            </w:tcBorders>
          </w:tcPr>
          <w:p>
            <w:pPr>
              <w:spacing w:after="0"/>
              <w:rPr>
                <w:sz w:val="16"/>
                <w:szCs w:val="16"/>
                <w:color w:val="auto"/>
              </w:rPr>
            </w:pPr>
          </w:p>
        </w:tc>
        <w:tc>
          <w:tcPr>
            <w:tcW w:w="820" w:type="dxa"/>
            <w:vAlign w:val="bottom"/>
            <w:tcBorders>
              <w:bottom w:val="single" w:sz="8" w:color="DCDDDE"/>
            </w:tcBorders>
          </w:tcPr>
          <w:p>
            <w:pPr>
              <w:spacing w:after="0"/>
              <w:rPr>
                <w:sz w:val="16"/>
                <w:szCs w:val="16"/>
                <w:color w:val="auto"/>
              </w:rPr>
            </w:pPr>
          </w:p>
        </w:tc>
        <w:tc>
          <w:tcPr>
            <w:tcW w:w="840" w:type="dxa"/>
            <w:vAlign w:val="bottom"/>
            <w:tcBorders>
              <w:bottom w:val="single" w:sz="8" w:color="DCDDDE"/>
            </w:tcBorders>
          </w:tcPr>
          <w:p>
            <w:pPr>
              <w:spacing w:after="0"/>
              <w:rPr>
                <w:sz w:val="16"/>
                <w:szCs w:val="16"/>
                <w:color w:val="auto"/>
              </w:rPr>
            </w:pPr>
          </w:p>
        </w:tc>
        <w:tc>
          <w:tcPr>
            <w:tcW w:w="820" w:type="dxa"/>
            <w:vAlign w:val="bottom"/>
            <w:tcBorders>
              <w:bottom w:val="single" w:sz="8" w:color="DCDDDE"/>
            </w:tcBorders>
          </w:tcPr>
          <w:p>
            <w:pPr>
              <w:spacing w:after="0"/>
              <w:rPr>
                <w:sz w:val="16"/>
                <w:szCs w:val="16"/>
                <w:color w:val="auto"/>
              </w:rPr>
            </w:pPr>
          </w:p>
        </w:tc>
        <w:tc>
          <w:tcPr>
            <w:tcW w:w="760" w:type="dxa"/>
            <w:vAlign w:val="bottom"/>
            <w:tcBorders>
              <w:bottom w:val="single" w:sz="8" w:color="DCDDDE"/>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2260" w:type="dxa"/>
            <w:vAlign w:val="bottom"/>
            <w:gridSpan w:val="2"/>
          </w:tcPr>
          <w:p>
            <w:pPr>
              <w:ind w:left="80"/>
              <w:spacing w:after="0"/>
              <w:rPr>
                <w:sz w:val="20"/>
                <w:szCs w:val="20"/>
                <w:color w:val="auto"/>
              </w:rPr>
            </w:pPr>
            <w:r>
              <w:rPr>
                <w:rFonts w:ascii="Arial" w:cs="Arial" w:eastAsia="Arial" w:hAnsi="Arial"/>
                <w:sz w:val="13"/>
                <w:szCs w:val="13"/>
                <w:b w:val="1"/>
                <w:bCs w:val="1"/>
                <w:color w:val="auto"/>
              </w:rPr>
              <w:t>Net Income</w:t>
            </w:r>
          </w:p>
        </w:tc>
        <w:tc>
          <w:tcPr>
            <w:tcW w:w="1820" w:type="dxa"/>
            <w:vAlign w:val="bottom"/>
          </w:tcPr>
          <w:p>
            <w:pPr>
              <w:jc w:val="right"/>
              <w:ind w:right="53"/>
              <w:spacing w:after="0"/>
              <w:rPr>
                <w:sz w:val="20"/>
                <w:szCs w:val="20"/>
                <w:color w:val="auto"/>
              </w:rPr>
            </w:pPr>
            <w:r>
              <w:rPr>
                <w:rFonts w:ascii="Arial" w:cs="Arial" w:eastAsia="Arial" w:hAnsi="Arial"/>
                <w:sz w:val="13"/>
                <w:szCs w:val="13"/>
                <w:color w:val="auto"/>
              </w:rPr>
              <w:t>15.9</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15.1</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4.9</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13.8</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10.7</w:t>
            </w: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5%</w:t>
            </w:r>
          </w:p>
        </w:tc>
        <w:tc>
          <w:tcPr>
            <w:tcW w:w="840" w:type="dxa"/>
            <w:vAlign w:val="bottom"/>
          </w:tcPr>
          <w:p>
            <w:pPr>
              <w:jc w:val="right"/>
              <w:ind w:right="213"/>
              <w:spacing w:after="0"/>
              <w:rPr>
                <w:sz w:val="20"/>
                <w:szCs w:val="20"/>
                <w:color w:val="auto"/>
              </w:rPr>
            </w:pPr>
            <w:r>
              <w:rPr>
                <w:rFonts w:ascii="Arial" w:cs="Arial" w:eastAsia="Arial" w:hAnsi="Arial"/>
                <w:sz w:val="13"/>
                <w:szCs w:val="13"/>
                <w:color w:val="auto"/>
              </w:rPr>
              <w:t>208%</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(64)%</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260" w:type="dxa"/>
            <w:vAlign w:val="bottom"/>
            <w:tcBorders>
              <w:bottom w:val="single" w:sz="8" w:color="DCDDDE"/>
            </w:tcBorders>
            <w:gridSpan w:val="2"/>
          </w:tcPr>
          <w:p>
            <w:pPr>
              <w:ind w:left="80"/>
              <w:spacing w:after="0"/>
              <w:rPr>
                <w:sz w:val="20"/>
                <w:szCs w:val="20"/>
                <w:color w:val="auto"/>
              </w:rPr>
            </w:pPr>
            <w:r>
              <w:rPr>
                <w:rFonts w:ascii="Arial" w:cs="Arial" w:eastAsia="Arial" w:hAnsi="Arial"/>
                <w:sz w:val="13"/>
                <w:szCs w:val="13"/>
                <w:b w:val="1"/>
                <w:bCs w:val="1"/>
                <w:color w:val="auto"/>
              </w:rPr>
              <w:t>(in billions)</w:t>
            </w:r>
          </w:p>
        </w:tc>
        <w:tc>
          <w:tcPr>
            <w:tcW w:w="1820" w:type="dxa"/>
            <w:vAlign w:val="bottom"/>
            <w:tcBorders>
              <w:bottom w:val="single" w:sz="8" w:color="DCDDDE"/>
            </w:tcBorders>
          </w:tcPr>
          <w:p>
            <w:pPr>
              <w:spacing w:after="0"/>
              <w:rPr>
                <w:sz w:val="16"/>
                <w:szCs w:val="16"/>
                <w:color w:val="auto"/>
              </w:rPr>
            </w:pPr>
          </w:p>
        </w:tc>
        <w:tc>
          <w:tcPr>
            <w:tcW w:w="900" w:type="dxa"/>
            <w:vAlign w:val="bottom"/>
            <w:tcBorders>
              <w:bottom w:val="single" w:sz="8" w:color="DCDDDE"/>
            </w:tcBorders>
          </w:tcPr>
          <w:p>
            <w:pPr>
              <w:spacing w:after="0"/>
              <w:rPr>
                <w:sz w:val="16"/>
                <w:szCs w:val="16"/>
                <w:color w:val="auto"/>
              </w:rPr>
            </w:pPr>
          </w:p>
        </w:tc>
        <w:tc>
          <w:tcPr>
            <w:tcW w:w="920" w:type="dxa"/>
            <w:vAlign w:val="bottom"/>
            <w:tcBorders>
              <w:bottom w:val="single" w:sz="8" w:color="DCDDDE"/>
            </w:tcBorders>
          </w:tcPr>
          <w:p>
            <w:pPr>
              <w:spacing w:after="0"/>
              <w:rPr>
                <w:sz w:val="16"/>
                <w:szCs w:val="16"/>
                <w:color w:val="auto"/>
              </w:rPr>
            </w:pPr>
          </w:p>
        </w:tc>
        <w:tc>
          <w:tcPr>
            <w:tcW w:w="900" w:type="dxa"/>
            <w:vAlign w:val="bottom"/>
            <w:tcBorders>
              <w:bottom w:val="single" w:sz="8" w:color="DCDDDE"/>
            </w:tcBorders>
          </w:tcPr>
          <w:p>
            <w:pPr>
              <w:spacing w:after="0"/>
              <w:rPr>
                <w:sz w:val="16"/>
                <w:szCs w:val="16"/>
                <w:color w:val="auto"/>
              </w:rPr>
            </w:pPr>
          </w:p>
        </w:tc>
        <w:tc>
          <w:tcPr>
            <w:tcW w:w="920" w:type="dxa"/>
            <w:vAlign w:val="bottom"/>
            <w:tcBorders>
              <w:bottom w:val="single" w:sz="8" w:color="DCDDDE"/>
            </w:tcBorders>
          </w:tcPr>
          <w:p>
            <w:pPr>
              <w:spacing w:after="0"/>
              <w:rPr>
                <w:sz w:val="16"/>
                <w:szCs w:val="16"/>
                <w:color w:val="auto"/>
              </w:rPr>
            </w:pPr>
          </w:p>
        </w:tc>
        <w:tc>
          <w:tcPr>
            <w:tcW w:w="820" w:type="dxa"/>
            <w:vAlign w:val="bottom"/>
            <w:tcBorders>
              <w:bottom w:val="single" w:sz="8" w:color="DCDDDE"/>
            </w:tcBorders>
          </w:tcPr>
          <w:p>
            <w:pPr>
              <w:spacing w:after="0"/>
              <w:rPr>
                <w:sz w:val="16"/>
                <w:szCs w:val="16"/>
                <w:color w:val="auto"/>
              </w:rPr>
            </w:pPr>
          </w:p>
        </w:tc>
        <w:tc>
          <w:tcPr>
            <w:tcW w:w="840" w:type="dxa"/>
            <w:vAlign w:val="bottom"/>
            <w:tcBorders>
              <w:bottom w:val="single" w:sz="8" w:color="DCDDDE"/>
            </w:tcBorders>
          </w:tcPr>
          <w:p>
            <w:pPr>
              <w:spacing w:after="0"/>
              <w:rPr>
                <w:sz w:val="16"/>
                <w:szCs w:val="16"/>
                <w:color w:val="auto"/>
              </w:rPr>
            </w:pPr>
          </w:p>
        </w:tc>
        <w:tc>
          <w:tcPr>
            <w:tcW w:w="820" w:type="dxa"/>
            <w:vAlign w:val="bottom"/>
            <w:tcBorders>
              <w:bottom w:val="single" w:sz="8" w:color="DCDDDE"/>
            </w:tcBorders>
          </w:tcPr>
          <w:p>
            <w:pPr>
              <w:spacing w:after="0"/>
              <w:rPr>
                <w:sz w:val="16"/>
                <w:szCs w:val="16"/>
                <w:color w:val="auto"/>
              </w:rPr>
            </w:pPr>
          </w:p>
        </w:tc>
        <w:tc>
          <w:tcPr>
            <w:tcW w:w="760" w:type="dxa"/>
            <w:vAlign w:val="bottom"/>
            <w:tcBorders>
              <w:bottom w:val="single" w:sz="8" w:color="DCDDDE"/>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2260" w:type="dxa"/>
            <w:vAlign w:val="bottom"/>
            <w:gridSpan w:val="2"/>
          </w:tcPr>
          <w:p>
            <w:pPr>
              <w:ind w:left="80"/>
              <w:spacing w:after="0"/>
              <w:rPr>
                <w:sz w:val="20"/>
                <w:szCs w:val="20"/>
                <w:color w:val="auto"/>
              </w:rPr>
            </w:pPr>
            <w:r>
              <w:rPr>
                <w:rFonts w:ascii="Arial" w:cs="Arial" w:eastAsia="Arial" w:hAnsi="Arial"/>
                <w:sz w:val="13"/>
                <w:szCs w:val="13"/>
                <w:b w:val="1"/>
                <w:bCs w:val="1"/>
                <w:color w:val="auto"/>
              </w:rPr>
              <w:t>Company’s</w:t>
            </w:r>
          </w:p>
        </w:tc>
        <w:tc>
          <w:tcPr>
            <w:tcW w:w="1820" w:type="dxa"/>
            <w:vAlign w:val="bottom"/>
          </w:tcPr>
          <w:p>
            <w:pPr>
              <w:jc w:val="right"/>
              <w:ind w:right="53"/>
              <w:spacing w:after="0"/>
              <w:rPr>
                <w:sz w:val="20"/>
                <w:szCs w:val="20"/>
                <w:color w:val="auto"/>
              </w:rPr>
            </w:pPr>
            <w:r>
              <w:rPr>
                <w:rFonts w:ascii="Arial" w:cs="Arial" w:eastAsia="Arial" w:hAnsi="Arial"/>
                <w:sz w:val="13"/>
                <w:szCs w:val="13"/>
                <w:color w:val="auto"/>
              </w:rPr>
              <w:t>94.53</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107.23</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83.09</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116.51</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119.16</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(12%)</w:t>
            </w:r>
          </w:p>
        </w:tc>
        <w:tc>
          <w:tcPr>
            <w:tcW w:w="840" w:type="dxa"/>
            <w:vAlign w:val="bottom"/>
          </w:tcPr>
          <w:p>
            <w:pPr>
              <w:jc w:val="right"/>
              <w:ind w:right="213"/>
              <w:spacing w:after="0"/>
              <w:rPr>
                <w:sz w:val="20"/>
                <w:szCs w:val="20"/>
                <w:color w:val="auto"/>
              </w:rPr>
            </w:pPr>
            <w:r>
              <w:rPr>
                <w:rFonts w:ascii="Arial" w:cs="Arial" w:eastAsia="Arial" w:hAnsi="Arial"/>
                <w:sz w:val="13"/>
                <w:szCs w:val="13"/>
                <w:color w:val="auto"/>
              </w:rPr>
              <w:t>29%</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(29)%</w:t>
            </w: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260" w:type="dxa"/>
            <w:vAlign w:val="bottom"/>
            <w:tcBorders>
              <w:bottom w:val="single" w:sz="8" w:color="DCDDDE"/>
            </w:tcBorders>
            <w:gridSpan w:val="2"/>
          </w:tcPr>
          <w:p>
            <w:pPr>
              <w:ind w:left="80"/>
              <w:spacing w:after="0"/>
              <w:rPr>
                <w:sz w:val="20"/>
                <w:szCs w:val="20"/>
                <w:color w:val="auto"/>
              </w:rPr>
            </w:pPr>
            <w:r>
              <w:rPr>
                <w:rFonts w:ascii="Arial" w:cs="Arial" w:eastAsia="Arial" w:hAnsi="Arial"/>
                <w:sz w:val="13"/>
                <w:szCs w:val="13"/>
                <w:b w:val="1"/>
                <w:bCs w:val="1"/>
                <w:color w:val="auto"/>
              </w:rPr>
              <w:t>Cumulative TSR</w:t>
            </w:r>
          </w:p>
        </w:tc>
        <w:tc>
          <w:tcPr>
            <w:tcW w:w="1820" w:type="dxa"/>
            <w:vAlign w:val="bottom"/>
            <w:tcBorders>
              <w:bottom w:val="single" w:sz="8" w:color="DCDDDE"/>
            </w:tcBorders>
          </w:tcPr>
          <w:p>
            <w:pPr>
              <w:spacing w:after="0"/>
              <w:rPr>
                <w:sz w:val="16"/>
                <w:szCs w:val="16"/>
                <w:color w:val="auto"/>
              </w:rPr>
            </w:pPr>
          </w:p>
        </w:tc>
        <w:tc>
          <w:tcPr>
            <w:tcW w:w="900" w:type="dxa"/>
            <w:vAlign w:val="bottom"/>
            <w:tcBorders>
              <w:bottom w:val="single" w:sz="8" w:color="DCDDDE"/>
            </w:tcBorders>
          </w:tcPr>
          <w:p>
            <w:pPr>
              <w:spacing w:after="0"/>
              <w:rPr>
                <w:sz w:val="16"/>
                <w:szCs w:val="16"/>
                <w:color w:val="auto"/>
              </w:rPr>
            </w:pPr>
          </w:p>
        </w:tc>
        <w:tc>
          <w:tcPr>
            <w:tcW w:w="920" w:type="dxa"/>
            <w:vAlign w:val="bottom"/>
            <w:tcBorders>
              <w:bottom w:val="single" w:sz="8" w:color="DCDDDE"/>
            </w:tcBorders>
          </w:tcPr>
          <w:p>
            <w:pPr>
              <w:spacing w:after="0"/>
              <w:rPr>
                <w:sz w:val="16"/>
                <w:szCs w:val="16"/>
                <w:color w:val="auto"/>
              </w:rPr>
            </w:pPr>
          </w:p>
        </w:tc>
        <w:tc>
          <w:tcPr>
            <w:tcW w:w="900" w:type="dxa"/>
            <w:vAlign w:val="bottom"/>
            <w:tcBorders>
              <w:bottom w:val="single" w:sz="8" w:color="DCDDDE"/>
            </w:tcBorders>
          </w:tcPr>
          <w:p>
            <w:pPr>
              <w:spacing w:after="0"/>
              <w:rPr>
                <w:sz w:val="16"/>
                <w:szCs w:val="16"/>
                <w:color w:val="auto"/>
              </w:rPr>
            </w:pPr>
          </w:p>
        </w:tc>
        <w:tc>
          <w:tcPr>
            <w:tcW w:w="920" w:type="dxa"/>
            <w:vAlign w:val="bottom"/>
            <w:tcBorders>
              <w:bottom w:val="single" w:sz="8" w:color="DCDDDE"/>
            </w:tcBorders>
          </w:tcPr>
          <w:p>
            <w:pPr>
              <w:spacing w:after="0"/>
              <w:rPr>
                <w:sz w:val="16"/>
                <w:szCs w:val="16"/>
                <w:color w:val="auto"/>
              </w:rPr>
            </w:pPr>
          </w:p>
        </w:tc>
        <w:tc>
          <w:tcPr>
            <w:tcW w:w="820" w:type="dxa"/>
            <w:vAlign w:val="bottom"/>
            <w:tcBorders>
              <w:bottom w:val="single" w:sz="8" w:color="DCDDDE"/>
            </w:tcBorders>
          </w:tcPr>
          <w:p>
            <w:pPr>
              <w:spacing w:after="0"/>
              <w:rPr>
                <w:sz w:val="16"/>
                <w:szCs w:val="16"/>
                <w:color w:val="auto"/>
              </w:rPr>
            </w:pPr>
          </w:p>
        </w:tc>
        <w:tc>
          <w:tcPr>
            <w:tcW w:w="840" w:type="dxa"/>
            <w:vAlign w:val="bottom"/>
            <w:tcBorders>
              <w:bottom w:val="single" w:sz="8" w:color="DCDDDE"/>
            </w:tcBorders>
          </w:tcPr>
          <w:p>
            <w:pPr>
              <w:spacing w:after="0"/>
              <w:rPr>
                <w:sz w:val="16"/>
                <w:szCs w:val="16"/>
                <w:color w:val="auto"/>
              </w:rPr>
            </w:pPr>
          </w:p>
        </w:tc>
        <w:tc>
          <w:tcPr>
            <w:tcW w:w="820" w:type="dxa"/>
            <w:vAlign w:val="bottom"/>
            <w:tcBorders>
              <w:bottom w:val="single" w:sz="8" w:color="DCDDDE"/>
            </w:tcBorders>
          </w:tcPr>
          <w:p>
            <w:pPr>
              <w:spacing w:after="0"/>
              <w:rPr>
                <w:sz w:val="16"/>
                <w:szCs w:val="16"/>
                <w:color w:val="auto"/>
              </w:rPr>
            </w:pPr>
          </w:p>
        </w:tc>
        <w:tc>
          <w:tcPr>
            <w:tcW w:w="760" w:type="dxa"/>
            <w:vAlign w:val="bottom"/>
            <w:tcBorders>
              <w:bottom w:val="single" w:sz="8" w:color="DCDDDE"/>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2260" w:type="dxa"/>
            <w:vAlign w:val="bottom"/>
            <w:gridSpan w:val="2"/>
          </w:tcPr>
          <w:p>
            <w:pPr>
              <w:ind w:left="80"/>
              <w:spacing w:after="0"/>
              <w:rPr>
                <w:sz w:val="20"/>
                <w:szCs w:val="20"/>
                <w:color w:val="auto"/>
              </w:rPr>
            </w:pPr>
            <w:r>
              <w:rPr>
                <w:rFonts w:ascii="Arial" w:cs="Arial" w:eastAsia="Arial" w:hAnsi="Arial"/>
                <w:sz w:val="13"/>
                <w:szCs w:val="13"/>
                <w:b w:val="1"/>
                <w:bCs w:val="1"/>
                <w:color w:val="auto"/>
              </w:rPr>
              <w:t>Peer Group</w:t>
            </w:r>
          </w:p>
        </w:tc>
        <w:tc>
          <w:tcPr>
            <w:tcW w:w="1820" w:type="dxa"/>
            <w:vAlign w:val="bottom"/>
          </w:tcPr>
          <w:p>
            <w:pPr>
              <w:jc w:val="right"/>
              <w:ind w:right="53"/>
              <w:spacing w:after="0"/>
              <w:rPr>
                <w:sz w:val="20"/>
                <w:szCs w:val="20"/>
                <w:color w:val="auto"/>
              </w:rPr>
            </w:pPr>
            <w:r>
              <w:rPr>
                <w:rFonts w:ascii="Arial" w:cs="Arial" w:eastAsia="Arial" w:hAnsi="Arial"/>
                <w:sz w:val="13"/>
                <w:szCs w:val="13"/>
                <w:color w:val="auto"/>
              </w:rPr>
              <w:t>102.62</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86.75</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79.14</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102.76</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111.90</w:t>
            </w: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18%</w:t>
            </w:r>
          </w:p>
        </w:tc>
        <w:tc>
          <w:tcPr>
            <w:tcW w:w="840" w:type="dxa"/>
            <w:vAlign w:val="bottom"/>
          </w:tcPr>
          <w:p>
            <w:pPr>
              <w:jc w:val="right"/>
              <w:ind w:right="213"/>
              <w:spacing w:after="0"/>
              <w:rPr>
                <w:sz w:val="20"/>
                <w:szCs w:val="20"/>
                <w:color w:val="auto"/>
              </w:rPr>
            </w:pPr>
            <w:r>
              <w:rPr>
                <w:rFonts w:ascii="Arial" w:cs="Arial" w:eastAsia="Arial" w:hAnsi="Arial"/>
                <w:sz w:val="13"/>
                <w:szCs w:val="13"/>
                <w:color w:val="auto"/>
              </w:rPr>
              <w:t>10%</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(23)%</w:t>
            </w: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2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Cumulative TSR</w:t>
            </w:r>
          </w:p>
        </w:tc>
        <w:tc>
          <w:tcPr>
            <w:tcW w:w="18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ind w:left="560" w:hanging="255"/>
        <w:spacing w:after="0" w:line="185" w:lineRule="auto"/>
        <w:tabs>
          <w:tab w:leader="none" w:pos="560" w:val="left"/>
        </w:tabs>
        <w:numPr>
          <w:ilvl w:val="0"/>
          <w:numId w:val="98"/>
        </w:numPr>
        <w:rPr>
          <w:rFonts w:ascii="Arial" w:cs="Arial" w:eastAsia="Arial" w:hAnsi="Arial"/>
          <w:sz w:val="26"/>
          <w:szCs w:val="26"/>
          <w:color w:val="auto"/>
          <w:vertAlign w:val="subscript"/>
        </w:rPr>
      </w:pPr>
      <w:r>
        <w:rPr>
          <w:rFonts w:ascii="Arial" w:cs="Arial" w:eastAsia="Arial" w:hAnsi="Arial"/>
          <w:sz w:val="13"/>
          <w:szCs w:val="13"/>
          <w:color w:val="auto"/>
        </w:rPr>
        <w:t xml:space="preserve">Reconciliations of non-GAAP financial metrics to GAAP are set forth in </w:t>
      </w:r>
      <w:r>
        <w:rPr>
          <w:rFonts w:ascii="Arial" w:cs="Arial" w:eastAsia="Arial" w:hAnsi="Arial"/>
          <w:sz w:val="13"/>
          <w:szCs w:val="13"/>
          <w:u w:val="single" w:color="auto"/>
          <w:color w:val="auto"/>
        </w:rPr>
        <w:t>Appendix A</w:t>
      </w:r>
      <w:r>
        <w:rPr>
          <w:rFonts w:ascii="Arial" w:cs="Arial" w:eastAsia="Arial" w:hAnsi="Arial"/>
          <w:sz w:val="13"/>
          <w:szCs w:val="13"/>
          <w:color w:val="auto"/>
        </w:rPr>
        <w:t>.</w:t>
      </w:r>
    </w:p>
    <w:p>
      <w:pPr>
        <w:spacing w:after="0" w:line="135" w:lineRule="exact"/>
        <w:rPr>
          <w:sz w:val="20"/>
          <w:szCs w:val="20"/>
          <w:color w:val="auto"/>
        </w:rPr>
      </w:pPr>
    </w:p>
    <w:p>
      <w:pPr>
        <w:ind w:left="560" w:right="220" w:hanging="255"/>
        <w:spacing w:after="0" w:line="188" w:lineRule="auto"/>
        <w:tabs>
          <w:tab w:leader="none" w:pos="560" w:val="left"/>
        </w:tabs>
        <w:numPr>
          <w:ilvl w:val="0"/>
          <w:numId w:val="99"/>
        </w:numPr>
        <w:rPr>
          <w:rFonts w:ascii="Arial" w:cs="Arial" w:eastAsia="Arial" w:hAnsi="Arial"/>
          <w:sz w:val="24"/>
          <w:szCs w:val="24"/>
          <w:color w:val="auto"/>
          <w:vertAlign w:val="subscript"/>
        </w:rPr>
      </w:pPr>
      <w:r>
        <w:rPr>
          <w:rFonts w:ascii="Arial" w:cs="Arial" w:eastAsia="Arial" w:hAnsi="Arial"/>
          <w:sz w:val="12"/>
          <w:szCs w:val="12"/>
          <w:color w:val="auto"/>
        </w:rPr>
        <w:t>This percentage change is not considered meaningful, given it compares a negative amount in 2022 against a positive amount in 2023. Percentage is calculated comparing the total change to the absolute value of the prior year amount.</w:t>
      </w:r>
    </w:p>
    <w:p>
      <w:pPr>
        <w:spacing w:after="0" w:line="40" w:lineRule="exact"/>
        <w:rPr>
          <w:sz w:val="20"/>
          <w:szCs w:val="20"/>
          <w:color w:val="auto"/>
        </w:rPr>
      </w:pPr>
    </w:p>
    <w:p>
      <w:pPr>
        <w:ind w:left="300" w:right="60"/>
        <w:spacing w:after="0" w:line="259" w:lineRule="auto"/>
        <w:rPr>
          <w:sz w:val="20"/>
          <w:szCs w:val="20"/>
          <w:color w:val="auto"/>
        </w:rPr>
      </w:pPr>
      <w:r>
        <w:rPr>
          <w:rFonts w:ascii="Arial" w:cs="Arial" w:eastAsia="Arial" w:hAnsi="Arial"/>
          <w:sz w:val="13"/>
          <w:szCs w:val="13"/>
          <w:color w:val="auto"/>
        </w:rPr>
        <w:t>For a discussion of the impact of Adjusted EBITDA on the amounts of the 2024 annual cash bonus received by our NEOs, please refer to “Compensation Decisions – Annual Cash Bonus” above on page 31 (and with respect to 2020, 2021, 2022 and 2023, please refer to pages 37-40 of our 2021 proxy statement, pages 35-39 of our 2022 proxy statement, pages 44-47 of our 2023 proxy statement and pages 31-34 of our 2024 proxy statement for similar discussions).</w:t>
      </w:r>
    </w:p>
    <w:p>
      <w:pPr>
        <w:spacing w:after="0" w:line="29"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Net Income is not used in the design of our executive compensation program. As a result, it does not directly impact the amount of compensation “actually paid” to our NEOs.</w:t>
      </w:r>
    </w:p>
    <w:p>
      <w:pPr>
        <w:spacing w:after="0" w:line="80" w:lineRule="exact"/>
        <w:rPr>
          <w:sz w:val="20"/>
          <w:szCs w:val="20"/>
          <w:color w:val="auto"/>
        </w:rPr>
      </w:pPr>
    </w:p>
    <w:p>
      <w:pPr>
        <w:ind w:left="300" w:right="60"/>
        <w:spacing w:after="0" w:line="246" w:lineRule="auto"/>
        <w:rPr>
          <w:sz w:val="20"/>
          <w:szCs w:val="20"/>
          <w:color w:val="auto"/>
        </w:rPr>
      </w:pPr>
      <w:r>
        <w:rPr>
          <w:rFonts w:ascii="Arial" w:cs="Arial" w:eastAsia="Arial" w:hAnsi="Arial"/>
          <w:sz w:val="13"/>
          <w:szCs w:val="13"/>
          <w:color w:val="auto"/>
        </w:rPr>
        <w:t>TSR, which can be affected by external factors such as economic and market conditions beyond our NEOs’ control, impacts the amount of equity compensation “actually paid” to our NEOs. Because a significant portion of the compensation “actually paid” to our NEOs is in the form of PSUs that vest over three years (in the case of PSUs granted in 2021 and subsequent years) and five years (in the case of grants made in 2019 and 2020), and stock options that vest over five years (in the case of stock options granted in 2021 and subsequent years) and 9.5 years (in the case of stock options granted between 2012-2020), the ultimate value of such compensation “actually paid” to our NEOs in respect of equity awards is inherently tied to our stock price. TSR is also used as a modifier to the level of attainment of the performance goals applicable to the PSUs granted to our NEOs in 2021 and subsequent years, as further described in “Compensation Decisions – Equity-Based Incentive Compensation – PSUs.”</w:t>
      </w:r>
    </w:p>
    <w:p>
      <w:pPr>
        <w:spacing w:after="0" w:line="66" w:lineRule="exact"/>
        <w:rPr>
          <w:sz w:val="20"/>
          <w:szCs w:val="20"/>
          <w:color w:val="auto"/>
        </w:rPr>
      </w:pPr>
    </w:p>
    <w:p>
      <w:pPr>
        <w:ind w:left="320" w:right="620" w:hanging="312"/>
        <w:spacing w:after="0" w:line="281" w:lineRule="auto"/>
        <w:tabs>
          <w:tab w:leader="none" w:pos="320" w:val="left"/>
        </w:tabs>
        <w:numPr>
          <w:ilvl w:val="0"/>
          <w:numId w:val="100"/>
        </w:numPr>
        <w:rPr>
          <w:rFonts w:ascii="Arial" w:cs="Arial" w:eastAsia="Arial" w:hAnsi="Arial"/>
          <w:sz w:val="11"/>
          <w:szCs w:val="11"/>
          <w:color w:val="auto"/>
        </w:rPr>
      </w:pPr>
      <w:r>
        <w:rPr>
          <w:rFonts w:ascii="Arial" w:cs="Arial" w:eastAsia="Arial" w:hAnsi="Arial"/>
          <w:sz w:val="13"/>
          <w:szCs w:val="13"/>
          <w:color w:val="auto"/>
        </w:rPr>
        <w:t>The following table sets forth an unranked list of the financial performance measures “most important” in 2024 for linking our NEOs’ compensation “actually paid” to company performance, which are the financial measures used in our annual cash bonus and long-term incentive program, as specifically listed below.</w:t>
      </w:r>
    </w:p>
    <w:p>
      <w:pPr>
        <w:spacing w:after="0" w:line="39"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Performance Measure</w:t>
      </w:r>
    </w:p>
    <w:p>
      <w:pPr>
        <w:spacing w:after="0" w:line="55"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Adjusted EBITDA</w:t>
      </w:r>
    </w:p>
    <w:p>
      <w:pPr>
        <w:spacing w:after="0" w:line="53"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Free Cash Flow</w:t>
      </w:r>
    </w:p>
    <w:p>
      <w:pPr>
        <w:spacing w:after="0" w:line="53"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Revenue</w:t>
      </w:r>
    </w:p>
    <w:p>
      <w:pPr>
        <w:spacing w:after="0" w:line="53"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ROIC</w:t>
      </w:r>
    </w:p>
    <w:p>
      <w:pPr>
        <w:spacing w:after="0" w:line="53"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Adjusted EPS growth (relative to S&amp;P 100 EPS)</w:t>
      </w:r>
    </w:p>
    <w:p>
      <w:pPr>
        <w:spacing w:after="0" w:line="94" w:lineRule="exact"/>
        <w:rPr>
          <w:sz w:val="20"/>
          <w:szCs w:val="20"/>
          <w:color w:val="auto"/>
        </w:rPr>
      </w:pPr>
    </w:p>
    <w:p>
      <w:pPr>
        <w:ind w:left="280" w:right="40"/>
        <w:spacing w:after="0" w:line="249" w:lineRule="auto"/>
        <w:rPr>
          <w:sz w:val="20"/>
          <w:szCs w:val="20"/>
          <w:color w:val="auto"/>
        </w:rPr>
      </w:pPr>
      <w:r>
        <w:rPr>
          <w:rFonts w:ascii="Arial" w:cs="Arial" w:eastAsia="Arial" w:hAnsi="Arial"/>
          <w:sz w:val="13"/>
          <w:szCs w:val="13"/>
          <w:color w:val="auto"/>
        </w:rPr>
        <w:t>These financial quantitative measures generally reflect those used internally to measure our performance and externally to report to investors, and we believe that, taken together, they provide a holistic measure of company growth, shareholder value and overall financial performance. We do not consider any one of the above performance measures to be the single most important financial measure for our company or executive compensation design. However, for purposes of compiling the above table in compliance with the SEC rules, which require us to present one of these most important measures, we are presenting Adjusted EBITDA. For more detail on these measures and why we believe that they are important in structuring our incentive compensation programs and linking pay with performance, please see the discussion under “Our Approach to Compensation” on page 29.</w:t>
      </w:r>
    </w:p>
    <w:p>
      <w:pPr>
        <w:spacing w:after="0" w:line="15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Shareholder Proposals</w:t>
      </w:r>
    </w:p>
    <w:p>
      <w:pPr>
        <w:spacing w:after="0" w:line="23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received the following shareholder proposals. To be voted upon at our 2025 annual meeting of shareholders, the proponent of each proposal, or a representative of the proponent qualified under Pennsylvania law, must be present at the meeting to present the proposal. We provide the name and address of each primary proponent below. We will promptly supply the number of shares of our Class A common stock or, if not available, the market value of our Class A common stock held by any proponent (including any co-filer(s)), upon oral or written request to the Secretary.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51</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12" w:right="33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 xml:space="preserve">All statements contained in the shareholder proposals and supporting statements are the sole responsibility of the proponents. Other than adding a brief title, we have included the text of each proposal and the shareholder’s supporting statement. Following each proposal, we explain why our Board recommends a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891540" cy="291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91540" cy="291465"/>
                    </a:xfrm>
                    <a:prstGeom prst="rect">
                      <a:avLst/>
                    </a:prstGeom>
                    <a:noFill/>
                  </pic:spPr>
                </pic:pic>
              </a:graphicData>
            </a:graphic>
          </wp:anchor>
        </w:drawing>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FFFFFF"/>
        </w:rPr>
        <w:t>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6172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Shareholder Proposal to Consider “CEO Pay Ratio Factor” in Executive Compensation</w:t>
      </w:r>
    </w:p>
    <w:p>
      <w:pPr>
        <w:spacing w:after="0" w:line="20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xml:space="preserve">Our Board unanimously recommends that shareholders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this shareholder proposal.</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proposal and supporting statement were submitted by Jing Zhao, 1745 Copperleaf Ct, Concord, CA 94519.</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00A0DD"/>
        </w:rPr>
        <w:t>Supporting Statement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Stockholder Proposal to Improve Executive Compensation Program</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Resolved: stockholders recommend that Comcast Corporation (our Company) improve the executive compensation program to include the CEO pay ratio factor.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Supporting Statement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Economic Policy Institute found that “from 1978–2023, top CEO compensation shot up 1,085%, compared with a 24% increase in a typical</w:t>
      </w:r>
    </w:p>
    <w:p>
      <w:pPr>
        <w:spacing w:after="0" w:line="22" w:lineRule="exact"/>
        <w:rPr>
          <w:sz w:val="20"/>
          <w:szCs w:val="20"/>
          <w:color w:val="auto"/>
        </w:rPr>
      </w:pPr>
    </w:p>
    <w:p>
      <w:pPr>
        <w:ind w:right="100"/>
        <w:spacing w:after="0" w:line="215" w:lineRule="auto"/>
        <w:rPr>
          <w:sz w:val="20"/>
          <w:szCs w:val="20"/>
          <w:color w:val="auto"/>
        </w:rPr>
      </w:pPr>
      <w:r>
        <w:rPr>
          <w:rFonts w:ascii="Arial" w:cs="Arial" w:eastAsia="Arial" w:hAnsi="Arial"/>
          <w:sz w:val="17"/>
          <w:szCs w:val="17"/>
          <w:color w:val="auto"/>
        </w:rPr>
        <w:t>worker’s compensation.”</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America’s ballooning executive compensation is not sustainable for the economy, and there is no rational methodology to decide the executive compensation, particularly because there is no consideration of the CEO pay ratio. The increase of disparity of income has a direct negative impact on American social disorder. The CEO pay ratios of big Japanese and European companies are about the same level of the CEO pay ratios of big American companies in the late 1970s and early 1980s.</w:t>
      </w:r>
    </w:p>
    <w:p>
      <w:pPr>
        <w:spacing w:after="0" w:line="184"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 xml:space="preserve">The American corporate boards and executives have become a class of oligarchy, as defined by Aristotle, according to his _ </w:t>
      </w:r>
      <w:r>
        <w:rPr>
          <w:rFonts w:ascii="Arial" w:cs="Arial" w:eastAsia="Arial" w:hAnsi="Arial"/>
          <w:sz w:val="17"/>
          <w:szCs w:val="17"/>
          <w:i w:val="1"/>
          <w:iCs w:val="1"/>
          <w:color w:val="auto"/>
        </w:rPr>
        <w:t>Politics</w:t>
      </w:r>
      <w:r>
        <w:rPr>
          <w:rFonts w:ascii="Arial" w:cs="Arial" w:eastAsia="Arial" w:hAnsi="Arial"/>
          <w:sz w:val="17"/>
          <w:szCs w:val="17"/>
          <w:color w:val="auto"/>
        </w:rPr>
        <w:t>_. In this great classic, Aristotle demonstrated that in a stable community (polis), the ratio of the rich citizen’s land to the poor citizen’s land should not be over 5 to</w:t>
      </w:r>
    </w:p>
    <w:p>
      <w:pPr>
        <w:spacing w:after="0" w:line="1" w:lineRule="exact"/>
        <w:rPr>
          <w:sz w:val="20"/>
          <w:szCs w:val="20"/>
          <w:color w:val="auto"/>
        </w:rPr>
      </w:pPr>
    </w:p>
    <w:p>
      <w:pPr>
        <w:ind w:right="20" w:firstLine="8"/>
        <w:spacing w:after="0"/>
        <w:tabs>
          <w:tab w:leader="none" w:pos="19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Our Company’s CEO pay ratio for 2023 is 398 to 1 (2024 Proxy Statement p.49), further increased from the very abnormally high 385 to 1 in 2022 (2023 Proxy Statement p.63). This is against the trend: shareholders in JPMorgan Chase &amp; Co., Intel, Netflix, Salesforce and other big companies rejected sky-high executive pay packages in 2022, 2023, and 2024.</w:t>
      </w:r>
    </w:p>
    <w:p>
      <w:pPr>
        <w:spacing w:after="0" w:line="18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Adam Smith said: “Wealth, as Mr. Hobbes says, is power.” As a social contract, the American public gives the corporate board the power and trust to run the corporate business without employee representation in the board; and the board is nominated and elected without any competition (the number of candidates is the same number of board seats). To increase the executive wealth (compensation) irrationally is to abuse the power and trust.</w:t>
      </w:r>
    </w:p>
    <w:p>
      <w:pPr>
        <w:spacing w:after="0" w:line="17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Human nature has not changed so much since Aristotle. The Company has the flexibility to reform the Compensation and Human Capital Committee to improve the executive compensation program, such as including the CEO pay ratio factor.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2" w:lineRule="exact"/>
        <w:rPr>
          <w:sz w:val="20"/>
          <w:szCs w:val="20"/>
          <w:color w:val="auto"/>
        </w:rPr>
      </w:pPr>
    </w:p>
    <w:p>
      <w:pPr>
        <w:ind w:left="220" w:hanging="212"/>
        <w:spacing w:after="0"/>
        <w:tabs>
          <w:tab w:leader="none" w:pos="220" w:val="left"/>
        </w:tabs>
        <w:numPr>
          <w:ilvl w:val="0"/>
          <w:numId w:val="102"/>
        </w:numPr>
        <w:rPr>
          <w:rFonts w:ascii="Arial" w:cs="Arial" w:eastAsia="Arial" w:hAnsi="Arial"/>
          <w:sz w:val="13"/>
          <w:szCs w:val="13"/>
          <w:i w:val="1"/>
          <w:iCs w:val="1"/>
          <w:color w:val="auto"/>
        </w:rPr>
      </w:pPr>
      <w:r>
        <w:rPr>
          <w:rFonts w:ascii="Arial" w:cs="Arial" w:eastAsia="Arial" w:hAnsi="Arial"/>
          <w:sz w:val="15"/>
          <w:szCs w:val="15"/>
          <w:i w:val="1"/>
          <w:iCs w:val="1"/>
          <w:color w:val="auto"/>
        </w:rPr>
        <w:t>By Josh Bivens, Elise Gould, and Jori Kandra, September 19, 2024.</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00A0DD"/>
        </w:rPr>
        <w:t>Company Response to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3284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28420"/>
                    </a:xfrm>
                    <a:prstGeom prst="rect">
                      <a:avLst/>
                    </a:prstGeom>
                    <a:noFill/>
                  </pic:spPr>
                </pic:pic>
              </a:graphicData>
            </a:graphic>
          </wp:anchor>
        </w:drawing>
      </w:r>
    </w:p>
    <w:p>
      <w:pPr>
        <w:spacing w:after="0" w:line="352"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Our Board unanimously recommends AGAINST this proposal for the following reasons:</w:t>
      </w:r>
    </w:p>
    <w:p>
      <w:pPr>
        <w:spacing w:after="0" w:line="61" w:lineRule="exact"/>
        <w:rPr>
          <w:sz w:val="20"/>
          <w:szCs w:val="20"/>
          <w:color w:val="auto"/>
        </w:rPr>
      </w:pPr>
    </w:p>
    <w:p>
      <w:pPr>
        <w:ind w:left="540" w:right="360" w:hanging="253"/>
        <w:spacing w:after="0" w:line="257" w:lineRule="auto"/>
        <w:tabs>
          <w:tab w:leader="none" w:pos="517" w:val="left"/>
        </w:tabs>
        <w:numPr>
          <w:ilvl w:val="0"/>
          <w:numId w:val="103"/>
        </w:numPr>
        <w:rPr>
          <w:rFonts w:ascii="Times New Roman" w:cs="Times New Roman" w:eastAsia="Times New Roman" w:hAnsi="Times New Roman"/>
          <w:sz w:val="17"/>
          <w:szCs w:val="17"/>
          <w:color w:val="00A0E0"/>
        </w:rPr>
      </w:pPr>
      <w:r>
        <w:rPr>
          <w:rFonts w:ascii="Arial" w:cs="Arial" w:eastAsia="Arial" w:hAnsi="Arial"/>
          <w:sz w:val="17"/>
          <w:szCs w:val="17"/>
          <w:color w:val="auto"/>
        </w:rPr>
        <w:t>Our Board believes that our Compensation Committee, which engages an independent compensation consultant to support its work, is in the best position to evaluate and determine the design and effectiveness of our executive compensation program based on factors relevant to our company.</w:t>
      </w:r>
    </w:p>
    <w:p>
      <w:pPr>
        <w:spacing w:after="0" w:line="32" w:lineRule="exact"/>
        <w:rPr>
          <w:rFonts w:ascii="Times New Roman" w:cs="Times New Roman" w:eastAsia="Times New Roman" w:hAnsi="Times New Roman"/>
          <w:sz w:val="17"/>
          <w:szCs w:val="17"/>
          <w:color w:val="00A0E0"/>
        </w:rPr>
      </w:pPr>
    </w:p>
    <w:p>
      <w:pPr>
        <w:ind w:left="540" w:right="440" w:hanging="253"/>
        <w:spacing w:after="0" w:line="281" w:lineRule="auto"/>
        <w:tabs>
          <w:tab w:leader="none" w:pos="517" w:val="left"/>
        </w:tabs>
        <w:numPr>
          <w:ilvl w:val="0"/>
          <w:numId w:val="103"/>
        </w:numPr>
        <w:rPr>
          <w:rFonts w:ascii="Times New Roman" w:cs="Times New Roman" w:eastAsia="Times New Roman" w:hAnsi="Times New Roman"/>
          <w:sz w:val="17"/>
          <w:szCs w:val="17"/>
          <w:color w:val="00A0E0"/>
        </w:rPr>
      </w:pPr>
      <w:r>
        <w:rPr>
          <w:rFonts w:ascii="Arial" w:cs="Arial" w:eastAsia="Arial" w:hAnsi="Arial"/>
          <w:sz w:val="17"/>
          <w:szCs w:val="17"/>
          <w:color w:val="auto"/>
        </w:rPr>
        <w:t>Through robust engagement with our long-term shareholders and annual say-on-pay votes, we have received strong affirmation that our compensation design meets shareholder expectations and we respond to broad shareholder feedback with design refinements.</w:t>
      </w:r>
    </w:p>
    <w:p>
      <w:pPr>
        <w:ind w:left="540" w:right="600" w:hanging="253"/>
        <w:spacing w:after="0" w:line="283" w:lineRule="auto"/>
        <w:tabs>
          <w:tab w:leader="none" w:pos="517" w:val="left"/>
        </w:tabs>
        <w:numPr>
          <w:ilvl w:val="0"/>
          <w:numId w:val="103"/>
        </w:numPr>
        <w:rPr>
          <w:rFonts w:ascii="Times New Roman" w:cs="Times New Roman" w:eastAsia="Times New Roman" w:hAnsi="Times New Roman"/>
          <w:sz w:val="17"/>
          <w:szCs w:val="17"/>
          <w:color w:val="00A0E0"/>
        </w:rPr>
      </w:pPr>
      <w:r>
        <w:rPr>
          <w:rFonts w:ascii="Arial" w:cs="Arial" w:eastAsia="Arial" w:hAnsi="Arial"/>
          <w:sz w:val="17"/>
          <w:szCs w:val="17"/>
          <w:color w:val="auto"/>
        </w:rPr>
        <w:t>While the proposal’s exact request is vague and unclear, the Compensation Committee does not believe that a “CEO pay ratio factor”, however defined, should define or guide the principles of our executive compensation program.</w:t>
      </w:r>
    </w:p>
    <w:p>
      <w:pPr>
        <w:spacing w:after="0" w:line="312" w:lineRule="exact"/>
        <w:rPr>
          <w:sz w:val="20"/>
          <w:szCs w:val="20"/>
          <w:color w:val="auto"/>
        </w:rPr>
      </w:pPr>
    </w:p>
    <w:p>
      <w:pPr>
        <w:ind w:left="400" w:hanging="392"/>
        <w:spacing w:after="0"/>
        <w:tabs>
          <w:tab w:leader="none" w:pos="400" w:val="left"/>
        </w:tabs>
        <w:numPr>
          <w:ilvl w:val="0"/>
          <w:numId w:val="10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7"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Our Board believes that our Compensation Committee is in the best position to evaluate and determine the design and effectiveness of our executive compensation program based on factors relevant to our company. The Compensation Committee’s work is grounded in the goal of aligning the compensation of our NEOs with our shareholders’ interests and our long-term strategic goals and to ensure that we pay for performance. This work is further informed with the support of an independent compensation consultant engaged by the Compensation Committee and through robust engagement with our shareholders, who have indicated strong support for our executive compensation program through annual say-on-pay advisory votes for the past three years.</w:t>
      </w:r>
    </w:p>
    <w:p>
      <w:pPr>
        <w:spacing w:after="0" w:line="18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The Compensation Committee reviews a range of data, including external market data and internal executive performance and company results, in developing an executive compensation program that attracts and retains talented and experienced individuals who think strategically for the long term, particularly in light of the challenging and evolving competitive, technological and regulatory environments in which we operate. See “Compensation Discussion and Analysis” on page 27 for more information on our executive compensation program.</w:t>
      </w:r>
    </w:p>
    <w:p>
      <w:pPr>
        <w:spacing w:after="0" w:line="177"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While the proposal’s exact request is vague and unclear, the Compensation Committee does not believe that a “CEO pay ratio factor”, however defined, should define or guide the principles of our executive compensation program. Assuming it refers to the ratio of our CEO’s compensation to our median employee’s compensation as required under SEC rules, the Compensation Committee further believes that the pay ratio would provide little to no decision-useful information due to inherent flaws in the methodologies required. For example, the ratio is based on all full-time, part-time, seasonal and temporary employees, without allowing for non-full-time employee compensation to be annualized, compares pay standards in over 30 countries, and lacks comparability across companies due to our uniquely diversified workforce composition.</w:t>
      </w:r>
    </w:p>
    <w:p>
      <w:pPr>
        <w:spacing w:after="0" w:line="18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Accordingly, a vague proposal to include the “CEO pay ratio factor” in our executive compensation program is unnecessary and would interfere with the ability of the Compensation Committee to design our compensation program in a manner that it believes is in the best interest of our company and shareholders.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reasons set forth above, our Board unanimously recommends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891540" cy="291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91540" cy="291465"/>
                    </a:xfrm>
                    <a:prstGeom prst="rect">
                      <a:avLst/>
                    </a:prstGeom>
                    <a:noFill/>
                  </pic:spPr>
                </pic:pic>
              </a:graphicData>
            </a:graphic>
          </wp:anchor>
        </w:drawing>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FFFFFF"/>
        </w:rPr>
        <w:t>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6172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Shareholder Proposal to Adopt Policy for an Independent Chair</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xml:space="preserve">Our Board unanimously recommends that shareholders vote </w:t>
      </w:r>
      <w:r>
        <w:rPr>
          <w:rFonts w:ascii="Times New Roman" w:cs="Times New Roman" w:eastAsia="Times New Roman" w:hAnsi="Times New Roman"/>
          <w:sz w:val="17"/>
          <w:szCs w:val="17"/>
          <w:b w:val="1"/>
          <w:bCs w:val="1"/>
          <w:color w:val="auto"/>
        </w:rPr>
        <w:t>“AGAINST”</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this shareholder proposal.</w:t>
      </w:r>
    </w:p>
    <w:p>
      <w:pPr>
        <w:spacing w:after="0" w:line="200" w:lineRule="exact"/>
        <w:rPr>
          <w:sz w:val="20"/>
          <w:szCs w:val="20"/>
          <w:color w:val="auto"/>
        </w:rPr>
      </w:pPr>
    </w:p>
    <w:p>
      <w:pPr>
        <w:spacing w:after="0" w:line="21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following proposal and supporting statement were submitted by the National Legal and Policy Center, 107 Park Washington Court, Falls Church, VA 22046.</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00A0E0"/>
        </w:rPr>
        <w:t>Supporting Statement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Request for Board of Directors to Adopt Policy for an Independent Chair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RESOLVED:</w:t>
      </w:r>
    </w:p>
    <w:p>
      <w:pPr>
        <w:spacing w:after="0" w:line="210" w:lineRule="exact"/>
        <w:rPr>
          <w:sz w:val="20"/>
          <w:szCs w:val="20"/>
          <w:color w:val="auto"/>
        </w:rPr>
      </w:pPr>
    </w:p>
    <w:p>
      <w:pPr>
        <w:jc w:val="both"/>
        <w:ind w:right="640"/>
        <w:spacing w:after="0" w:line="249" w:lineRule="auto"/>
        <w:rPr>
          <w:sz w:val="20"/>
          <w:szCs w:val="20"/>
          <w:color w:val="auto"/>
        </w:rPr>
      </w:pPr>
      <w:r>
        <w:rPr>
          <w:rFonts w:ascii="Arial" w:cs="Arial" w:eastAsia="Arial" w:hAnsi="Arial"/>
          <w:sz w:val="17"/>
          <w:szCs w:val="17"/>
          <w:color w:val="auto"/>
        </w:rPr>
        <w:t>Shareholders request the Board of Directors of Comcast Corporation (“Company”) adopt as policy, and amend the governing documents as necessary, to require hereafter that that two separate people hold the office of the Chairman of the Board (“Chair”) and the office of the Chief Executive Officer (“CEO”)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Selection of the Board Chair: </w:t>
      </w:r>
      <w:r>
        <w:rPr>
          <w:rFonts w:ascii="Arial" w:cs="Arial" w:eastAsia="Arial" w:hAnsi="Arial"/>
          <w:sz w:val="17"/>
          <w:szCs w:val="17"/>
          <w:color w:val="auto"/>
        </w:rPr>
        <w:t>The Board requires the separation of the offices of the Chair and the CEO</w:t>
      </w:r>
      <w:r>
        <w:rPr>
          <w:rFonts w:ascii="Arial" w:cs="Arial" w:eastAsia="Arial" w:hAnsi="Arial"/>
          <w:sz w:val="21"/>
          <w:szCs w:val="21"/>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Whenever possible, the Chair shall be an Independent Director.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Board may select a temporary Chair who is not an Independent Director to serve while the Board seeks an independent Chair.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Chair should not be a former CEO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Selection of the Chair shall be consistent with applicable law and existing contracts.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SUPPORTING STATEMENT:</w:t>
      </w:r>
    </w:p>
    <w:p>
      <w:pPr>
        <w:spacing w:after="0" w:line="210"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The Company’s CEO is also Board Chair. These roles — each with separate, different responsibilities that are critical to the health of a successful corporation — are greatly diminished when held by a singular company official, weakening its governance structure.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53</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6" w:right="33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Expert perspectives substantiate our position:</w:t>
      </w:r>
    </w:p>
    <w:p>
      <w:pPr>
        <w:spacing w:after="0" w:line="210" w:lineRule="exact"/>
        <w:rPr>
          <w:sz w:val="20"/>
          <w:szCs w:val="20"/>
          <w:color w:val="auto"/>
        </w:rPr>
      </w:pPr>
    </w:p>
    <w:p>
      <w:pPr>
        <w:ind w:left="260" w:hanging="252"/>
        <w:spacing w:after="0" w:line="236" w:lineRule="auto"/>
        <w:tabs>
          <w:tab w:leader="none" w:pos="260" w:val="left"/>
        </w:tabs>
        <w:numPr>
          <w:ilvl w:val="0"/>
          <w:numId w:val="105"/>
        </w:numPr>
        <w:rPr>
          <w:rFonts w:ascii="Arial" w:cs="Arial" w:eastAsia="Arial" w:hAnsi="Arial"/>
          <w:sz w:val="17"/>
          <w:szCs w:val="17"/>
          <w:color w:val="00A0DD"/>
        </w:rPr>
      </w:pPr>
      <w:r>
        <w:rPr>
          <w:rFonts w:ascii="Arial" w:cs="Arial" w:eastAsia="Arial" w:hAnsi="Arial"/>
          <w:sz w:val="17"/>
          <w:szCs w:val="17"/>
          <w:color w:val="auto"/>
        </w:rPr>
        <w:t>According to the CFA Institute Research and Policy Center, “Combining [Chair and CEO] positions may give undue influence to executive board members and impair the ability and willingness of board members to exercise their independent judgment... Many jurisdictions consider the separation of the Chair and CEO positions a best practice because it ensures that the board agenda is set by an independent voice uninfluenced by the CEO.”</w:t>
      </w:r>
      <w:r>
        <w:rPr>
          <w:rFonts w:ascii="Arial" w:cs="Arial" w:eastAsia="Arial" w:hAnsi="Arial"/>
          <w:sz w:val="28"/>
          <w:szCs w:val="28"/>
          <w:color w:val="auto"/>
          <w:vertAlign w:val="superscript"/>
        </w:rPr>
        <w:t>1</w:t>
      </w:r>
    </w:p>
    <w:p>
      <w:pPr>
        <w:ind w:left="260" w:right="140" w:hanging="252"/>
        <w:spacing w:after="0" w:line="231" w:lineRule="auto"/>
        <w:tabs>
          <w:tab w:leader="none" w:pos="260" w:val="left"/>
        </w:tabs>
        <w:numPr>
          <w:ilvl w:val="0"/>
          <w:numId w:val="105"/>
        </w:numPr>
        <w:rPr>
          <w:rFonts w:ascii="Arial" w:cs="Arial" w:eastAsia="Arial" w:hAnsi="Arial"/>
          <w:sz w:val="17"/>
          <w:szCs w:val="17"/>
          <w:color w:val="00A0DD"/>
        </w:rPr>
      </w:pPr>
      <w:r>
        <w:rPr>
          <w:rFonts w:ascii="Arial" w:cs="Arial" w:eastAsia="Arial" w:hAnsi="Arial"/>
          <w:sz w:val="17"/>
          <w:szCs w:val="17"/>
          <w:color w:val="auto"/>
        </w:rPr>
        <w:t xml:space="preserve">A pair of business law professors wrote for </w:t>
      </w:r>
      <w:r>
        <w:rPr>
          <w:rFonts w:ascii="Arial" w:cs="Arial" w:eastAsia="Arial" w:hAnsi="Arial"/>
          <w:sz w:val="17"/>
          <w:szCs w:val="17"/>
          <w:i w:val="1"/>
          <w:iCs w:val="1"/>
          <w:color w:val="auto"/>
        </w:rPr>
        <w:t>Harvard Business Review</w:t>
      </w:r>
      <w:r>
        <w:rPr>
          <w:rFonts w:ascii="Arial" w:cs="Arial" w:eastAsia="Arial" w:hAnsi="Arial"/>
          <w:sz w:val="17"/>
          <w:szCs w:val="17"/>
          <w:color w:val="auto"/>
        </w:rPr>
        <w:t xml:space="preserve"> that “letting the CEO chair the board can compromise board discussion quality, weakening the corporation’s risk management ability... Splitting the CEO and board Chair jobs between two people can help strengthen the quality of questions the corporation asks itself. When those questions remain weak, the organization is less likely to develop strategies that mitigate risk.”</w:t>
      </w:r>
      <w:r>
        <w:rPr>
          <w:rFonts w:ascii="Arial" w:cs="Arial" w:eastAsia="Arial" w:hAnsi="Arial"/>
          <w:sz w:val="28"/>
          <w:szCs w:val="28"/>
          <w:color w:val="auto"/>
          <w:vertAlign w:val="superscript"/>
        </w:rPr>
        <w:t>2</w:t>
      </w:r>
    </w:p>
    <w:p>
      <w:pPr>
        <w:spacing w:after="0" w:line="3" w:lineRule="exact"/>
        <w:rPr>
          <w:rFonts w:ascii="Arial" w:cs="Arial" w:eastAsia="Arial" w:hAnsi="Arial"/>
          <w:sz w:val="17"/>
          <w:szCs w:val="17"/>
          <w:color w:val="00A0DD"/>
        </w:rPr>
      </w:pPr>
    </w:p>
    <w:p>
      <w:pPr>
        <w:ind w:left="260" w:right="240" w:hanging="252"/>
        <w:spacing w:after="0" w:line="231" w:lineRule="auto"/>
        <w:tabs>
          <w:tab w:leader="none" w:pos="260" w:val="left"/>
        </w:tabs>
        <w:numPr>
          <w:ilvl w:val="0"/>
          <w:numId w:val="105"/>
        </w:numPr>
        <w:rPr>
          <w:rFonts w:ascii="Arial" w:cs="Arial" w:eastAsia="Arial" w:hAnsi="Arial"/>
          <w:sz w:val="17"/>
          <w:szCs w:val="17"/>
          <w:color w:val="00A0DD"/>
        </w:rPr>
      </w:pPr>
      <w:r>
        <w:rPr>
          <w:rFonts w:ascii="Arial" w:cs="Arial" w:eastAsia="Arial" w:hAnsi="Arial"/>
          <w:sz w:val="17"/>
          <w:szCs w:val="17"/>
          <w:color w:val="auto"/>
        </w:rPr>
        <w:t>Proxy adviser Glass Lewis wrote in 2021, “the presence of an independent Chair fosters the creation of a thoughtful and dynamic board not dominated by the views of senior management ... the separation of these two key roles eliminates the conflict of interest that inevitably occurs when a CEO is responsible for self-oversight.”</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Both Glass Lewis and ISS supported this same proposal at Goldman Sachs in 2024.</w:t>
      </w:r>
      <w:r>
        <w:rPr>
          <w:rFonts w:ascii="Arial" w:cs="Arial" w:eastAsia="Arial" w:hAnsi="Arial"/>
          <w:sz w:val="28"/>
          <w:szCs w:val="28"/>
          <w:color w:val="auto"/>
          <w:vertAlign w:val="superscript"/>
        </w:rPr>
        <w:t>4</w:t>
      </w:r>
    </w:p>
    <w:p>
      <w:pPr>
        <w:spacing w:after="0" w:line="2" w:lineRule="exact"/>
        <w:rPr>
          <w:rFonts w:ascii="Arial" w:cs="Arial" w:eastAsia="Arial" w:hAnsi="Arial"/>
          <w:sz w:val="17"/>
          <w:szCs w:val="17"/>
          <w:color w:val="00A0DD"/>
        </w:rPr>
      </w:pPr>
    </w:p>
    <w:p>
      <w:pPr>
        <w:ind w:left="260" w:right="640" w:hanging="252"/>
        <w:spacing w:after="0"/>
        <w:tabs>
          <w:tab w:leader="none" w:pos="260" w:val="left"/>
        </w:tabs>
        <w:numPr>
          <w:ilvl w:val="0"/>
          <w:numId w:val="105"/>
        </w:numPr>
        <w:rPr>
          <w:rFonts w:ascii="Arial" w:cs="Arial" w:eastAsia="Arial" w:hAnsi="Arial"/>
          <w:sz w:val="17"/>
          <w:szCs w:val="17"/>
          <w:color w:val="00A0DD"/>
        </w:rPr>
      </w:pPr>
      <w:r>
        <w:rPr>
          <w:rFonts w:ascii="Arial" w:cs="Arial" w:eastAsia="Arial" w:hAnsi="Arial"/>
          <w:sz w:val="17"/>
          <w:szCs w:val="17"/>
          <w:color w:val="auto"/>
        </w:rPr>
        <w:t>Of former CEOs serving as Chairs, CFA Institute says, “this arrangement could impair the board’s ability to act independently of undue management influence … Such a situation also increases the risk that the Chair may hamper efforts to undo the mistakes made as chief executive.”</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According to the 2022 Spencer Stuart Board Index survey, 51 percent of S&amp;P 500 companies had separate CEOs and Board Chairs in 2017, versus 57 percent in 2022.</w:t>
      </w:r>
      <w:r>
        <w:rPr>
          <w:rFonts w:ascii="Arial" w:cs="Arial" w:eastAsia="Arial" w:hAnsi="Arial"/>
          <w:sz w:val="28"/>
          <w:szCs w:val="28"/>
          <w:color w:val="auto"/>
          <w:vertAlign w:val="superscript"/>
        </w:rPr>
        <w:t>5</w:t>
      </w:r>
      <w:r>
        <w:rPr>
          <w:rFonts w:ascii="Arial" w:cs="Arial" w:eastAsia="Arial" w:hAnsi="Arial"/>
          <w:sz w:val="17"/>
          <w:szCs w:val="17"/>
          <w:color w:val="auto"/>
        </w:rPr>
        <w:t xml:space="preserve"> The growing separation of the CEO and Chair positions signifies the changing sentiment towards Chair independence.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2" w:lineRule="exact"/>
        <w:rPr>
          <w:sz w:val="20"/>
          <w:szCs w:val="20"/>
          <w:color w:val="auto"/>
        </w:rPr>
      </w:pPr>
    </w:p>
    <w:p>
      <w:pPr>
        <w:ind w:left="240" w:hanging="232"/>
        <w:spacing w:after="0"/>
        <w:tabs>
          <w:tab w:leader="none" w:pos="240" w:val="left"/>
        </w:tabs>
        <w:numPr>
          <w:ilvl w:val="0"/>
          <w:numId w:val="106"/>
        </w:numPr>
        <w:rPr>
          <w:rFonts w:ascii="Arial" w:cs="Arial" w:eastAsia="Arial" w:hAnsi="Arial"/>
          <w:sz w:val="13"/>
          <w:szCs w:val="13"/>
          <w:i w:val="1"/>
          <w:iCs w:val="1"/>
          <w:color w:val="auto"/>
        </w:rPr>
      </w:pPr>
      <w:r>
        <w:rPr>
          <w:rFonts w:ascii="Arial" w:cs="Arial" w:eastAsia="Arial" w:hAnsi="Arial"/>
          <w:sz w:val="15"/>
          <w:szCs w:val="15"/>
          <w:i w:val="1"/>
          <w:iCs w:val="1"/>
          <w:color w:val="auto"/>
        </w:rPr>
        <w:t>https://rpc.cfainstitute.org/-/rnedia/documents/article/position-paper/corporate-govemance-of-listed-companies-3rd-edition.pdf</w:t>
      </w:r>
    </w:p>
    <w:p>
      <w:pPr>
        <w:spacing w:after="0" w:line="3" w:lineRule="exact"/>
        <w:rPr>
          <w:rFonts w:ascii="Arial" w:cs="Arial" w:eastAsia="Arial" w:hAnsi="Arial"/>
          <w:sz w:val="13"/>
          <w:szCs w:val="13"/>
          <w:i w:val="1"/>
          <w:iCs w:val="1"/>
          <w:color w:val="auto"/>
        </w:rPr>
      </w:pPr>
    </w:p>
    <w:p>
      <w:pPr>
        <w:spacing w:after="0"/>
        <w:rPr>
          <w:rFonts w:ascii="Arial" w:cs="Arial" w:eastAsia="Arial" w:hAnsi="Arial"/>
          <w:sz w:val="13"/>
          <w:szCs w:val="13"/>
          <w:i w:val="1"/>
          <w:iCs w:val="1"/>
          <w:color w:val="auto"/>
        </w:rPr>
      </w:pPr>
      <w:r>
        <w:rPr>
          <w:rFonts w:ascii="Arial" w:cs="Arial" w:eastAsia="Arial" w:hAnsi="Arial"/>
          <w:sz w:val="14"/>
          <w:szCs w:val="14"/>
          <w:i w:val="1"/>
          <w:iCs w:val="1"/>
          <w:color w:val="auto"/>
        </w:rPr>
        <w:t xml:space="preserve">2  </w:t>
      </w:r>
      <w:r>
        <w:rPr>
          <w:rFonts w:ascii="Arial" w:cs="Arial" w:eastAsia="Arial" w:hAnsi="Arial"/>
          <w:sz w:val="15"/>
          <w:szCs w:val="15"/>
          <w:i w:val="1"/>
          <w:iCs w:val="1"/>
          <w:color w:val="auto"/>
        </w:rPr>
        <w:t>https://hbr.org/2020/03/why-the-ceo-shouldnt-also-be-the-board-chair</w:t>
      </w:r>
    </w:p>
    <w:p>
      <w:pPr>
        <w:spacing w:after="0" w:line="16" w:lineRule="exact"/>
        <w:rPr>
          <w:rFonts w:ascii="Arial" w:cs="Arial" w:eastAsia="Arial" w:hAnsi="Arial"/>
          <w:sz w:val="13"/>
          <w:szCs w:val="13"/>
          <w:i w:val="1"/>
          <w:iCs w:val="1"/>
          <w:color w:val="auto"/>
        </w:rPr>
      </w:pPr>
    </w:p>
    <w:p>
      <w:pPr>
        <w:jc w:val="both"/>
        <w:ind w:right="4880"/>
        <w:spacing w:after="0" w:line="281" w:lineRule="auto"/>
        <w:rPr>
          <w:rFonts w:ascii="Arial" w:cs="Arial" w:eastAsia="Arial" w:hAnsi="Arial"/>
          <w:sz w:val="13"/>
          <w:szCs w:val="13"/>
          <w:i w:val="1"/>
          <w:iCs w:val="1"/>
          <w:color w:val="auto"/>
        </w:rPr>
      </w:pPr>
      <w:r>
        <w:rPr>
          <w:rFonts w:ascii="Arial" w:cs="Arial" w:eastAsia="Arial" w:hAnsi="Arial"/>
          <w:sz w:val="14"/>
          <w:szCs w:val="14"/>
          <w:i w:val="1"/>
          <w:iCs w:val="1"/>
          <w:color w:val="auto"/>
        </w:rPr>
        <w:t xml:space="preserve">3 </w:t>
      </w:r>
      <w:r>
        <w:rPr>
          <w:rFonts w:ascii="Arial" w:cs="Arial" w:eastAsia="Arial" w:hAnsi="Arial"/>
          <w:sz w:val="15"/>
          <w:szCs w:val="15"/>
          <w:i w:val="1"/>
          <w:iCs w:val="1"/>
          <w:color w:val="auto"/>
        </w:rPr>
        <w:t>https://www.glasslewis.com/wp- content/uploads/2021/03/In-Depth-Independent-Chair.pdf</w:t>
      </w:r>
      <w:r>
        <w:rPr>
          <w:rFonts w:ascii="Arial" w:cs="Arial" w:eastAsia="Arial" w:hAnsi="Arial"/>
          <w:sz w:val="14"/>
          <w:szCs w:val="14"/>
          <w:i w:val="1"/>
          <w:iCs w:val="1"/>
          <w:color w:val="auto"/>
        </w:rPr>
        <w:t xml:space="preserve"> 4 </w:t>
      </w:r>
      <w:r>
        <w:rPr>
          <w:rFonts w:ascii="Arial" w:cs="Arial" w:eastAsia="Arial" w:hAnsi="Arial"/>
          <w:sz w:val="15"/>
          <w:szCs w:val="15"/>
          <w:i w:val="1"/>
          <w:iCs w:val="1"/>
          <w:color w:val="auto"/>
        </w:rPr>
        <w:t>https://www.barrons.com/articles/goldrnan-sachs-stock-bank-america-ceo-chair-f74a7b18</w:t>
      </w:r>
    </w:p>
    <w:p>
      <w:pPr>
        <w:spacing w:after="0" w:line="1" w:lineRule="exact"/>
        <w:rPr>
          <w:rFonts w:ascii="Arial" w:cs="Arial" w:eastAsia="Arial" w:hAnsi="Arial"/>
          <w:sz w:val="13"/>
          <w:szCs w:val="13"/>
          <w:i w:val="1"/>
          <w:iCs w:val="1"/>
          <w:color w:val="auto"/>
        </w:rPr>
      </w:pPr>
    </w:p>
    <w:p>
      <w:pPr>
        <w:spacing w:after="0"/>
        <w:rPr>
          <w:rFonts w:ascii="Arial" w:cs="Arial" w:eastAsia="Arial" w:hAnsi="Arial"/>
          <w:sz w:val="13"/>
          <w:szCs w:val="13"/>
          <w:i w:val="1"/>
          <w:iCs w:val="1"/>
          <w:color w:val="auto"/>
        </w:rPr>
      </w:pPr>
      <w:r>
        <w:rPr>
          <w:rFonts w:ascii="Arial" w:cs="Arial" w:eastAsia="Arial" w:hAnsi="Arial"/>
          <w:sz w:val="14"/>
          <w:szCs w:val="14"/>
          <w:i w:val="1"/>
          <w:iCs w:val="1"/>
          <w:color w:val="auto"/>
        </w:rPr>
        <w:t xml:space="preserve">5  </w:t>
      </w:r>
      <w:r>
        <w:rPr>
          <w:rFonts w:ascii="Arial" w:cs="Arial" w:eastAsia="Arial" w:hAnsi="Arial"/>
          <w:sz w:val="15"/>
          <w:szCs w:val="15"/>
          <w:i w:val="1"/>
          <w:iCs w:val="1"/>
          <w:color w:val="auto"/>
        </w:rPr>
        <w:t>https://www.spencerstuart.com/-/media/2022/october/ssbi2022/2022_us_spencerstuart_board_index_final.pdf</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00A0DD"/>
        </w:rPr>
        <w:t>Company Response to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3290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29055"/>
                    </a:xfrm>
                    <a:prstGeom prst="rect">
                      <a:avLst/>
                    </a:prstGeom>
                    <a:noFill/>
                  </pic:spPr>
                </pic:pic>
              </a:graphicData>
            </a:graphic>
          </wp:anchor>
        </w:drawing>
      </w:r>
    </w:p>
    <w:p>
      <w:pPr>
        <w:spacing w:after="0" w:line="352"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Our Board unanimously recommends AGAINST this proposal for the following reasons:</w:t>
      </w:r>
    </w:p>
    <w:p>
      <w:pPr>
        <w:spacing w:after="0" w:line="61" w:lineRule="exact"/>
        <w:rPr>
          <w:sz w:val="20"/>
          <w:szCs w:val="20"/>
          <w:color w:val="auto"/>
        </w:rPr>
      </w:pPr>
    </w:p>
    <w:p>
      <w:pPr>
        <w:ind w:left="540" w:right="260" w:hanging="253"/>
        <w:spacing w:after="0" w:line="257" w:lineRule="auto"/>
        <w:tabs>
          <w:tab w:leader="none" w:pos="517" w:val="left"/>
        </w:tabs>
        <w:numPr>
          <w:ilvl w:val="0"/>
          <w:numId w:val="107"/>
        </w:numPr>
        <w:rPr>
          <w:rFonts w:ascii="Times New Roman" w:cs="Times New Roman" w:eastAsia="Times New Roman" w:hAnsi="Times New Roman"/>
          <w:sz w:val="17"/>
          <w:szCs w:val="17"/>
          <w:color w:val="00A0E0"/>
        </w:rPr>
      </w:pPr>
      <w:r>
        <w:rPr>
          <w:rFonts w:ascii="Arial" w:cs="Arial" w:eastAsia="Arial" w:hAnsi="Arial"/>
          <w:sz w:val="17"/>
          <w:szCs w:val="17"/>
          <w:color w:val="auto"/>
        </w:rPr>
        <w:t>Our Board believes that shareholders are best served by maintaining the Board’s flexibility to separate or combine the offices of Chairman and CEO depending upon the best interests of our company at a given point in time rather than adopting an inflexible policy that could effectively constrain directors in exercising their fiduciary duties.</w:t>
      </w:r>
    </w:p>
    <w:p>
      <w:pPr>
        <w:spacing w:after="0" w:line="32" w:lineRule="exact"/>
        <w:rPr>
          <w:rFonts w:ascii="Times New Roman" w:cs="Times New Roman" w:eastAsia="Times New Roman" w:hAnsi="Times New Roman"/>
          <w:sz w:val="17"/>
          <w:szCs w:val="17"/>
          <w:color w:val="00A0E0"/>
        </w:rPr>
      </w:pPr>
    </w:p>
    <w:p>
      <w:pPr>
        <w:ind w:left="540" w:right="520" w:hanging="253"/>
        <w:spacing w:after="0" w:line="281" w:lineRule="auto"/>
        <w:tabs>
          <w:tab w:leader="none" w:pos="517" w:val="left"/>
        </w:tabs>
        <w:numPr>
          <w:ilvl w:val="0"/>
          <w:numId w:val="107"/>
        </w:numPr>
        <w:rPr>
          <w:rFonts w:ascii="Times New Roman" w:cs="Times New Roman" w:eastAsia="Times New Roman" w:hAnsi="Times New Roman"/>
          <w:sz w:val="17"/>
          <w:szCs w:val="17"/>
          <w:color w:val="00A0E0"/>
        </w:rPr>
      </w:pPr>
      <w:r>
        <w:rPr>
          <w:rFonts w:ascii="Arial" w:cs="Arial" w:eastAsia="Arial" w:hAnsi="Arial"/>
          <w:sz w:val="17"/>
          <w:szCs w:val="17"/>
          <w:color w:val="auto"/>
        </w:rPr>
        <w:t>Our Board believes that we and our shareholders are best served today by having Mr. Roberts serve as Chairman and CEO – working together with a strong Lead Independent Director.</w:t>
      </w:r>
    </w:p>
    <w:p>
      <w:pPr>
        <w:ind w:left="540" w:right="260" w:hanging="253"/>
        <w:spacing w:after="0" w:line="283" w:lineRule="auto"/>
        <w:tabs>
          <w:tab w:leader="none" w:pos="517" w:val="left"/>
        </w:tabs>
        <w:numPr>
          <w:ilvl w:val="0"/>
          <w:numId w:val="107"/>
        </w:numPr>
        <w:rPr>
          <w:rFonts w:ascii="Times New Roman" w:cs="Times New Roman" w:eastAsia="Times New Roman" w:hAnsi="Times New Roman"/>
          <w:sz w:val="17"/>
          <w:szCs w:val="17"/>
          <w:color w:val="00A0E0"/>
        </w:rPr>
      </w:pPr>
      <w:r>
        <w:rPr>
          <w:rFonts w:ascii="Arial" w:cs="Arial" w:eastAsia="Arial" w:hAnsi="Arial"/>
          <w:sz w:val="17"/>
          <w:szCs w:val="17"/>
          <w:color w:val="auto"/>
        </w:rPr>
        <w:t>Board independence and oversight of management are effectively maintained, and management plans are critically reviewed, through our existing governance structure and policies.</w:t>
      </w:r>
    </w:p>
    <w:p>
      <w:pPr>
        <w:spacing w:after="0" w:line="308"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Consistent with its fiduciary duties, our Board believes that our shareholders are best served by maintaining the flexibility for the Board to separate or combine the offices of Chairman and CEO depending upon the best interests of our company at a given point in time. To that end, our Governance Committee and Board regularly review our Board leadership structure to ensure that the most appropriate structure is in place considering a variety of factors. As such, our Board does not believe that the inflexible policy requested by the proposal would in any way enhance its independence or performance and, to the contrary, believes that adopting such a policy could effectively constrain directors in exercising their fiduciary duties.</w:t>
      </w:r>
    </w:p>
    <w:p>
      <w:pPr>
        <w:spacing w:after="0" w:line="18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Currently, our Board believes that we and our shareholders are best served by having Mr. Roberts serve as Chairman and CEO – working together with a strong Lead Independent Director. Mr. Roberts serves as an effective bridge between the Board and management and provides critical leadership for carrying out our strategic initiatives and confronting our challenges.</w:t>
      </w:r>
    </w:p>
    <w:p>
      <w:pPr>
        <w:spacing w:after="0" w:line="175"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Board independence and oversight of management are effectively maintained, and management plans are critically reviewed, as a result of the following:</w:t>
      </w:r>
    </w:p>
    <w:p>
      <w:pPr>
        <w:spacing w:after="0" w:line="159" w:lineRule="exact"/>
        <w:rPr>
          <w:sz w:val="20"/>
          <w:szCs w:val="20"/>
          <w:color w:val="auto"/>
        </w:rPr>
      </w:pPr>
    </w:p>
    <w:p>
      <w:pPr>
        <w:ind w:left="260" w:hanging="252"/>
        <w:spacing w:after="0"/>
        <w:tabs>
          <w:tab w:leader="none" w:pos="260" w:val="left"/>
        </w:tabs>
        <w:numPr>
          <w:ilvl w:val="0"/>
          <w:numId w:val="108"/>
        </w:numPr>
        <w:rPr>
          <w:rFonts w:ascii="Arial" w:cs="Arial" w:eastAsia="Arial" w:hAnsi="Arial"/>
          <w:sz w:val="17"/>
          <w:szCs w:val="17"/>
          <w:color w:val="00A0DD"/>
        </w:rPr>
      </w:pPr>
      <w:r>
        <w:rPr>
          <w:rFonts w:ascii="Arial" w:cs="Arial" w:eastAsia="Arial" w:hAnsi="Arial"/>
          <w:sz w:val="17"/>
          <w:szCs w:val="17"/>
          <w:color w:val="auto"/>
        </w:rPr>
        <w:t>All but one of our director nominees are independent.</w:t>
      </w:r>
    </w:p>
    <w:p>
      <w:pPr>
        <w:spacing w:after="0" w:line="61" w:lineRule="exact"/>
        <w:rPr>
          <w:rFonts w:ascii="Arial" w:cs="Arial" w:eastAsia="Arial" w:hAnsi="Arial"/>
          <w:sz w:val="17"/>
          <w:szCs w:val="17"/>
          <w:color w:val="00A0DD"/>
        </w:rPr>
      </w:pPr>
    </w:p>
    <w:p>
      <w:pPr>
        <w:ind w:left="260" w:hanging="252"/>
        <w:spacing w:after="0"/>
        <w:tabs>
          <w:tab w:leader="none" w:pos="260" w:val="left"/>
        </w:tabs>
        <w:numPr>
          <w:ilvl w:val="0"/>
          <w:numId w:val="108"/>
        </w:numPr>
        <w:rPr>
          <w:rFonts w:ascii="Arial" w:cs="Arial" w:eastAsia="Arial" w:hAnsi="Arial"/>
          <w:sz w:val="17"/>
          <w:szCs w:val="17"/>
          <w:color w:val="00A0DD"/>
        </w:rPr>
      </w:pPr>
      <w:r>
        <w:rPr>
          <w:rFonts w:ascii="Arial" w:cs="Arial" w:eastAsia="Arial" w:hAnsi="Arial"/>
          <w:sz w:val="17"/>
          <w:szCs w:val="17"/>
          <w:color w:val="auto"/>
        </w:rPr>
        <w:t>All Board-level committees – Audit, Compensation and Governance – are chaired by and composed entirely of independent directors.</w:t>
      </w:r>
    </w:p>
    <w:p>
      <w:pPr>
        <w:spacing w:after="0" w:line="281" w:lineRule="exact"/>
        <w:rPr>
          <w:sz w:val="20"/>
          <w:szCs w:val="20"/>
          <w:color w:val="auto"/>
        </w:rPr>
      </w:pPr>
    </w:p>
    <w:p>
      <w:pPr>
        <w:ind w:left="400" w:hanging="392"/>
        <w:spacing w:after="0"/>
        <w:tabs>
          <w:tab w:leader="none" w:pos="400" w:val="left"/>
        </w:tabs>
        <w:numPr>
          <w:ilvl w:val="0"/>
          <w:numId w:val="10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6" w:name="page57"/>
    <w:bookmarkEnd w:id="56"/>
    <w:p>
      <w:pPr>
        <w:spacing w:after="0"/>
        <w:rPr>
          <w:sz w:val="20"/>
          <w:szCs w:val="20"/>
          <w:color w:val="auto"/>
        </w:rPr>
      </w:pPr>
      <w:r>
        <w:rPr>
          <w:rFonts w:ascii="Arial" w:cs="Arial" w:eastAsia="Arial" w:hAnsi="Arial"/>
          <w:sz w:val="13"/>
          <w:szCs w:val="13"/>
          <w:u w:val="single" w:color="auto"/>
          <w:color w:val="0000EE"/>
        </w:rPr>
        <w:t>Table of Contents</w:t>
      </w:r>
    </w:p>
    <w:p>
      <w:pPr>
        <w:spacing w:after="0" w:line="197" w:lineRule="exact"/>
        <w:rPr>
          <w:sz w:val="20"/>
          <w:szCs w:val="20"/>
          <w:color w:val="auto"/>
        </w:rPr>
      </w:pPr>
    </w:p>
    <w:p>
      <w:pPr>
        <w:ind w:left="260" w:right="880" w:hanging="252"/>
        <w:spacing w:after="0" w:line="267" w:lineRule="auto"/>
        <w:tabs>
          <w:tab w:leader="none" w:pos="260" w:val="left"/>
        </w:tabs>
        <w:numPr>
          <w:ilvl w:val="0"/>
          <w:numId w:val="110"/>
        </w:numPr>
        <w:rPr>
          <w:rFonts w:ascii="Arial" w:cs="Arial" w:eastAsia="Arial" w:hAnsi="Arial"/>
          <w:sz w:val="17"/>
          <w:szCs w:val="17"/>
          <w:color w:val="00A0DD"/>
        </w:rPr>
      </w:pPr>
      <w:r>
        <w:rPr>
          <w:rFonts w:ascii="Arial" w:cs="Arial" w:eastAsia="Arial" w:hAnsi="Arial"/>
          <w:sz w:val="17"/>
          <w:szCs w:val="17"/>
          <w:color w:val="auto"/>
        </w:rPr>
        <w:t>Our Lead Independent Director, currently Mr. Breen, is appointed annually by the Board after being recommended by the Governance Committee. Among other things, our Lead Independent Director:</w:t>
      </w:r>
    </w:p>
    <w:p>
      <w:pPr>
        <w:spacing w:after="0" w:line="10" w:lineRule="exact"/>
        <w:rPr>
          <w:rFonts w:ascii="Arial" w:cs="Arial" w:eastAsia="Arial" w:hAnsi="Arial"/>
          <w:sz w:val="17"/>
          <w:szCs w:val="17"/>
          <w:color w:val="00A0DD"/>
        </w:rPr>
      </w:pPr>
    </w:p>
    <w:p>
      <w:pPr>
        <w:ind w:left="520" w:right="280" w:hanging="256"/>
        <w:spacing w:after="0" w:line="267" w:lineRule="auto"/>
        <w:tabs>
          <w:tab w:leader="none" w:pos="520" w:val="left"/>
        </w:tabs>
        <w:numPr>
          <w:ilvl w:val="1"/>
          <w:numId w:val="110"/>
        </w:numPr>
        <w:rPr>
          <w:rFonts w:ascii="Arial" w:cs="Arial" w:eastAsia="Arial" w:hAnsi="Arial"/>
          <w:sz w:val="17"/>
          <w:szCs w:val="17"/>
          <w:color w:val="00A0DD"/>
        </w:rPr>
      </w:pPr>
      <w:r>
        <w:rPr>
          <w:rFonts w:ascii="Arial" w:cs="Arial" w:eastAsia="Arial" w:hAnsi="Arial"/>
          <w:sz w:val="17"/>
          <w:szCs w:val="17"/>
          <w:color w:val="auto"/>
        </w:rPr>
        <w:t>Presides at meetings of the Board at which the Chairman is not present, including executive sessions of the independent directors that are held at almost all regularly scheduled Board meetings.</w:t>
      </w:r>
    </w:p>
    <w:p>
      <w:pPr>
        <w:spacing w:after="0" w:line="10" w:lineRule="exact"/>
        <w:rPr>
          <w:rFonts w:ascii="Arial" w:cs="Arial" w:eastAsia="Arial" w:hAnsi="Arial"/>
          <w:sz w:val="17"/>
          <w:szCs w:val="17"/>
          <w:color w:val="00A0DD"/>
        </w:rPr>
      </w:pPr>
    </w:p>
    <w:p>
      <w:pPr>
        <w:ind w:left="520" w:right="660" w:hanging="256"/>
        <w:spacing w:after="0" w:line="267" w:lineRule="auto"/>
        <w:tabs>
          <w:tab w:leader="none" w:pos="520" w:val="left"/>
        </w:tabs>
        <w:numPr>
          <w:ilvl w:val="1"/>
          <w:numId w:val="110"/>
        </w:numPr>
        <w:rPr>
          <w:rFonts w:ascii="Arial" w:cs="Arial" w:eastAsia="Arial" w:hAnsi="Arial"/>
          <w:sz w:val="17"/>
          <w:szCs w:val="17"/>
          <w:color w:val="00A0DD"/>
        </w:rPr>
      </w:pPr>
      <w:r>
        <w:rPr>
          <w:rFonts w:ascii="Arial" w:cs="Arial" w:eastAsia="Arial" w:hAnsi="Arial"/>
          <w:sz w:val="17"/>
          <w:szCs w:val="17"/>
          <w:color w:val="auto"/>
        </w:rPr>
        <w:t>Facilitates communication between the Chairman and the independent directors and encourages director participation by fostering an environment of open dialogue and constructive feedback.</w:t>
      </w:r>
    </w:p>
    <w:p>
      <w:pPr>
        <w:spacing w:after="0" w:line="10" w:lineRule="exact"/>
        <w:rPr>
          <w:rFonts w:ascii="Arial" w:cs="Arial" w:eastAsia="Arial" w:hAnsi="Arial"/>
          <w:sz w:val="17"/>
          <w:szCs w:val="17"/>
          <w:color w:val="00A0DD"/>
        </w:rPr>
      </w:pPr>
    </w:p>
    <w:p>
      <w:pPr>
        <w:ind w:left="520" w:right="860" w:hanging="256"/>
        <w:spacing w:after="0" w:line="267" w:lineRule="auto"/>
        <w:tabs>
          <w:tab w:leader="none" w:pos="520" w:val="left"/>
        </w:tabs>
        <w:numPr>
          <w:ilvl w:val="1"/>
          <w:numId w:val="110"/>
        </w:numPr>
        <w:rPr>
          <w:rFonts w:ascii="Arial" w:cs="Arial" w:eastAsia="Arial" w:hAnsi="Arial"/>
          <w:sz w:val="17"/>
          <w:szCs w:val="17"/>
          <w:color w:val="00A0DD"/>
        </w:rPr>
      </w:pPr>
      <w:r>
        <w:rPr>
          <w:rFonts w:ascii="Arial" w:cs="Arial" w:eastAsia="Arial" w:hAnsi="Arial"/>
          <w:sz w:val="17"/>
          <w:szCs w:val="17"/>
          <w:color w:val="auto"/>
        </w:rPr>
        <w:t>Communicates periodically as necessary between Board meetings and executive sessions with our independent directors and with management on topics of importance to our independent directors.</w:t>
      </w:r>
    </w:p>
    <w:p>
      <w:pPr>
        <w:spacing w:after="0" w:line="10" w:lineRule="exact"/>
        <w:rPr>
          <w:rFonts w:ascii="Arial" w:cs="Arial" w:eastAsia="Arial" w:hAnsi="Arial"/>
          <w:sz w:val="17"/>
          <w:szCs w:val="17"/>
          <w:color w:val="00A0DD"/>
        </w:rPr>
      </w:pPr>
    </w:p>
    <w:p>
      <w:pPr>
        <w:ind w:left="520" w:hanging="256"/>
        <w:spacing w:after="0"/>
        <w:tabs>
          <w:tab w:leader="none" w:pos="520" w:val="left"/>
        </w:tabs>
        <w:numPr>
          <w:ilvl w:val="1"/>
          <w:numId w:val="110"/>
        </w:numPr>
        <w:rPr>
          <w:rFonts w:ascii="Arial" w:cs="Arial" w:eastAsia="Arial" w:hAnsi="Arial"/>
          <w:sz w:val="17"/>
          <w:szCs w:val="17"/>
          <w:color w:val="00A0DD"/>
        </w:rPr>
      </w:pPr>
      <w:r>
        <w:rPr>
          <w:rFonts w:ascii="Arial" w:cs="Arial" w:eastAsia="Arial" w:hAnsi="Arial"/>
          <w:sz w:val="17"/>
          <w:szCs w:val="17"/>
          <w:color w:val="auto"/>
        </w:rPr>
        <w:t>Is authorized to schedule meetings of the independent directors, including executive sessions of the independent directors.</w:t>
      </w:r>
    </w:p>
    <w:p>
      <w:pPr>
        <w:spacing w:after="0" w:line="61" w:lineRule="exact"/>
        <w:rPr>
          <w:rFonts w:ascii="Arial" w:cs="Arial" w:eastAsia="Arial" w:hAnsi="Arial"/>
          <w:sz w:val="17"/>
          <w:szCs w:val="17"/>
          <w:color w:val="00A0DD"/>
        </w:rPr>
      </w:pPr>
    </w:p>
    <w:p>
      <w:pPr>
        <w:ind w:left="520" w:right="400" w:hanging="256"/>
        <w:spacing w:after="0" w:line="267" w:lineRule="auto"/>
        <w:tabs>
          <w:tab w:leader="none" w:pos="520" w:val="left"/>
        </w:tabs>
        <w:numPr>
          <w:ilvl w:val="1"/>
          <w:numId w:val="110"/>
        </w:numPr>
        <w:rPr>
          <w:rFonts w:ascii="Arial" w:cs="Arial" w:eastAsia="Arial" w:hAnsi="Arial"/>
          <w:sz w:val="17"/>
          <w:szCs w:val="17"/>
          <w:color w:val="00A0DD"/>
        </w:rPr>
      </w:pPr>
      <w:r>
        <w:rPr>
          <w:rFonts w:ascii="Arial" w:cs="Arial" w:eastAsia="Arial" w:hAnsi="Arial"/>
          <w:sz w:val="17"/>
          <w:szCs w:val="17"/>
          <w:color w:val="auto"/>
        </w:rPr>
        <w:t>Consults, reviews and has the opportunity to provide input on meeting agendas and meeting schedules for the Board, which may include matters relating to significant risks to our company.</w:t>
      </w:r>
    </w:p>
    <w:p>
      <w:pPr>
        <w:spacing w:after="0" w:line="10" w:lineRule="exact"/>
        <w:rPr>
          <w:rFonts w:ascii="Arial" w:cs="Arial" w:eastAsia="Arial" w:hAnsi="Arial"/>
          <w:sz w:val="17"/>
          <w:szCs w:val="17"/>
          <w:color w:val="00A0DD"/>
        </w:rPr>
      </w:pPr>
    </w:p>
    <w:p>
      <w:pPr>
        <w:ind w:left="520" w:hanging="256"/>
        <w:spacing w:after="0"/>
        <w:tabs>
          <w:tab w:leader="none" w:pos="520" w:val="left"/>
        </w:tabs>
        <w:numPr>
          <w:ilvl w:val="1"/>
          <w:numId w:val="110"/>
        </w:numPr>
        <w:rPr>
          <w:rFonts w:ascii="Arial" w:cs="Arial" w:eastAsia="Arial" w:hAnsi="Arial"/>
          <w:sz w:val="17"/>
          <w:szCs w:val="17"/>
          <w:color w:val="00A0DD"/>
        </w:rPr>
      </w:pPr>
      <w:r>
        <w:rPr>
          <w:rFonts w:ascii="Arial" w:cs="Arial" w:eastAsia="Arial" w:hAnsi="Arial"/>
          <w:sz w:val="17"/>
          <w:szCs w:val="17"/>
          <w:color w:val="auto"/>
        </w:rPr>
        <w:t>With the Compensation Committee, organizes the annual Board evaluation of the performance of our CEO and senior management.</w:t>
      </w:r>
    </w:p>
    <w:p>
      <w:pPr>
        <w:spacing w:after="0" w:line="61" w:lineRule="exact"/>
        <w:rPr>
          <w:rFonts w:ascii="Arial" w:cs="Arial" w:eastAsia="Arial" w:hAnsi="Arial"/>
          <w:sz w:val="17"/>
          <w:szCs w:val="17"/>
          <w:color w:val="00A0DD"/>
        </w:rPr>
      </w:pPr>
    </w:p>
    <w:p>
      <w:pPr>
        <w:ind w:left="520" w:hanging="256"/>
        <w:spacing w:after="0"/>
        <w:tabs>
          <w:tab w:leader="none" w:pos="520" w:val="left"/>
        </w:tabs>
        <w:numPr>
          <w:ilvl w:val="1"/>
          <w:numId w:val="110"/>
        </w:numPr>
        <w:rPr>
          <w:rFonts w:ascii="Arial" w:cs="Arial" w:eastAsia="Arial" w:hAnsi="Arial"/>
          <w:sz w:val="17"/>
          <w:szCs w:val="17"/>
          <w:color w:val="00A0DD"/>
        </w:rPr>
      </w:pPr>
      <w:r>
        <w:rPr>
          <w:rFonts w:ascii="Arial" w:cs="Arial" w:eastAsia="Arial" w:hAnsi="Arial"/>
          <w:sz w:val="17"/>
          <w:szCs w:val="17"/>
          <w:color w:val="auto"/>
        </w:rPr>
        <w:t>With the Governance Committee, reviews and approves the process for the annual self-assessment of our Board and its committees.</w:t>
      </w:r>
    </w:p>
    <w:p>
      <w:pPr>
        <w:spacing w:after="0" w:line="61" w:lineRule="exact"/>
        <w:rPr>
          <w:rFonts w:ascii="Arial" w:cs="Arial" w:eastAsia="Arial" w:hAnsi="Arial"/>
          <w:sz w:val="17"/>
          <w:szCs w:val="17"/>
          <w:color w:val="00A0DD"/>
        </w:rPr>
      </w:pPr>
    </w:p>
    <w:p>
      <w:pPr>
        <w:ind w:left="520" w:hanging="256"/>
        <w:spacing w:after="0"/>
        <w:tabs>
          <w:tab w:leader="none" w:pos="520" w:val="left"/>
        </w:tabs>
        <w:numPr>
          <w:ilvl w:val="1"/>
          <w:numId w:val="110"/>
        </w:numPr>
        <w:rPr>
          <w:rFonts w:ascii="Arial" w:cs="Arial" w:eastAsia="Arial" w:hAnsi="Arial"/>
          <w:sz w:val="17"/>
          <w:szCs w:val="17"/>
          <w:color w:val="00A0DD"/>
        </w:rPr>
      </w:pPr>
      <w:r>
        <w:rPr>
          <w:rFonts w:ascii="Arial" w:cs="Arial" w:eastAsia="Arial" w:hAnsi="Arial"/>
          <w:sz w:val="17"/>
          <w:szCs w:val="17"/>
          <w:color w:val="auto"/>
        </w:rPr>
        <w:t>Represents independent directors in communications with external constituencies, including significant shareholders, as appropriate.</w:t>
      </w:r>
    </w:p>
    <w:p>
      <w:pPr>
        <w:spacing w:after="0" w:line="61" w:lineRule="exact"/>
        <w:rPr>
          <w:rFonts w:ascii="Arial" w:cs="Arial" w:eastAsia="Arial" w:hAnsi="Arial"/>
          <w:sz w:val="17"/>
          <w:szCs w:val="17"/>
          <w:color w:val="00A0DD"/>
        </w:rPr>
      </w:pPr>
    </w:p>
    <w:p>
      <w:pPr>
        <w:ind w:left="260" w:hanging="252"/>
        <w:spacing w:after="0"/>
        <w:tabs>
          <w:tab w:leader="none" w:pos="260" w:val="left"/>
        </w:tabs>
        <w:numPr>
          <w:ilvl w:val="0"/>
          <w:numId w:val="110"/>
        </w:numPr>
        <w:rPr>
          <w:rFonts w:ascii="Arial" w:cs="Arial" w:eastAsia="Arial" w:hAnsi="Arial"/>
          <w:sz w:val="17"/>
          <w:szCs w:val="17"/>
          <w:color w:val="00A0DD"/>
        </w:rPr>
      </w:pPr>
      <w:r>
        <w:rPr>
          <w:rFonts w:ascii="Arial" w:cs="Arial" w:eastAsia="Arial" w:hAnsi="Arial"/>
          <w:sz w:val="17"/>
          <w:szCs w:val="17"/>
          <w:color w:val="auto"/>
        </w:rPr>
        <w:t>Our Board and Committees collectively exercise an appropriate level of risk oversight of our company, as described on page 18.</w:t>
      </w:r>
    </w:p>
    <w:p>
      <w:pPr>
        <w:spacing w:after="0" w:line="210"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Having an independent Chairman and separating the roles of Chairman and CEO are both minority practices among S&amp;P 100 companies. Additionally, our directors, including the Chairman, are bound by fiduciary obligations under law to act in a manner that they believe to be in our best interests and the best interests of our shareholders. Adopting a policy that mandates the separation of the offices of Chairman and CEO would not serve to augment this fiduciary duty.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reasons set forth above, our Board unanimously recommends AGAINST this proposal.</w:t>
      </w:r>
    </w:p>
    <w:p>
      <w:pPr>
        <w:spacing w:after="0" w:line="1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Information about Stock Ownership</w:t>
      </w: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00A0DD"/>
        </w:rPr>
        <w:t>Outstanding Shares and Voting Rights</w:t>
      </w:r>
    </w:p>
    <w:p>
      <w:pPr>
        <w:spacing w:after="0" w:line="232" w:lineRule="exact"/>
        <w:rPr>
          <w:sz w:val="20"/>
          <w:szCs w:val="20"/>
          <w:color w:val="auto"/>
        </w:rPr>
      </w:pPr>
    </w:p>
    <w:p>
      <w:pPr>
        <w:ind w:right="540"/>
        <w:spacing w:after="0" w:line="267" w:lineRule="auto"/>
        <w:rPr>
          <w:sz w:val="20"/>
          <w:szCs w:val="20"/>
          <w:color w:val="auto"/>
        </w:rPr>
      </w:pPr>
      <w:r>
        <w:rPr>
          <w:rFonts w:ascii="Arial" w:cs="Arial" w:eastAsia="Arial" w:hAnsi="Arial"/>
          <w:sz w:val="17"/>
          <w:szCs w:val="17"/>
          <w:color w:val="auto"/>
        </w:rPr>
        <w:t>At the close of business on April 8, 2025, the record date, we had outstanding 3,729,400,000 shares of Class A common stock and 9,444,375 shares of Class B common stock.</w:t>
      </w:r>
    </w:p>
    <w:p>
      <w:pPr>
        <w:spacing w:after="0" w:line="159"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On each matter to be voted on, the holders of Class A common stock and Class B common stock will vote together. As of the record date, each holder of Class A common stock is entitled to 0.07597 votes per share and each holder of Class B common stock is entitled to 15 votes per share.</w:t>
      </w:r>
    </w:p>
    <w:p>
      <w:pPr>
        <w:spacing w:after="0" w:line="159"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We must have a quorum to carry on the business of the annual meeting of shareholders. This means that, for each matter presented, shareholders entitled to cast a majority of the votes that all shareholders are entitled to cast on that matter must be represented at the meeting, either by proxy or by attending the meeting. If the meeting is adjourned for one or more periods aggregating at least five days due to the absence of a quorum, those shareholders who are entitled to vote and who attend the adjourned meeting, even though they do not constitute a quorum as described above, will constitute a quorum for the purpose of electing directors at such reconvened meeting. 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any matter described in this proxy statement other than the election of directors.</w:t>
      </w:r>
    </w:p>
    <w:p>
      <w:pPr>
        <w:spacing w:after="0" w:line="184"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The director candidates who receive the most votes will be elected to fill the available seats on our Board. Approval of the other proposals requires the favorable vote of a majority of the votes cast. Only votes for or against a proposal count for voting purposes on those proposals. Withheld votes in regard to the election of directors, abstentions and broker nonvotes count for quorum purposes, but have no effect on the outcome of the proposals. Broker nonvotes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55</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jc w:val="both"/>
        <w:ind w:right="500"/>
        <w:spacing w:after="0" w:line="249" w:lineRule="auto"/>
        <w:rPr>
          <w:sz w:val="20"/>
          <w:szCs w:val="20"/>
          <w:color w:val="auto"/>
        </w:rPr>
      </w:pPr>
      <w:r>
        <w:rPr>
          <w:rFonts w:ascii="Arial" w:cs="Arial" w:eastAsia="Arial" w:hAnsi="Arial"/>
          <w:sz w:val="17"/>
          <w:szCs w:val="17"/>
          <w:color w:val="auto"/>
        </w:rPr>
        <w:t>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ratifying the appointment of our independent auditors, but may not vote your shares on the election of directors or any of the other proposals.</w:t>
      </w:r>
    </w:p>
    <w:p>
      <w:pPr>
        <w:spacing w:after="0" w:line="163" w:lineRule="exact"/>
        <w:rPr>
          <w:sz w:val="20"/>
          <w:szCs w:val="20"/>
          <w:color w:val="auto"/>
        </w:rPr>
      </w:pPr>
    </w:p>
    <w:p>
      <w:pPr>
        <w:spacing w:after="0"/>
        <w:rPr>
          <w:sz w:val="20"/>
          <w:szCs w:val="20"/>
          <w:color w:val="auto"/>
        </w:rPr>
      </w:pPr>
      <w:r>
        <w:rPr>
          <w:rFonts w:ascii="Arial" w:cs="Arial" w:eastAsia="Arial" w:hAnsi="Arial"/>
          <w:sz w:val="29"/>
          <w:szCs w:val="29"/>
          <w:b w:val="1"/>
          <w:bCs w:val="1"/>
          <w:color w:val="00A0DD"/>
        </w:rPr>
        <w:t>Principal Shareholders</w:t>
      </w:r>
    </w:p>
    <w:p>
      <w:pPr>
        <w:spacing w:after="0" w:line="232" w:lineRule="exact"/>
        <w:rPr>
          <w:sz w:val="20"/>
          <w:szCs w:val="20"/>
          <w:color w:val="auto"/>
        </w:rPr>
      </w:pPr>
    </w:p>
    <w:p>
      <w:pPr>
        <w:ind w:right="540"/>
        <w:spacing w:after="0" w:line="267" w:lineRule="auto"/>
        <w:rPr>
          <w:sz w:val="20"/>
          <w:szCs w:val="20"/>
          <w:color w:val="auto"/>
        </w:rPr>
      </w:pPr>
      <w:r>
        <w:rPr>
          <w:rFonts w:ascii="Arial" w:cs="Arial" w:eastAsia="Arial" w:hAnsi="Arial"/>
          <w:sz w:val="17"/>
          <w:szCs w:val="17"/>
          <w:color w:val="auto"/>
        </w:rPr>
        <w:t>This table sets forth information as of December 31, 2024 about persons we know to beneficially own more than 5% of any class of our voting common stock.</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 OF VOTING CLASS</w:t>
            </w:r>
          </w:p>
        </w:tc>
        <w:tc>
          <w:tcPr>
            <w:tcW w:w="4980" w:type="dxa"/>
            <w:vAlign w:val="bottom"/>
            <w:vMerge w:val="restart"/>
          </w:tcPr>
          <w:p>
            <w:pPr>
              <w:ind w:left="1400"/>
              <w:spacing w:after="0"/>
              <w:rPr>
                <w:sz w:val="20"/>
                <w:szCs w:val="20"/>
                <w:color w:val="auto"/>
              </w:rPr>
            </w:pPr>
            <w:r>
              <w:rPr>
                <w:rFonts w:ascii="Arial" w:cs="Arial" w:eastAsia="Arial" w:hAnsi="Arial"/>
                <w:sz w:val="15"/>
                <w:szCs w:val="15"/>
                <w:b w:val="1"/>
                <w:bCs w:val="1"/>
                <w:color w:val="auto"/>
              </w:rPr>
              <w:t>NAME AND ADDRESS OF BENEFICIAL OWNER</w:t>
            </w:r>
          </w:p>
        </w:tc>
        <w:tc>
          <w:tcPr>
            <w:tcW w:w="1940" w:type="dxa"/>
            <w:vAlign w:val="bottom"/>
            <w:gridSpan w:val="2"/>
          </w:tcPr>
          <w:p>
            <w:pPr>
              <w:jc w:val="right"/>
              <w:ind w:right="36"/>
              <w:spacing w:after="0"/>
              <w:rPr>
                <w:sz w:val="20"/>
                <w:szCs w:val="20"/>
                <w:color w:val="auto"/>
              </w:rPr>
            </w:pPr>
            <w:r>
              <w:rPr>
                <w:rFonts w:ascii="Arial" w:cs="Arial" w:eastAsia="Arial" w:hAnsi="Arial"/>
                <w:sz w:val="15"/>
                <w:szCs w:val="15"/>
                <w:b w:val="1"/>
                <w:bCs w:val="1"/>
                <w:color w:val="auto"/>
              </w:rPr>
              <w:t>AMOUNT</w:t>
            </w:r>
          </w:p>
        </w:tc>
        <w:tc>
          <w:tcPr>
            <w:tcW w:w="960" w:type="dxa"/>
            <w:vAlign w:val="bottom"/>
          </w:tcPr>
          <w:p>
            <w:pPr>
              <w:jc w:val="right"/>
              <w:ind w:right="4"/>
              <w:spacing w:after="0"/>
              <w:rPr>
                <w:sz w:val="20"/>
                <w:szCs w:val="20"/>
                <w:color w:val="auto"/>
              </w:rPr>
            </w:pPr>
            <w:r>
              <w:rPr>
                <w:rFonts w:ascii="Arial" w:cs="Arial" w:eastAsia="Arial" w:hAnsi="Arial"/>
                <w:sz w:val="15"/>
                <w:szCs w:val="15"/>
                <w:b w:val="1"/>
                <w:bCs w:val="1"/>
                <w:color w:val="auto"/>
              </w:rPr>
              <w:t>PERCENT</w:t>
            </w:r>
          </w:p>
        </w:tc>
        <w:tc>
          <w:tcPr>
            <w:tcW w:w="0" w:type="dxa"/>
            <w:vAlign w:val="bottom"/>
          </w:tcPr>
          <w:p>
            <w:pPr>
              <w:spacing w:after="0"/>
              <w:rPr>
                <w:sz w:val="1"/>
                <w:szCs w:val="1"/>
                <w:color w:val="auto"/>
              </w:rPr>
            </w:pPr>
          </w:p>
        </w:tc>
      </w:tr>
      <w:tr>
        <w:trPr>
          <w:trHeight w:val="208"/>
        </w:trPr>
        <w:tc>
          <w:tcPr>
            <w:tcW w:w="3360" w:type="dxa"/>
            <w:vAlign w:val="bottom"/>
            <w:tcBorders>
              <w:bottom w:val="single" w:sz="8" w:color="auto"/>
            </w:tcBorders>
            <w:vMerge w:val="continue"/>
          </w:tcPr>
          <w:p>
            <w:pPr>
              <w:spacing w:after="0"/>
              <w:rPr>
                <w:sz w:val="18"/>
                <w:szCs w:val="18"/>
                <w:color w:val="auto"/>
              </w:rPr>
            </w:pPr>
          </w:p>
        </w:tc>
        <w:tc>
          <w:tcPr>
            <w:tcW w:w="4980" w:type="dxa"/>
            <w:vAlign w:val="bottom"/>
            <w:tcBorders>
              <w:bottom w:val="single" w:sz="8" w:color="auto"/>
            </w:tcBorders>
            <w:vMerge w:val="continue"/>
          </w:tcPr>
          <w:p>
            <w:pPr>
              <w:spacing w:after="0"/>
              <w:rPr>
                <w:sz w:val="18"/>
                <w:szCs w:val="18"/>
                <w:color w:val="auto"/>
              </w:rPr>
            </w:pPr>
          </w:p>
        </w:tc>
        <w:tc>
          <w:tcPr>
            <w:tcW w:w="194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5"/>
                <w:szCs w:val="15"/>
                <w:b w:val="1"/>
                <w:bCs w:val="1"/>
                <w:color w:val="auto"/>
              </w:rPr>
              <w:t>BENEFICIALLY OWNED</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OF CLASS</w:t>
            </w:r>
          </w:p>
        </w:tc>
        <w:tc>
          <w:tcPr>
            <w:tcW w:w="0" w:type="dxa"/>
            <w:vAlign w:val="bottom"/>
          </w:tcPr>
          <w:p>
            <w:pPr>
              <w:spacing w:after="0"/>
              <w:rPr>
                <w:sz w:val="1"/>
                <w:szCs w:val="1"/>
                <w:color w:val="auto"/>
              </w:rPr>
            </w:pPr>
          </w:p>
        </w:tc>
      </w:tr>
      <w:tr>
        <w:trPr>
          <w:trHeight w:val="196"/>
        </w:trPr>
        <w:tc>
          <w:tcPr>
            <w:tcW w:w="3360" w:type="dxa"/>
            <w:vAlign w:val="bottom"/>
          </w:tcPr>
          <w:p>
            <w:pPr>
              <w:ind w:left="80"/>
              <w:spacing w:after="0"/>
              <w:rPr>
                <w:sz w:val="20"/>
                <w:szCs w:val="20"/>
                <w:color w:val="auto"/>
              </w:rPr>
            </w:pPr>
            <w:r>
              <w:rPr>
                <w:rFonts w:ascii="Arial" w:cs="Arial" w:eastAsia="Arial" w:hAnsi="Arial"/>
                <w:sz w:val="15"/>
                <w:szCs w:val="15"/>
                <w:b w:val="1"/>
                <w:bCs w:val="1"/>
                <w:color w:val="auto"/>
              </w:rPr>
              <w:t>Class A common stock</w:t>
            </w:r>
          </w:p>
        </w:tc>
        <w:tc>
          <w:tcPr>
            <w:tcW w:w="4980" w:type="dxa"/>
            <w:vAlign w:val="bottom"/>
          </w:tcPr>
          <w:p>
            <w:pPr>
              <w:ind w:left="1400"/>
              <w:spacing w:after="0"/>
              <w:rPr>
                <w:sz w:val="20"/>
                <w:szCs w:val="20"/>
                <w:color w:val="auto"/>
              </w:rPr>
            </w:pPr>
            <w:r>
              <w:rPr>
                <w:rFonts w:ascii="Arial" w:cs="Arial" w:eastAsia="Arial" w:hAnsi="Arial"/>
                <w:sz w:val="15"/>
                <w:szCs w:val="15"/>
                <w:color w:val="auto"/>
              </w:rPr>
              <w:t>The Vanguard Group</w:t>
            </w:r>
          </w:p>
        </w:tc>
        <w:tc>
          <w:tcPr>
            <w:tcW w:w="1640" w:type="dxa"/>
            <w:vAlign w:val="bottom"/>
          </w:tcPr>
          <w:p>
            <w:pPr>
              <w:jc w:val="right"/>
              <w:spacing w:after="0"/>
              <w:rPr>
                <w:sz w:val="20"/>
                <w:szCs w:val="20"/>
                <w:color w:val="auto"/>
              </w:rPr>
            </w:pPr>
            <w:r>
              <w:rPr>
                <w:rFonts w:ascii="Arial" w:cs="Arial" w:eastAsia="Arial" w:hAnsi="Arial"/>
                <w:sz w:val="15"/>
                <w:szCs w:val="15"/>
                <w:color w:val="auto"/>
              </w:rPr>
              <w:t>378,000,220</w:t>
            </w:r>
          </w:p>
        </w:tc>
        <w:tc>
          <w:tcPr>
            <w:tcW w:w="30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75"/>
        </w:trPr>
        <w:tc>
          <w:tcPr>
            <w:tcW w:w="3360" w:type="dxa"/>
            <w:vAlign w:val="bottom"/>
            <w:tcBorders>
              <w:bottom w:val="single" w:sz="8" w:color="DCDDDE"/>
            </w:tcBorders>
          </w:tcPr>
          <w:p>
            <w:pPr>
              <w:spacing w:after="0"/>
              <w:rPr>
                <w:sz w:val="15"/>
                <w:szCs w:val="15"/>
                <w:color w:val="auto"/>
              </w:rPr>
            </w:pPr>
          </w:p>
        </w:tc>
        <w:tc>
          <w:tcPr>
            <w:tcW w:w="4980" w:type="dxa"/>
            <w:vAlign w:val="bottom"/>
            <w:tcBorders>
              <w:bottom w:val="single" w:sz="8" w:color="DCDDDE"/>
            </w:tcBorders>
          </w:tcPr>
          <w:p>
            <w:pPr>
              <w:ind w:left="1400"/>
              <w:spacing w:after="0"/>
              <w:rPr>
                <w:sz w:val="20"/>
                <w:szCs w:val="20"/>
                <w:color w:val="auto"/>
              </w:rPr>
            </w:pPr>
            <w:r>
              <w:rPr>
                <w:rFonts w:ascii="Arial" w:cs="Arial" w:eastAsia="Arial" w:hAnsi="Arial"/>
                <w:sz w:val="15"/>
                <w:szCs w:val="15"/>
                <w:color w:val="auto"/>
              </w:rPr>
              <w:t>100 Vanguard Blvd., Malvern, PA 19355</w:t>
            </w:r>
          </w:p>
        </w:tc>
        <w:tc>
          <w:tcPr>
            <w:tcW w:w="1640" w:type="dxa"/>
            <w:vAlign w:val="bottom"/>
            <w:tcBorders>
              <w:bottom w:val="single" w:sz="8" w:color="DCDDDE"/>
            </w:tcBorders>
          </w:tcPr>
          <w:p>
            <w:pPr>
              <w:spacing w:after="0"/>
              <w:rPr>
                <w:sz w:val="15"/>
                <w:szCs w:val="15"/>
                <w:color w:val="auto"/>
              </w:rPr>
            </w:pPr>
          </w:p>
        </w:tc>
        <w:tc>
          <w:tcPr>
            <w:tcW w:w="300" w:type="dxa"/>
            <w:vAlign w:val="bottom"/>
            <w:tcBorders>
              <w:bottom w:val="single" w:sz="8" w:color="DCDDDE"/>
            </w:tcBorders>
          </w:tcPr>
          <w:p>
            <w:pPr>
              <w:spacing w:after="0"/>
              <w:rPr>
                <w:sz w:val="15"/>
                <w:szCs w:val="15"/>
                <w:color w:val="auto"/>
              </w:rPr>
            </w:pPr>
          </w:p>
        </w:tc>
        <w:tc>
          <w:tcPr>
            <w:tcW w:w="960" w:type="dxa"/>
            <w:vAlign w:val="bottom"/>
            <w:tcBorders>
              <w:bottom w:val="single" w:sz="8" w:color="DCDDD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60" w:type="dxa"/>
            <w:vAlign w:val="bottom"/>
          </w:tcPr>
          <w:p>
            <w:pPr>
              <w:ind w:left="80"/>
              <w:spacing w:after="0"/>
              <w:rPr>
                <w:sz w:val="20"/>
                <w:szCs w:val="20"/>
                <w:color w:val="auto"/>
              </w:rPr>
            </w:pPr>
            <w:r>
              <w:rPr>
                <w:rFonts w:ascii="Arial" w:cs="Arial" w:eastAsia="Arial" w:hAnsi="Arial"/>
                <w:sz w:val="15"/>
                <w:szCs w:val="15"/>
                <w:b w:val="1"/>
                <w:bCs w:val="1"/>
                <w:color w:val="auto"/>
              </w:rPr>
              <w:t>Class A common stock</w:t>
            </w:r>
          </w:p>
        </w:tc>
        <w:tc>
          <w:tcPr>
            <w:tcW w:w="4980" w:type="dxa"/>
            <w:vAlign w:val="bottom"/>
          </w:tcPr>
          <w:p>
            <w:pPr>
              <w:ind w:left="1400"/>
              <w:spacing w:after="0"/>
              <w:rPr>
                <w:sz w:val="20"/>
                <w:szCs w:val="20"/>
                <w:color w:val="auto"/>
              </w:rPr>
            </w:pPr>
            <w:r>
              <w:rPr>
                <w:rFonts w:ascii="Arial" w:cs="Arial" w:eastAsia="Arial" w:hAnsi="Arial"/>
                <w:sz w:val="15"/>
                <w:szCs w:val="15"/>
                <w:color w:val="auto"/>
              </w:rPr>
              <w:t>BlackRock, Inc.</w:t>
            </w:r>
          </w:p>
        </w:tc>
        <w:tc>
          <w:tcPr>
            <w:tcW w:w="1640" w:type="dxa"/>
            <w:vAlign w:val="bottom"/>
          </w:tcPr>
          <w:p>
            <w:pPr>
              <w:jc w:val="right"/>
              <w:spacing w:after="0"/>
              <w:rPr>
                <w:sz w:val="20"/>
                <w:szCs w:val="20"/>
                <w:color w:val="auto"/>
              </w:rPr>
            </w:pPr>
            <w:r>
              <w:rPr>
                <w:rFonts w:ascii="Arial" w:cs="Arial" w:eastAsia="Arial" w:hAnsi="Arial"/>
                <w:sz w:val="15"/>
                <w:szCs w:val="15"/>
                <w:color w:val="auto"/>
              </w:rPr>
              <w:t>298,215,422</w:t>
            </w:r>
          </w:p>
        </w:tc>
        <w:tc>
          <w:tcPr>
            <w:tcW w:w="300" w:type="dxa"/>
            <w:vAlign w:val="bottom"/>
          </w:tcPr>
          <w:p>
            <w:pPr>
              <w:jc w:val="right"/>
              <w:ind w:right="36"/>
              <w:spacing w:after="0"/>
              <w:rPr>
                <w:sz w:val="20"/>
                <w:szCs w:val="20"/>
                <w:color w:val="auto"/>
              </w:rPr>
            </w:pPr>
            <w:r>
              <w:rPr>
                <w:rFonts w:ascii="Arial" w:cs="Arial" w:eastAsia="Arial" w:hAnsi="Arial"/>
                <w:sz w:val="13"/>
                <w:szCs w:val="13"/>
                <w:color w:val="auto"/>
              </w:rPr>
              <w:t>(2)</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76"/>
        </w:trPr>
        <w:tc>
          <w:tcPr>
            <w:tcW w:w="3360" w:type="dxa"/>
            <w:vAlign w:val="bottom"/>
            <w:tcBorders>
              <w:bottom w:val="single" w:sz="8" w:color="DCDDDE"/>
            </w:tcBorders>
          </w:tcPr>
          <w:p>
            <w:pPr>
              <w:spacing w:after="0"/>
              <w:rPr>
                <w:sz w:val="15"/>
                <w:szCs w:val="15"/>
                <w:color w:val="auto"/>
              </w:rPr>
            </w:pPr>
          </w:p>
        </w:tc>
        <w:tc>
          <w:tcPr>
            <w:tcW w:w="4980" w:type="dxa"/>
            <w:vAlign w:val="bottom"/>
            <w:tcBorders>
              <w:bottom w:val="single" w:sz="8" w:color="DCDDDE"/>
            </w:tcBorders>
          </w:tcPr>
          <w:p>
            <w:pPr>
              <w:ind w:left="1400"/>
              <w:spacing w:after="0"/>
              <w:rPr>
                <w:sz w:val="20"/>
                <w:szCs w:val="20"/>
                <w:color w:val="auto"/>
              </w:rPr>
            </w:pPr>
            <w:r>
              <w:rPr>
                <w:rFonts w:ascii="Arial" w:cs="Arial" w:eastAsia="Arial" w:hAnsi="Arial"/>
                <w:sz w:val="15"/>
                <w:szCs w:val="15"/>
                <w:color w:val="auto"/>
              </w:rPr>
              <w:t>55 East 52nd Street, New York, NY 10055</w:t>
            </w:r>
          </w:p>
        </w:tc>
        <w:tc>
          <w:tcPr>
            <w:tcW w:w="1640" w:type="dxa"/>
            <w:vAlign w:val="bottom"/>
            <w:tcBorders>
              <w:bottom w:val="single" w:sz="8" w:color="DCDDDE"/>
            </w:tcBorders>
          </w:tcPr>
          <w:p>
            <w:pPr>
              <w:spacing w:after="0"/>
              <w:rPr>
                <w:sz w:val="15"/>
                <w:szCs w:val="15"/>
                <w:color w:val="auto"/>
              </w:rPr>
            </w:pPr>
          </w:p>
        </w:tc>
        <w:tc>
          <w:tcPr>
            <w:tcW w:w="300" w:type="dxa"/>
            <w:vAlign w:val="bottom"/>
            <w:tcBorders>
              <w:bottom w:val="single" w:sz="8" w:color="DCDDDE"/>
            </w:tcBorders>
          </w:tcPr>
          <w:p>
            <w:pPr>
              <w:spacing w:after="0"/>
              <w:rPr>
                <w:sz w:val="15"/>
                <w:szCs w:val="15"/>
                <w:color w:val="auto"/>
              </w:rPr>
            </w:pPr>
          </w:p>
        </w:tc>
        <w:tc>
          <w:tcPr>
            <w:tcW w:w="960" w:type="dxa"/>
            <w:vAlign w:val="bottom"/>
            <w:tcBorders>
              <w:bottom w:val="single" w:sz="8" w:color="DCDDD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60" w:type="dxa"/>
            <w:vAlign w:val="bottom"/>
          </w:tcPr>
          <w:p>
            <w:pPr>
              <w:ind w:left="80"/>
              <w:spacing w:after="0"/>
              <w:rPr>
                <w:sz w:val="20"/>
                <w:szCs w:val="20"/>
                <w:color w:val="auto"/>
              </w:rPr>
            </w:pPr>
            <w:r>
              <w:rPr>
                <w:rFonts w:ascii="Arial" w:cs="Arial" w:eastAsia="Arial" w:hAnsi="Arial"/>
                <w:sz w:val="15"/>
                <w:szCs w:val="15"/>
                <w:b w:val="1"/>
                <w:bCs w:val="1"/>
                <w:color w:val="auto"/>
              </w:rPr>
              <w:t>Class B common stock</w:t>
            </w:r>
          </w:p>
        </w:tc>
        <w:tc>
          <w:tcPr>
            <w:tcW w:w="4980" w:type="dxa"/>
            <w:vAlign w:val="bottom"/>
          </w:tcPr>
          <w:p>
            <w:pPr>
              <w:ind w:left="1400"/>
              <w:spacing w:after="0"/>
              <w:rPr>
                <w:sz w:val="20"/>
                <w:szCs w:val="20"/>
                <w:color w:val="auto"/>
              </w:rPr>
            </w:pPr>
            <w:r>
              <w:rPr>
                <w:rFonts w:ascii="Arial" w:cs="Arial" w:eastAsia="Arial" w:hAnsi="Arial"/>
                <w:sz w:val="15"/>
                <w:szCs w:val="15"/>
                <w:color w:val="auto"/>
              </w:rPr>
              <w:t>Brian L. Roberts</w:t>
            </w:r>
          </w:p>
        </w:tc>
        <w:tc>
          <w:tcPr>
            <w:tcW w:w="1640" w:type="dxa"/>
            <w:vAlign w:val="bottom"/>
          </w:tcPr>
          <w:p>
            <w:pPr>
              <w:jc w:val="right"/>
              <w:spacing w:after="0"/>
              <w:rPr>
                <w:sz w:val="20"/>
                <w:szCs w:val="20"/>
                <w:color w:val="auto"/>
              </w:rPr>
            </w:pPr>
            <w:r>
              <w:rPr>
                <w:rFonts w:ascii="Arial" w:cs="Arial" w:eastAsia="Arial" w:hAnsi="Arial"/>
                <w:sz w:val="15"/>
                <w:szCs w:val="15"/>
                <w:color w:val="auto"/>
              </w:rPr>
              <w:t>9,444,375</w:t>
            </w:r>
          </w:p>
        </w:tc>
        <w:tc>
          <w:tcPr>
            <w:tcW w:w="300" w:type="dxa"/>
            <w:vAlign w:val="bottom"/>
          </w:tcPr>
          <w:p>
            <w:pPr>
              <w:jc w:val="right"/>
              <w:ind w:right="36"/>
              <w:spacing w:after="0"/>
              <w:rPr>
                <w:sz w:val="20"/>
                <w:szCs w:val="20"/>
                <w:color w:val="auto"/>
              </w:rPr>
            </w:pPr>
            <w:r>
              <w:rPr>
                <w:rFonts w:ascii="Arial" w:cs="Arial" w:eastAsia="Arial" w:hAnsi="Arial"/>
                <w:sz w:val="13"/>
                <w:szCs w:val="13"/>
                <w:color w:val="auto"/>
              </w:rPr>
              <w:t>(3)</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76"/>
        </w:trPr>
        <w:tc>
          <w:tcPr>
            <w:tcW w:w="3360" w:type="dxa"/>
            <w:vAlign w:val="bottom"/>
            <w:tcBorders>
              <w:bottom w:val="single" w:sz="8" w:color="auto"/>
            </w:tcBorders>
          </w:tcPr>
          <w:p>
            <w:pPr>
              <w:spacing w:after="0"/>
              <w:rPr>
                <w:sz w:val="15"/>
                <w:szCs w:val="15"/>
                <w:color w:val="auto"/>
              </w:rPr>
            </w:pPr>
          </w:p>
        </w:tc>
        <w:tc>
          <w:tcPr>
            <w:tcW w:w="4980" w:type="dxa"/>
            <w:vAlign w:val="bottom"/>
            <w:tcBorders>
              <w:bottom w:val="single" w:sz="8" w:color="auto"/>
            </w:tcBorders>
          </w:tcPr>
          <w:p>
            <w:pPr>
              <w:ind w:left="1400"/>
              <w:spacing w:after="0"/>
              <w:rPr>
                <w:sz w:val="20"/>
                <w:szCs w:val="20"/>
                <w:color w:val="auto"/>
              </w:rPr>
            </w:pPr>
            <w:r>
              <w:rPr>
                <w:rFonts w:ascii="Arial" w:cs="Arial" w:eastAsia="Arial" w:hAnsi="Arial"/>
                <w:sz w:val="15"/>
                <w:szCs w:val="15"/>
                <w:color w:val="auto"/>
              </w:rPr>
              <w:t>One Comcast Center, Philadelphia, PA 19103</w:t>
            </w:r>
          </w:p>
        </w:tc>
        <w:tc>
          <w:tcPr>
            <w:tcW w:w="1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20" w:right="300" w:hanging="312"/>
        <w:spacing w:after="0" w:line="244" w:lineRule="auto"/>
        <w:tabs>
          <w:tab w:leader="none" w:pos="320" w:val="left"/>
        </w:tabs>
        <w:numPr>
          <w:ilvl w:val="0"/>
          <w:numId w:val="111"/>
        </w:numPr>
        <w:rPr>
          <w:rFonts w:ascii="Arial" w:cs="Arial" w:eastAsia="Arial" w:hAnsi="Arial"/>
          <w:sz w:val="13"/>
          <w:szCs w:val="13"/>
          <w:color w:val="auto"/>
        </w:rPr>
      </w:pPr>
      <w:r>
        <w:rPr>
          <w:rFonts w:ascii="Arial" w:cs="Arial" w:eastAsia="Arial" w:hAnsi="Arial"/>
          <w:sz w:val="15"/>
          <w:szCs w:val="15"/>
          <w:color w:val="auto"/>
        </w:rPr>
        <w:t>This information is based upon a Schedule 13G/A filing with the SEC on February 13, 2024 made by The Vanguard Group setting forth information as of December 31, 2023. The Vanguard Group disclosed having shared voting power over 5,119,453 shares of our Class A common stock, sole dispositive power over 360,185,849 shares of our Class A common stock and shared dispositive power over 17,814,371 shares of our Class A common stock.</w:t>
      </w:r>
    </w:p>
    <w:p>
      <w:pPr>
        <w:spacing w:after="0" w:line="27" w:lineRule="exact"/>
        <w:rPr>
          <w:rFonts w:ascii="Arial" w:cs="Arial" w:eastAsia="Arial" w:hAnsi="Arial"/>
          <w:sz w:val="13"/>
          <w:szCs w:val="13"/>
          <w:color w:val="auto"/>
        </w:rPr>
      </w:pPr>
    </w:p>
    <w:p>
      <w:pPr>
        <w:ind w:left="320" w:right="20" w:hanging="312"/>
        <w:spacing w:after="0" w:line="244" w:lineRule="auto"/>
        <w:tabs>
          <w:tab w:leader="none" w:pos="320" w:val="left"/>
        </w:tabs>
        <w:numPr>
          <w:ilvl w:val="0"/>
          <w:numId w:val="111"/>
        </w:numPr>
        <w:rPr>
          <w:rFonts w:ascii="Arial" w:cs="Arial" w:eastAsia="Arial" w:hAnsi="Arial"/>
          <w:sz w:val="13"/>
          <w:szCs w:val="13"/>
          <w:color w:val="auto"/>
        </w:rPr>
      </w:pPr>
      <w:r>
        <w:rPr>
          <w:rFonts w:ascii="Arial" w:cs="Arial" w:eastAsia="Arial" w:hAnsi="Arial"/>
          <w:sz w:val="15"/>
          <w:szCs w:val="15"/>
          <w:color w:val="auto"/>
        </w:rPr>
        <w:t>This information is based upon a Schedule 13G/A filing with the SEC on February 13, 2024 made by BlackRock, Inc. setting forth information as of December 31, 2023. BlackRock, Inc. disclosed having sole voting power over 267,562,663 shares of our Class A common stock and sole dispositive power over 298,215,422 shares of our Class A common stock.</w:t>
      </w:r>
    </w:p>
    <w:p>
      <w:pPr>
        <w:spacing w:after="0" w:line="27" w:lineRule="exact"/>
        <w:rPr>
          <w:rFonts w:ascii="Arial" w:cs="Arial" w:eastAsia="Arial" w:hAnsi="Arial"/>
          <w:sz w:val="13"/>
          <w:szCs w:val="13"/>
          <w:color w:val="auto"/>
        </w:rPr>
      </w:pPr>
    </w:p>
    <w:p>
      <w:pPr>
        <w:ind w:left="320" w:right="100" w:hanging="312"/>
        <w:spacing w:after="0" w:line="236" w:lineRule="auto"/>
        <w:tabs>
          <w:tab w:leader="none" w:pos="320" w:val="left"/>
        </w:tabs>
        <w:numPr>
          <w:ilvl w:val="0"/>
          <w:numId w:val="111"/>
        </w:numPr>
        <w:rPr>
          <w:rFonts w:ascii="Arial" w:cs="Arial" w:eastAsia="Arial" w:hAnsi="Arial"/>
          <w:sz w:val="13"/>
          <w:szCs w:val="13"/>
          <w:color w:val="auto"/>
        </w:rPr>
      </w:pPr>
      <w:r>
        <w:rPr>
          <w:rFonts w:ascii="Arial" w:cs="Arial" w:eastAsia="Arial" w:hAnsi="Arial"/>
          <w:sz w:val="15"/>
          <w:szCs w:val="15"/>
          <w:color w:val="auto"/>
        </w:rPr>
        <w:t>Includes 9,444,375 shares of Class B common stock owned by a limited liability company of which Mr. Roberts is the managing member. The shares of Class B common stock beneficially owned by Mr. Roberts represent 33 1/3% of the combined voting power of the two classes of our voting common stock, which percentage is generally non-dilutable under the terms of our articles of incorporation. Under our articles of incorporation, each share of Class B common stock is convertible at the shareholder’s option into a share of Class A common stock. For information regarding Mr. Roberts’ beneficial ownership of Class A common stock, see the table immediately below, “Security Ownership of Directors and Executive Officers.”</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00A0DD"/>
        </w:rPr>
        <w:t>Security Ownership of Directors and Executive Officers</w:t>
      </w:r>
    </w:p>
    <w:p>
      <w:pPr>
        <w:spacing w:after="0" w:line="232" w:lineRule="exact"/>
        <w:rPr>
          <w:sz w:val="20"/>
          <w:szCs w:val="20"/>
          <w:color w:val="auto"/>
        </w:rPr>
      </w:pPr>
    </w:p>
    <w:p>
      <w:pPr>
        <w:ind w:right="340"/>
        <w:spacing w:after="0" w:line="244" w:lineRule="auto"/>
        <w:rPr>
          <w:sz w:val="20"/>
          <w:szCs w:val="20"/>
          <w:color w:val="auto"/>
        </w:rPr>
      </w:pPr>
      <w:r>
        <w:rPr>
          <w:rFonts w:ascii="Arial" w:cs="Arial" w:eastAsia="Arial" w:hAnsi="Arial"/>
          <w:sz w:val="17"/>
          <w:szCs w:val="17"/>
          <w:color w:val="auto"/>
        </w:rPr>
        <w:t>This table sets forth information about the amount of common stock beneficially owned by (i) our current directors (all of whom are also director nominees), (ii) the NEOs listed in “Executive Compensation Tables – Summary Compensation Table” and (iii) our current directors and executive officers as a group. No shares of common stock held by our directors or executive officers are held in margin accounts or have been hedged or pledged.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60" w:type="dxa"/>
            <w:vAlign w:val="bottom"/>
          </w:tcPr>
          <w:p>
            <w:pPr>
              <w:spacing w:after="0"/>
              <w:rPr>
                <w:sz w:val="15"/>
                <w:szCs w:val="15"/>
                <w:color w:val="auto"/>
              </w:rPr>
            </w:pPr>
          </w:p>
        </w:tc>
        <w:tc>
          <w:tcPr>
            <w:tcW w:w="2000" w:type="dxa"/>
            <w:vAlign w:val="bottom"/>
            <w:gridSpan w:val="3"/>
          </w:tcPr>
          <w:p>
            <w:pPr>
              <w:jc w:val="right"/>
              <w:spacing w:after="0"/>
              <w:rPr>
                <w:sz w:val="20"/>
                <w:szCs w:val="20"/>
                <w:color w:val="auto"/>
              </w:rPr>
            </w:pPr>
            <w:r>
              <w:rPr>
                <w:rFonts w:ascii="Arial" w:cs="Arial" w:eastAsia="Arial" w:hAnsi="Arial"/>
                <w:sz w:val="15"/>
                <w:szCs w:val="15"/>
                <w:b w:val="1"/>
                <w:bCs w:val="1"/>
                <w:color w:val="auto"/>
              </w:rPr>
              <w:t>AMOUNT BENEFICIALLY</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5"/>
        </w:trPr>
        <w:tc>
          <w:tcPr>
            <w:tcW w:w="7060" w:type="dxa"/>
            <w:vAlign w:val="bottom"/>
          </w:tcPr>
          <w:p>
            <w:pPr>
              <w:spacing w:after="0"/>
              <w:rPr>
                <w:sz w:val="20"/>
                <w:szCs w:val="20"/>
                <w:color w:val="auto"/>
              </w:rPr>
            </w:pPr>
          </w:p>
        </w:tc>
        <w:tc>
          <w:tcPr>
            <w:tcW w:w="2000" w:type="dxa"/>
            <w:vAlign w:val="bottom"/>
            <w:tcBorders>
              <w:bottom w:val="single" w:sz="8" w:color="auto"/>
            </w:tcBorders>
            <w:gridSpan w:val="3"/>
          </w:tcPr>
          <w:p>
            <w:pPr>
              <w:jc w:val="right"/>
              <w:ind w:right="484"/>
              <w:spacing w:after="0" w:line="235" w:lineRule="exact"/>
              <w:rPr>
                <w:sz w:val="20"/>
                <w:szCs w:val="20"/>
                <w:color w:val="auto"/>
              </w:rPr>
            </w:pPr>
            <w:r>
              <w:rPr>
                <w:rFonts w:ascii="Arial" w:cs="Arial" w:eastAsia="Arial" w:hAnsi="Arial"/>
                <w:sz w:val="15"/>
                <w:szCs w:val="15"/>
                <w:b w:val="1"/>
                <w:bCs w:val="1"/>
                <w:color w:val="auto"/>
              </w:rPr>
              <w:t>OWNED</w:t>
            </w:r>
            <w:r>
              <w:rPr>
                <w:rFonts w:ascii="Arial" w:cs="Arial" w:eastAsia="Arial" w:hAnsi="Arial"/>
                <w:sz w:val="25"/>
                <w:szCs w:val="25"/>
                <w:b w:val="1"/>
                <w:bCs w:val="1"/>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5"/>
                <w:szCs w:val="15"/>
                <w:b w:val="1"/>
                <w:bCs w:val="1"/>
                <w:color w:val="auto"/>
              </w:rPr>
              <w:t>PERCENT OF CLASS</w:t>
            </w:r>
          </w:p>
        </w:tc>
      </w:tr>
      <w:tr>
        <w:trPr>
          <w:trHeight w:val="250"/>
        </w:trPr>
        <w:tc>
          <w:tcPr>
            <w:tcW w:w="70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NAME OF BENEFICIAL OWNER</w:t>
            </w:r>
          </w:p>
        </w:tc>
        <w:tc>
          <w:tcPr>
            <w:tcW w:w="1120" w:type="dxa"/>
            <w:vAlign w:val="bottom"/>
            <w:tcBorders>
              <w:bottom w:val="single" w:sz="8" w:color="auto"/>
            </w:tcBorders>
            <w:gridSpan w:val="2"/>
          </w:tcPr>
          <w:p>
            <w:pPr>
              <w:jc w:val="right"/>
              <w:ind w:right="56"/>
              <w:spacing w:after="0" w:line="250" w:lineRule="exact"/>
              <w:rPr>
                <w:sz w:val="20"/>
                <w:szCs w:val="20"/>
                <w:color w:val="auto"/>
              </w:rPr>
            </w:pPr>
            <w:r>
              <w:rPr>
                <w:rFonts w:ascii="Arial" w:cs="Arial" w:eastAsia="Arial" w:hAnsi="Arial"/>
                <w:sz w:val="15"/>
                <w:szCs w:val="15"/>
                <w:b w:val="1"/>
                <w:bCs w:val="1"/>
                <w:color w:val="auto"/>
              </w:rPr>
              <w:t>CLASS A</w:t>
            </w:r>
            <w:r>
              <w:rPr>
                <w:rFonts w:ascii="Arial" w:cs="Arial" w:eastAsia="Arial" w:hAnsi="Arial"/>
                <w:sz w:val="25"/>
                <w:szCs w:val="25"/>
                <w:b w:val="1"/>
                <w:bCs w:val="1"/>
                <w:color w:val="auto"/>
                <w:vertAlign w:val="superscript"/>
              </w:rPr>
              <w:t>(2)</w:t>
            </w:r>
          </w:p>
        </w:tc>
        <w:tc>
          <w:tcPr>
            <w:tcW w:w="12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5"/>
                <w:szCs w:val="15"/>
                <w:b w:val="1"/>
                <w:bCs w:val="1"/>
                <w:color w:val="auto"/>
              </w:rPr>
              <w:t>CLASS B</w:t>
            </w:r>
          </w:p>
        </w:tc>
        <w:tc>
          <w:tcPr>
            <w:tcW w:w="940" w:type="dxa"/>
            <w:vAlign w:val="bottom"/>
            <w:tcBorders>
              <w:bottom w:val="single" w:sz="8" w:color="auto"/>
            </w:tcBorders>
          </w:tcPr>
          <w:p>
            <w:pPr>
              <w:jc w:val="right"/>
              <w:ind w:right="44"/>
              <w:spacing w:after="0" w:line="250" w:lineRule="exact"/>
              <w:rPr>
                <w:sz w:val="20"/>
                <w:szCs w:val="20"/>
                <w:color w:val="auto"/>
              </w:rPr>
            </w:pPr>
            <w:r>
              <w:rPr>
                <w:rFonts w:ascii="Arial" w:cs="Arial" w:eastAsia="Arial" w:hAnsi="Arial"/>
                <w:sz w:val="15"/>
                <w:szCs w:val="15"/>
                <w:b w:val="1"/>
                <w:bCs w:val="1"/>
                <w:color w:val="auto"/>
                <w:w w:val="92"/>
              </w:rPr>
              <w:t>CLASS A</w:t>
            </w:r>
            <w:r>
              <w:rPr>
                <w:rFonts w:ascii="Arial" w:cs="Arial" w:eastAsia="Arial" w:hAnsi="Arial"/>
                <w:sz w:val="25"/>
                <w:szCs w:val="25"/>
                <w:b w:val="1"/>
                <w:bCs w:val="1"/>
                <w:color w:val="auto"/>
                <w:w w:val="92"/>
                <w:vertAlign w:val="superscript"/>
              </w:rPr>
              <w:t>(2)</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CLASS B</w:t>
            </w:r>
          </w:p>
        </w:tc>
      </w:tr>
      <w:tr>
        <w:trPr>
          <w:trHeight w:val="210"/>
        </w:trPr>
        <w:tc>
          <w:tcPr>
            <w:tcW w:w="70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Jason S. Armstrong</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5"/>
                <w:szCs w:val="15"/>
                <w:color w:val="auto"/>
              </w:rPr>
              <w:t>596,756</w:t>
            </w:r>
          </w:p>
        </w:tc>
        <w:tc>
          <w:tcPr>
            <w:tcW w:w="320" w:type="dxa"/>
            <w:vAlign w:val="bottom"/>
            <w:tcBorders>
              <w:bottom w:val="single" w:sz="8" w:color="DCDDDE"/>
            </w:tcBorders>
          </w:tcPr>
          <w:p>
            <w:pPr>
              <w:spacing w:after="0"/>
              <w:rPr>
                <w:sz w:val="18"/>
                <w:szCs w:val="18"/>
                <w:color w:val="auto"/>
              </w:rPr>
            </w:pPr>
          </w:p>
        </w:tc>
        <w:tc>
          <w:tcPr>
            <w:tcW w:w="8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DCDDDE"/>
            </w:tcBorders>
          </w:tcPr>
          <w:p>
            <w:pPr>
              <w:spacing w:after="0"/>
              <w:rPr>
                <w:sz w:val="18"/>
                <w:szCs w:val="18"/>
                <w:color w:val="auto"/>
              </w:rPr>
            </w:pPr>
          </w:p>
        </w:tc>
        <w:tc>
          <w:tcPr>
            <w:tcW w:w="220" w:type="dxa"/>
            <w:vAlign w:val="bottom"/>
            <w:tcBorders>
              <w:bottom w:val="single" w:sz="8" w:color="DCDDDE"/>
            </w:tcBorders>
          </w:tcPr>
          <w:p>
            <w:pPr>
              <w:spacing w:after="0"/>
              <w:rPr>
                <w:sz w:val="18"/>
                <w:szCs w:val="18"/>
                <w:color w:val="auto"/>
              </w:rPr>
            </w:pPr>
          </w:p>
        </w:tc>
        <w:tc>
          <w:tcPr>
            <w:tcW w:w="94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DCDDDE"/>
            </w:tcBorders>
          </w:tcPr>
          <w:p>
            <w:pPr>
              <w:jc w:val="right"/>
              <w:ind w:right="424"/>
              <w:spacing w:after="0"/>
              <w:rPr>
                <w:sz w:val="20"/>
                <w:szCs w:val="20"/>
                <w:color w:val="auto"/>
              </w:rPr>
            </w:pPr>
            <w:r>
              <w:rPr>
                <w:rFonts w:ascii="Arial" w:cs="Arial" w:eastAsia="Arial" w:hAnsi="Arial"/>
                <w:sz w:val="15"/>
                <w:szCs w:val="15"/>
                <w:color w:val="auto"/>
              </w:rPr>
              <w:t>—</w:t>
            </w:r>
          </w:p>
        </w:tc>
      </w:tr>
      <w:tr>
        <w:trPr>
          <w:trHeight w:val="210"/>
        </w:trPr>
        <w:tc>
          <w:tcPr>
            <w:tcW w:w="70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Kenneth J. Bacon</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5"/>
                <w:szCs w:val="15"/>
                <w:color w:val="auto"/>
              </w:rPr>
              <w:t>32,735</w:t>
            </w:r>
          </w:p>
        </w:tc>
        <w:tc>
          <w:tcPr>
            <w:tcW w:w="320" w:type="dxa"/>
            <w:vAlign w:val="bottom"/>
            <w:tcBorders>
              <w:bottom w:val="single" w:sz="8" w:color="DCDDDE"/>
            </w:tcBorders>
          </w:tcPr>
          <w:p>
            <w:pPr>
              <w:spacing w:after="0"/>
              <w:rPr>
                <w:sz w:val="18"/>
                <w:szCs w:val="18"/>
                <w:color w:val="auto"/>
              </w:rPr>
            </w:pPr>
          </w:p>
        </w:tc>
        <w:tc>
          <w:tcPr>
            <w:tcW w:w="8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DCDDDE"/>
            </w:tcBorders>
          </w:tcPr>
          <w:p>
            <w:pPr>
              <w:spacing w:after="0"/>
              <w:rPr>
                <w:sz w:val="18"/>
                <w:szCs w:val="18"/>
                <w:color w:val="auto"/>
              </w:rPr>
            </w:pPr>
          </w:p>
        </w:tc>
        <w:tc>
          <w:tcPr>
            <w:tcW w:w="220" w:type="dxa"/>
            <w:vAlign w:val="bottom"/>
            <w:tcBorders>
              <w:bottom w:val="single" w:sz="8" w:color="DCDDDE"/>
            </w:tcBorders>
          </w:tcPr>
          <w:p>
            <w:pPr>
              <w:spacing w:after="0"/>
              <w:rPr>
                <w:sz w:val="18"/>
                <w:szCs w:val="18"/>
                <w:color w:val="auto"/>
              </w:rPr>
            </w:pPr>
          </w:p>
        </w:tc>
        <w:tc>
          <w:tcPr>
            <w:tcW w:w="94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DCDDDE"/>
            </w:tcBorders>
          </w:tcPr>
          <w:p>
            <w:pPr>
              <w:jc w:val="right"/>
              <w:ind w:right="424"/>
              <w:spacing w:after="0"/>
              <w:rPr>
                <w:sz w:val="20"/>
                <w:szCs w:val="20"/>
                <w:color w:val="auto"/>
              </w:rPr>
            </w:pPr>
            <w:r>
              <w:rPr>
                <w:rFonts w:ascii="Arial" w:cs="Arial" w:eastAsia="Arial" w:hAnsi="Arial"/>
                <w:sz w:val="15"/>
                <w:szCs w:val="15"/>
                <w:color w:val="auto"/>
              </w:rPr>
              <w:t>—</w:t>
            </w:r>
          </w:p>
        </w:tc>
      </w:tr>
      <w:tr>
        <w:trPr>
          <w:trHeight w:val="211"/>
        </w:trPr>
        <w:tc>
          <w:tcPr>
            <w:tcW w:w="7060" w:type="dxa"/>
            <w:vAlign w:val="bottom"/>
          </w:tcPr>
          <w:p>
            <w:pPr>
              <w:ind w:left="80"/>
              <w:spacing w:after="0"/>
              <w:rPr>
                <w:sz w:val="20"/>
                <w:szCs w:val="20"/>
                <w:color w:val="auto"/>
              </w:rPr>
            </w:pPr>
            <w:r>
              <w:rPr>
                <w:rFonts w:ascii="Arial" w:cs="Arial" w:eastAsia="Arial" w:hAnsi="Arial"/>
                <w:sz w:val="15"/>
                <w:szCs w:val="15"/>
                <w:b w:val="1"/>
                <w:bCs w:val="1"/>
                <w:color w:val="auto"/>
              </w:rPr>
              <w:t>Thomas J. Baltimore, Jr.</w:t>
            </w:r>
          </w:p>
        </w:tc>
        <w:tc>
          <w:tcPr>
            <w:tcW w:w="800" w:type="dxa"/>
            <w:vAlign w:val="bottom"/>
          </w:tcPr>
          <w:p>
            <w:pPr>
              <w:jc w:val="right"/>
              <w:spacing w:after="0"/>
              <w:rPr>
                <w:sz w:val="20"/>
                <w:szCs w:val="20"/>
                <w:color w:val="auto"/>
              </w:rPr>
            </w:pPr>
            <w:r>
              <w:rPr>
                <w:rFonts w:ascii="Arial" w:cs="Arial" w:eastAsia="Arial" w:hAnsi="Arial"/>
                <w:sz w:val="15"/>
                <w:szCs w:val="15"/>
                <w:color w:val="auto"/>
              </w:rPr>
              <w:t>22,680</w:t>
            </w:r>
          </w:p>
        </w:tc>
        <w:tc>
          <w:tcPr>
            <w:tcW w:w="320" w:type="dxa"/>
            <w:vAlign w:val="bottom"/>
          </w:tcPr>
          <w:p>
            <w:pPr>
              <w:jc w:val="right"/>
              <w:ind w:right="56"/>
              <w:spacing w:after="0"/>
              <w:rPr>
                <w:sz w:val="20"/>
                <w:szCs w:val="20"/>
                <w:color w:val="auto"/>
              </w:rPr>
            </w:pPr>
            <w:r>
              <w:rPr>
                <w:rFonts w:ascii="Arial" w:cs="Arial" w:eastAsia="Arial" w:hAnsi="Arial"/>
                <w:sz w:val="13"/>
                <w:szCs w:val="13"/>
                <w:color w:val="auto"/>
              </w:rPr>
              <w:t>(3)</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24"/>
              <w:spacing w:after="0"/>
              <w:rPr>
                <w:sz w:val="20"/>
                <w:szCs w:val="20"/>
                <w:color w:val="auto"/>
              </w:rPr>
            </w:pPr>
            <w:r>
              <w:rPr>
                <w:rFonts w:ascii="Arial" w:cs="Arial" w:eastAsia="Arial" w:hAnsi="Arial"/>
                <w:sz w:val="15"/>
                <w:szCs w:val="15"/>
                <w:color w:val="auto"/>
              </w:rPr>
              <w:t>—</w:t>
            </w:r>
          </w:p>
        </w:tc>
      </w:tr>
      <w:tr>
        <w:trPr>
          <w:trHeight w:val="39"/>
        </w:trPr>
        <w:tc>
          <w:tcPr>
            <w:tcW w:w="7060" w:type="dxa"/>
            <w:vAlign w:val="bottom"/>
            <w:tcBorders>
              <w:bottom w:val="single" w:sz="8" w:color="DCDDDE"/>
            </w:tcBorders>
          </w:tcPr>
          <w:p>
            <w:pPr>
              <w:spacing w:after="0"/>
              <w:rPr>
                <w:sz w:val="3"/>
                <w:szCs w:val="3"/>
                <w:color w:val="auto"/>
              </w:rPr>
            </w:pPr>
          </w:p>
        </w:tc>
        <w:tc>
          <w:tcPr>
            <w:tcW w:w="800" w:type="dxa"/>
            <w:vAlign w:val="bottom"/>
            <w:tcBorders>
              <w:bottom w:val="single" w:sz="8" w:color="DCDDDE"/>
            </w:tcBorders>
          </w:tcPr>
          <w:p>
            <w:pPr>
              <w:spacing w:after="0"/>
              <w:rPr>
                <w:sz w:val="3"/>
                <w:szCs w:val="3"/>
                <w:color w:val="auto"/>
              </w:rPr>
            </w:pPr>
          </w:p>
        </w:tc>
        <w:tc>
          <w:tcPr>
            <w:tcW w:w="320" w:type="dxa"/>
            <w:vAlign w:val="bottom"/>
            <w:tcBorders>
              <w:bottom w:val="single" w:sz="8" w:color="DCDDDE"/>
            </w:tcBorders>
          </w:tcPr>
          <w:p>
            <w:pPr>
              <w:spacing w:after="0"/>
              <w:rPr>
                <w:sz w:val="3"/>
                <w:szCs w:val="3"/>
                <w:color w:val="auto"/>
              </w:rPr>
            </w:pPr>
          </w:p>
        </w:tc>
        <w:tc>
          <w:tcPr>
            <w:tcW w:w="880" w:type="dxa"/>
            <w:vAlign w:val="bottom"/>
            <w:tcBorders>
              <w:bottom w:val="single" w:sz="8" w:color="DCDDDE"/>
            </w:tcBorders>
          </w:tcPr>
          <w:p>
            <w:pPr>
              <w:spacing w:after="0"/>
              <w:rPr>
                <w:sz w:val="3"/>
                <w:szCs w:val="3"/>
                <w:color w:val="auto"/>
              </w:rPr>
            </w:pPr>
          </w:p>
        </w:tc>
        <w:tc>
          <w:tcPr>
            <w:tcW w:w="160" w:type="dxa"/>
            <w:vAlign w:val="bottom"/>
            <w:tcBorders>
              <w:bottom w:val="single" w:sz="8" w:color="DCDDDE"/>
            </w:tcBorders>
          </w:tcPr>
          <w:p>
            <w:pPr>
              <w:spacing w:after="0"/>
              <w:rPr>
                <w:sz w:val="3"/>
                <w:szCs w:val="3"/>
                <w:color w:val="auto"/>
              </w:rPr>
            </w:pPr>
          </w:p>
        </w:tc>
        <w:tc>
          <w:tcPr>
            <w:tcW w:w="220" w:type="dxa"/>
            <w:vAlign w:val="bottom"/>
            <w:tcBorders>
              <w:bottom w:val="single" w:sz="8" w:color="DCDDDE"/>
            </w:tcBorders>
          </w:tcPr>
          <w:p>
            <w:pPr>
              <w:spacing w:after="0"/>
              <w:rPr>
                <w:sz w:val="3"/>
                <w:szCs w:val="3"/>
                <w:color w:val="auto"/>
              </w:rPr>
            </w:pPr>
          </w:p>
        </w:tc>
        <w:tc>
          <w:tcPr>
            <w:tcW w:w="940" w:type="dxa"/>
            <w:vAlign w:val="bottom"/>
            <w:tcBorders>
              <w:bottom w:val="single" w:sz="8" w:color="DCDDDE"/>
            </w:tcBorders>
          </w:tcPr>
          <w:p>
            <w:pPr>
              <w:spacing w:after="0"/>
              <w:rPr>
                <w:sz w:val="3"/>
                <w:szCs w:val="3"/>
                <w:color w:val="auto"/>
              </w:rPr>
            </w:pPr>
          </w:p>
        </w:tc>
        <w:tc>
          <w:tcPr>
            <w:tcW w:w="860" w:type="dxa"/>
            <w:vAlign w:val="bottom"/>
            <w:tcBorders>
              <w:bottom w:val="single" w:sz="8" w:color="DCDDDE"/>
            </w:tcBorders>
          </w:tcPr>
          <w:p>
            <w:pPr>
              <w:spacing w:after="0"/>
              <w:rPr>
                <w:sz w:val="3"/>
                <w:szCs w:val="3"/>
                <w:color w:val="auto"/>
              </w:rPr>
            </w:pPr>
          </w:p>
        </w:tc>
      </w:tr>
      <w:tr>
        <w:trPr>
          <w:trHeight w:val="217"/>
        </w:trPr>
        <w:tc>
          <w:tcPr>
            <w:tcW w:w="70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Madeline S. Bell</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5"/>
                <w:szCs w:val="15"/>
                <w:color w:val="auto"/>
              </w:rPr>
              <w:t>60,884</w:t>
            </w:r>
          </w:p>
        </w:tc>
        <w:tc>
          <w:tcPr>
            <w:tcW w:w="320" w:type="dxa"/>
            <w:vAlign w:val="bottom"/>
            <w:tcBorders>
              <w:bottom w:val="single" w:sz="8" w:color="DCDDDE"/>
            </w:tcBorders>
          </w:tcPr>
          <w:p>
            <w:pPr>
              <w:jc w:val="right"/>
              <w:ind w:right="56"/>
              <w:spacing w:after="0"/>
              <w:rPr>
                <w:sz w:val="20"/>
                <w:szCs w:val="20"/>
                <w:color w:val="auto"/>
              </w:rPr>
            </w:pPr>
            <w:r>
              <w:rPr>
                <w:rFonts w:ascii="Arial" w:cs="Arial" w:eastAsia="Arial" w:hAnsi="Arial"/>
                <w:sz w:val="13"/>
                <w:szCs w:val="13"/>
                <w:color w:val="auto"/>
              </w:rPr>
              <w:t>(4)</w:t>
            </w:r>
          </w:p>
        </w:tc>
        <w:tc>
          <w:tcPr>
            <w:tcW w:w="8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DCDDDE"/>
            </w:tcBorders>
          </w:tcPr>
          <w:p>
            <w:pPr>
              <w:spacing w:after="0"/>
              <w:rPr>
                <w:sz w:val="18"/>
                <w:szCs w:val="18"/>
                <w:color w:val="auto"/>
              </w:rPr>
            </w:pPr>
          </w:p>
        </w:tc>
        <w:tc>
          <w:tcPr>
            <w:tcW w:w="220" w:type="dxa"/>
            <w:vAlign w:val="bottom"/>
            <w:tcBorders>
              <w:bottom w:val="single" w:sz="8" w:color="DCDDDE"/>
            </w:tcBorders>
          </w:tcPr>
          <w:p>
            <w:pPr>
              <w:spacing w:after="0"/>
              <w:rPr>
                <w:sz w:val="18"/>
                <w:szCs w:val="18"/>
                <w:color w:val="auto"/>
              </w:rPr>
            </w:pPr>
          </w:p>
        </w:tc>
        <w:tc>
          <w:tcPr>
            <w:tcW w:w="94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DCDDDE"/>
            </w:tcBorders>
          </w:tcPr>
          <w:p>
            <w:pPr>
              <w:jc w:val="right"/>
              <w:ind w:right="424"/>
              <w:spacing w:after="0"/>
              <w:rPr>
                <w:sz w:val="20"/>
                <w:szCs w:val="20"/>
                <w:color w:val="auto"/>
              </w:rPr>
            </w:pPr>
            <w:r>
              <w:rPr>
                <w:rFonts w:ascii="Arial" w:cs="Arial" w:eastAsia="Arial" w:hAnsi="Arial"/>
                <w:sz w:val="15"/>
                <w:szCs w:val="15"/>
                <w:color w:val="auto"/>
              </w:rPr>
              <w:t>—</w:t>
            </w:r>
          </w:p>
        </w:tc>
      </w:tr>
      <w:tr>
        <w:trPr>
          <w:trHeight w:val="215"/>
        </w:trPr>
        <w:tc>
          <w:tcPr>
            <w:tcW w:w="70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Louise F. Brady</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5"/>
                <w:szCs w:val="15"/>
                <w:color w:val="auto"/>
              </w:rPr>
              <w:t>16,290</w:t>
            </w:r>
          </w:p>
        </w:tc>
        <w:tc>
          <w:tcPr>
            <w:tcW w:w="320" w:type="dxa"/>
            <w:vAlign w:val="bottom"/>
            <w:tcBorders>
              <w:bottom w:val="single" w:sz="8" w:color="DCDDDE"/>
            </w:tcBorders>
          </w:tcPr>
          <w:p>
            <w:pPr>
              <w:spacing w:after="0"/>
              <w:rPr>
                <w:sz w:val="18"/>
                <w:szCs w:val="18"/>
                <w:color w:val="auto"/>
              </w:rPr>
            </w:pPr>
          </w:p>
        </w:tc>
        <w:tc>
          <w:tcPr>
            <w:tcW w:w="8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DCDDDE"/>
            </w:tcBorders>
          </w:tcPr>
          <w:p>
            <w:pPr>
              <w:spacing w:after="0"/>
              <w:rPr>
                <w:sz w:val="18"/>
                <w:szCs w:val="18"/>
                <w:color w:val="auto"/>
              </w:rPr>
            </w:pPr>
          </w:p>
        </w:tc>
        <w:tc>
          <w:tcPr>
            <w:tcW w:w="220" w:type="dxa"/>
            <w:vAlign w:val="bottom"/>
            <w:tcBorders>
              <w:bottom w:val="single" w:sz="8" w:color="DCDDDE"/>
            </w:tcBorders>
          </w:tcPr>
          <w:p>
            <w:pPr>
              <w:spacing w:after="0"/>
              <w:rPr>
                <w:sz w:val="18"/>
                <w:szCs w:val="18"/>
                <w:color w:val="auto"/>
              </w:rPr>
            </w:pPr>
          </w:p>
        </w:tc>
        <w:tc>
          <w:tcPr>
            <w:tcW w:w="94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DCDDDE"/>
            </w:tcBorders>
          </w:tcPr>
          <w:p>
            <w:pPr>
              <w:jc w:val="right"/>
              <w:ind w:right="424"/>
              <w:spacing w:after="0"/>
              <w:rPr>
                <w:sz w:val="20"/>
                <w:szCs w:val="20"/>
                <w:color w:val="auto"/>
              </w:rPr>
            </w:pPr>
            <w:r>
              <w:rPr>
                <w:rFonts w:ascii="Arial" w:cs="Arial" w:eastAsia="Arial" w:hAnsi="Arial"/>
                <w:sz w:val="15"/>
                <w:szCs w:val="15"/>
                <w:color w:val="auto"/>
              </w:rPr>
              <w:t>—</w:t>
            </w:r>
          </w:p>
        </w:tc>
      </w:tr>
      <w:tr>
        <w:trPr>
          <w:trHeight w:val="210"/>
        </w:trPr>
        <w:tc>
          <w:tcPr>
            <w:tcW w:w="70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Edward D. Breen</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5"/>
                <w:szCs w:val="15"/>
                <w:color w:val="auto"/>
              </w:rPr>
              <w:t>26,417</w:t>
            </w:r>
          </w:p>
        </w:tc>
        <w:tc>
          <w:tcPr>
            <w:tcW w:w="320" w:type="dxa"/>
            <w:vAlign w:val="bottom"/>
            <w:tcBorders>
              <w:bottom w:val="single" w:sz="8" w:color="DCDDDE"/>
            </w:tcBorders>
          </w:tcPr>
          <w:p>
            <w:pPr>
              <w:spacing w:after="0"/>
              <w:rPr>
                <w:sz w:val="18"/>
                <w:szCs w:val="18"/>
                <w:color w:val="auto"/>
              </w:rPr>
            </w:pPr>
          </w:p>
        </w:tc>
        <w:tc>
          <w:tcPr>
            <w:tcW w:w="8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DCDDDE"/>
            </w:tcBorders>
          </w:tcPr>
          <w:p>
            <w:pPr>
              <w:spacing w:after="0"/>
              <w:rPr>
                <w:sz w:val="18"/>
                <w:szCs w:val="18"/>
                <w:color w:val="auto"/>
              </w:rPr>
            </w:pPr>
          </w:p>
        </w:tc>
        <w:tc>
          <w:tcPr>
            <w:tcW w:w="220" w:type="dxa"/>
            <w:vAlign w:val="bottom"/>
            <w:tcBorders>
              <w:bottom w:val="single" w:sz="8" w:color="DCDDDE"/>
            </w:tcBorders>
          </w:tcPr>
          <w:p>
            <w:pPr>
              <w:spacing w:after="0"/>
              <w:rPr>
                <w:sz w:val="18"/>
                <w:szCs w:val="18"/>
                <w:color w:val="auto"/>
              </w:rPr>
            </w:pPr>
          </w:p>
        </w:tc>
        <w:tc>
          <w:tcPr>
            <w:tcW w:w="94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DCDDDE"/>
            </w:tcBorders>
          </w:tcPr>
          <w:p>
            <w:pPr>
              <w:jc w:val="right"/>
              <w:ind w:right="424"/>
              <w:spacing w:after="0"/>
              <w:rPr>
                <w:sz w:val="20"/>
                <w:szCs w:val="20"/>
                <w:color w:val="auto"/>
              </w:rPr>
            </w:pPr>
            <w:r>
              <w:rPr>
                <w:rFonts w:ascii="Arial" w:cs="Arial" w:eastAsia="Arial" w:hAnsi="Arial"/>
                <w:sz w:val="15"/>
                <w:szCs w:val="15"/>
                <w:color w:val="auto"/>
              </w:rPr>
              <w:t>—</w:t>
            </w:r>
          </w:p>
        </w:tc>
      </w:tr>
      <w:tr>
        <w:trPr>
          <w:trHeight w:val="217"/>
        </w:trPr>
        <w:tc>
          <w:tcPr>
            <w:tcW w:w="70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Michael J. Cavanagh</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5"/>
                <w:szCs w:val="15"/>
                <w:color w:val="auto"/>
              </w:rPr>
              <w:t>5,111,057</w:t>
            </w:r>
          </w:p>
        </w:tc>
        <w:tc>
          <w:tcPr>
            <w:tcW w:w="320" w:type="dxa"/>
            <w:vAlign w:val="bottom"/>
            <w:tcBorders>
              <w:bottom w:val="single" w:sz="8" w:color="DCDDDE"/>
            </w:tcBorders>
          </w:tcPr>
          <w:p>
            <w:pPr>
              <w:jc w:val="right"/>
              <w:ind w:right="56"/>
              <w:spacing w:after="0"/>
              <w:rPr>
                <w:sz w:val="20"/>
                <w:szCs w:val="20"/>
                <w:color w:val="auto"/>
              </w:rPr>
            </w:pPr>
            <w:r>
              <w:rPr>
                <w:rFonts w:ascii="Arial" w:cs="Arial" w:eastAsia="Arial" w:hAnsi="Arial"/>
                <w:sz w:val="13"/>
                <w:szCs w:val="13"/>
                <w:color w:val="auto"/>
              </w:rPr>
              <w:t>(5)</w:t>
            </w:r>
          </w:p>
        </w:tc>
        <w:tc>
          <w:tcPr>
            <w:tcW w:w="8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DCDDDE"/>
            </w:tcBorders>
          </w:tcPr>
          <w:p>
            <w:pPr>
              <w:spacing w:after="0"/>
              <w:rPr>
                <w:sz w:val="18"/>
                <w:szCs w:val="18"/>
                <w:color w:val="auto"/>
              </w:rPr>
            </w:pPr>
          </w:p>
        </w:tc>
        <w:tc>
          <w:tcPr>
            <w:tcW w:w="220" w:type="dxa"/>
            <w:vAlign w:val="bottom"/>
            <w:tcBorders>
              <w:bottom w:val="single" w:sz="8" w:color="DCDDDE"/>
            </w:tcBorders>
          </w:tcPr>
          <w:p>
            <w:pPr>
              <w:spacing w:after="0"/>
              <w:rPr>
                <w:sz w:val="18"/>
                <w:szCs w:val="18"/>
                <w:color w:val="auto"/>
              </w:rPr>
            </w:pPr>
          </w:p>
        </w:tc>
        <w:tc>
          <w:tcPr>
            <w:tcW w:w="94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DCDDDE"/>
            </w:tcBorders>
          </w:tcPr>
          <w:p>
            <w:pPr>
              <w:jc w:val="right"/>
              <w:ind w:right="424"/>
              <w:spacing w:after="0"/>
              <w:rPr>
                <w:sz w:val="20"/>
                <w:szCs w:val="20"/>
                <w:color w:val="auto"/>
              </w:rPr>
            </w:pPr>
            <w:r>
              <w:rPr>
                <w:rFonts w:ascii="Arial" w:cs="Arial" w:eastAsia="Arial" w:hAnsi="Arial"/>
                <w:sz w:val="15"/>
                <w:szCs w:val="15"/>
                <w:color w:val="auto"/>
              </w:rPr>
              <w:t>—</w:t>
            </w:r>
          </w:p>
        </w:tc>
      </w:tr>
      <w:tr>
        <w:trPr>
          <w:trHeight w:val="223"/>
        </w:trPr>
        <w:tc>
          <w:tcPr>
            <w:tcW w:w="70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Jeffrey A. Honickman</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5"/>
                <w:szCs w:val="15"/>
                <w:color w:val="auto"/>
              </w:rPr>
              <w:t>415,082</w:t>
            </w:r>
          </w:p>
        </w:tc>
        <w:tc>
          <w:tcPr>
            <w:tcW w:w="320" w:type="dxa"/>
            <w:vAlign w:val="bottom"/>
            <w:tcBorders>
              <w:bottom w:val="single" w:sz="8" w:color="DCDDDE"/>
            </w:tcBorders>
          </w:tcPr>
          <w:p>
            <w:pPr>
              <w:jc w:val="right"/>
              <w:ind w:right="56"/>
              <w:spacing w:after="0"/>
              <w:rPr>
                <w:sz w:val="20"/>
                <w:szCs w:val="20"/>
                <w:color w:val="auto"/>
              </w:rPr>
            </w:pPr>
            <w:r>
              <w:rPr>
                <w:rFonts w:ascii="Arial" w:cs="Arial" w:eastAsia="Arial" w:hAnsi="Arial"/>
                <w:sz w:val="13"/>
                <w:szCs w:val="13"/>
                <w:color w:val="auto"/>
              </w:rPr>
              <w:t>(6)</w:t>
            </w:r>
          </w:p>
        </w:tc>
        <w:tc>
          <w:tcPr>
            <w:tcW w:w="8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DCDDDE"/>
            </w:tcBorders>
          </w:tcPr>
          <w:p>
            <w:pPr>
              <w:spacing w:after="0"/>
              <w:rPr>
                <w:sz w:val="19"/>
                <w:szCs w:val="19"/>
                <w:color w:val="auto"/>
              </w:rPr>
            </w:pPr>
          </w:p>
        </w:tc>
        <w:tc>
          <w:tcPr>
            <w:tcW w:w="220" w:type="dxa"/>
            <w:vAlign w:val="bottom"/>
            <w:tcBorders>
              <w:bottom w:val="single" w:sz="8" w:color="DCDDDE"/>
            </w:tcBorders>
          </w:tcPr>
          <w:p>
            <w:pPr>
              <w:spacing w:after="0"/>
              <w:rPr>
                <w:sz w:val="19"/>
                <w:szCs w:val="19"/>
                <w:color w:val="auto"/>
              </w:rPr>
            </w:pPr>
          </w:p>
        </w:tc>
        <w:tc>
          <w:tcPr>
            <w:tcW w:w="94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DCDDDE"/>
            </w:tcBorders>
          </w:tcPr>
          <w:p>
            <w:pPr>
              <w:jc w:val="right"/>
              <w:ind w:right="424"/>
              <w:spacing w:after="0"/>
              <w:rPr>
                <w:sz w:val="20"/>
                <w:szCs w:val="20"/>
                <w:color w:val="auto"/>
              </w:rPr>
            </w:pPr>
            <w:r>
              <w:rPr>
                <w:rFonts w:ascii="Arial" w:cs="Arial" w:eastAsia="Arial" w:hAnsi="Arial"/>
                <w:sz w:val="15"/>
                <w:szCs w:val="15"/>
                <w:color w:val="auto"/>
              </w:rPr>
              <w:t>—</w:t>
            </w:r>
          </w:p>
        </w:tc>
      </w:tr>
      <w:tr>
        <w:trPr>
          <w:trHeight w:val="215"/>
        </w:trPr>
        <w:tc>
          <w:tcPr>
            <w:tcW w:w="70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Jennifer Khoury</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5"/>
                <w:szCs w:val="15"/>
                <w:color w:val="auto"/>
              </w:rPr>
              <w:t>422,102</w:t>
            </w:r>
          </w:p>
        </w:tc>
        <w:tc>
          <w:tcPr>
            <w:tcW w:w="320" w:type="dxa"/>
            <w:vAlign w:val="bottom"/>
            <w:tcBorders>
              <w:bottom w:val="single" w:sz="8" w:color="DCDDDE"/>
            </w:tcBorders>
          </w:tcPr>
          <w:p>
            <w:pPr>
              <w:spacing w:after="0"/>
              <w:rPr>
                <w:sz w:val="18"/>
                <w:szCs w:val="18"/>
                <w:color w:val="auto"/>
              </w:rPr>
            </w:pPr>
          </w:p>
        </w:tc>
        <w:tc>
          <w:tcPr>
            <w:tcW w:w="8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DCDDDE"/>
            </w:tcBorders>
          </w:tcPr>
          <w:p>
            <w:pPr>
              <w:spacing w:after="0"/>
              <w:rPr>
                <w:sz w:val="18"/>
                <w:szCs w:val="18"/>
                <w:color w:val="auto"/>
              </w:rPr>
            </w:pPr>
          </w:p>
        </w:tc>
        <w:tc>
          <w:tcPr>
            <w:tcW w:w="220" w:type="dxa"/>
            <w:vAlign w:val="bottom"/>
            <w:tcBorders>
              <w:bottom w:val="single" w:sz="8" w:color="DCDDDE"/>
            </w:tcBorders>
          </w:tcPr>
          <w:p>
            <w:pPr>
              <w:spacing w:after="0"/>
              <w:rPr>
                <w:sz w:val="18"/>
                <w:szCs w:val="18"/>
                <w:color w:val="auto"/>
              </w:rPr>
            </w:pPr>
          </w:p>
        </w:tc>
        <w:tc>
          <w:tcPr>
            <w:tcW w:w="94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DCDDDE"/>
            </w:tcBorders>
          </w:tcPr>
          <w:p>
            <w:pPr>
              <w:jc w:val="right"/>
              <w:ind w:right="424"/>
              <w:spacing w:after="0"/>
              <w:rPr>
                <w:sz w:val="20"/>
                <w:szCs w:val="20"/>
                <w:color w:val="auto"/>
              </w:rPr>
            </w:pPr>
            <w:r>
              <w:rPr>
                <w:rFonts w:ascii="Arial" w:cs="Arial" w:eastAsia="Arial" w:hAnsi="Arial"/>
                <w:sz w:val="15"/>
                <w:szCs w:val="15"/>
                <w:color w:val="auto"/>
              </w:rPr>
              <w:t>—</w:t>
            </w:r>
          </w:p>
        </w:tc>
      </w:tr>
      <w:tr>
        <w:trPr>
          <w:trHeight w:val="209"/>
        </w:trPr>
        <w:tc>
          <w:tcPr>
            <w:tcW w:w="70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Wonya Y. Lucas</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5"/>
                <w:szCs w:val="15"/>
                <w:color w:val="auto"/>
              </w:rPr>
              <w:t>12,102</w:t>
            </w:r>
          </w:p>
        </w:tc>
        <w:tc>
          <w:tcPr>
            <w:tcW w:w="320" w:type="dxa"/>
            <w:vAlign w:val="bottom"/>
            <w:tcBorders>
              <w:bottom w:val="single" w:sz="8" w:color="DCDDDE"/>
            </w:tcBorders>
          </w:tcPr>
          <w:p>
            <w:pPr>
              <w:spacing w:after="0"/>
              <w:rPr>
                <w:sz w:val="18"/>
                <w:szCs w:val="18"/>
                <w:color w:val="auto"/>
              </w:rPr>
            </w:pPr>
          </w:p>
        </w:tc>
        <w:tc>
          <w:tcPr>
            <w:tcW w:w="8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DCDDDE"/>
            </w:tcBorders>
          </w:tcPr>
          <w:p>
            <w:pPr>
              <w:spacing w:after="0"/>
              <w:rPr>
                <w:sz w:val="18"/>
                <w:szCs w:val="18"/>
                <w:color w:val="auto"/>
              </w:rPr>
            </w:pPr>
          </w:p>
        </w:tc>
        <w:tc>
          <w:tcPr>
            <w:tcW w:w="220" w:type="dxa"/>
            <w:vAlign w:val="bottom"/>
            <w:tcBorders>
              <w:bottom w:val="single" w:sz="8" w:color="DCDDDE"/>
            </w:tcBorders>
          </w:tcPr>
          <w:p>
            <w:pPr>
              <w:spacing w:after="0"/>
              <w:rPr>
                <w:sz w:val="18"/>
                <w:szCs w:val="18"/>
                <w:color w:val="auto"/>
              </w:rPr>
            </w:pPr>
          </w:p>
        </w:tc>
        <w:tc>
          <w:tcPr>
            <w:tcW w:w="94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DCDDDE"/>
            </w:tcBorders>
          </w:tcPr>
          <w:p>
            <w:pPr>
              <w:jc w:val="right"/>
              <w:ind w:right="424"/>
              <w:spacing w:after="0"/>
              <w:rPr>
                <w:sz w:val="20"/>
                <w:szCs w:val="20"/>
                <w:color w:val="auto"/>
              </w:rPr>
            </w:pPr>
            <w:r>
              <w:rPr>
                <w:rFonts w:ascii="Arial" w:cs="Arial" w:eastAsia="Arial" w:hAnsi="Arial"/>
                <w:sz w:val="15"/>
                <w:szCs w:val="15"/>
                <w:color w:val="auto"/>
              </w:rPr>
              <w:t>—</w:t>
            </w:r>
          </w:p>
        </w:tc>
      </w:tr>
      <w:tr>
        <w:trPr>
          <w:trHeight w:val="210"/>
        </w:trPr>
        <w:tc>
          <w:tcPr>
            <w:tcW w:w="70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Asuka Nakahara</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5"/>
                <w:szCs w:val="15"/>
                <w:color w:val="auto"/>
              </w:rPr>
              <w:t>76,978</w:t>
            </w:r>
          </w:p>
        </w:tc>
        <w:tc>
          <w:tcPr>
            <w:tcW w:w="320" w:type="dxa"/>
            <w:vAlign w:val="bottom"/>
            <w:tcBorders>
              <w:bottom w:val="single" w:sz="8" w:color="DCDDDE"/>
            </w:tcBorders>
          </w:tcPr>
          <w:p>
            <w:pPr>
              <w:spacing w:after="0"/>
              <w:rPr>
                <w:sz w:val="18"/>
                <w:szCs w:val="18"/>
                <w:color w:val="auto"/>
              </w:rPr>
            </w:pPr>
          </w:p>
        </w:tc>
        <w:tc>
          <w:tcPr>
            <w:tcW w:w="8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DCDDDE"/>
            </w:tcBorders>
          </w:tcPr>
          <w:p>
            <w:pPr>
              <w:spacing w:after="0"/>
              <w:rPr>
                <w:sz w:val="18"/>
                <w:szCs w:val="18"/>
                <w:color w:val="auto"/>
              </w:rPr>
            </w:pPr>
          </w:p>
        </w:tc>
        <w:tc>
          <w:tcPr>
            <w:tcW w:w="220" w:type="dxa"/>
            <w:vAlign w:val="bottom"/>
            <w:tcBorders>
              <w:bottom w:val="single" w:sz="8" w:color="DCDDDE"/>
            </w:tcBorders>
          </w:tcPr>
          <w:p>
            <w:pPr>
              <w:spacing w:after="0"/>
              <w:rPr>
                <w:sz w:val="18"/>
                <w:szCs w:val="18"/>
                <w:color w:val="auto"/>
              </w:rPr>
            </w:pPr>
          </w:p>
        </w:tc>
        <w:tc>
          <w:tcPr>
            <w:tcW w:w="94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DCDDDE"/>
            </w:tcBorders>
          </w:tcPr>
          <w:p>
            <w:pPr>
              <w:jc w:val="right"/>
              <w:ind w:right="424"/>
              <w:spacing w:after="0"/>
              <w:rPr>
                <w:sz w:val="20"/>
                <w:szCs w:val="20"/>
                <w:color w:val="auto"/>
              </w:rPr>
            </w:pPr>
            <w:r>
              <w:rPr>
                <w:rFonts w:ascii="Arial" w:cs="Arial" w:eastAsia="Arial" w:hAnsi="Arial"/>
                <w:sz w:val="15"/>
                <w:szCs w:val="15"/>
                <w:color w:val="auto"/>
              </w:rPr>
              <w:t>—</w:t>
            </w:r>
          </w:p>
        </w:tc>
      </w:tr>
      <w:tr>
        <w:trPr>
          <w:trHeight w:val="217"/>
        </w:trPr>
        <w:tc>
          <w:tcPr>
            <w:tcW w:w="70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David C. Novak</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5"/>
                <w:szCs w:val="15"/>
                <w:color w:val="auto"/>
              </w:rPr>
              <w:t>398,430</w:t>
            </w:r>
          </w:p>
        </w:tc>
        <w:tc>
          <w:tcPr>
            <w:tcW w:w="320" w:type="dxa"/>
            <w:vAlign w:val="bottom"/>
            <w:tcBorders>
              <w:bottom w:val="single" w:sz="8" w:color="DCDDDE"/>
            </w:tcBorders>
          </w:tcPr>
          <w:p>
            <w:pPr>
              <w:jc w:val="right"/>
              <w:ind w:right="56"/>
              <w:spacing w:after="0"/>
              <w:rPr>
                <w:sz w:val="20"/>
                <w:szCs w:val="20"/>
                <w:color w:val="auto"/>
              </w:rPr>
            </w:pPr>
            <w:r>
              <w:rPr>
                <w:rFonts w:ascii="Arial" w:cs="Arial" w:eastAsia="Arial" w:hAnsi="Arial"/>
                <w:sz w:val="13"/>
                <w:szCs w:val="13"/>
                <w:color w:val="auto"/>
              </w:rPr>
              <w:t>(7)</w:t>
            </w:r>
          </w:p>
        </w:tc>
        <w:tc>
          <w:tcPr>
            <w:tcW w:w="8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DCDDDE"/>
            </w:tcBorders>
          </w:tcPr>
          <w:p>
            <w:pPr>
              <w:spacing w:after="0"/>
              <w:rPr>
                <w:sz w:val="18"/>
                <w:szCs w:val="18"/>
                <w:color w:val="auto"/>
              </w:rPr>
            </w:pPr>
          </w:p>
        </w:tc>
        <w:tc>
          <w:tcPr>
            <w:tcW w:w="220" w:type="dxa"/>
            <w:vAlign w:val="bottom"/>
            <w:tcBorders>
              <w:bottom w:val="single" w:sz="8" w:color="DCDDDE"/>
            </w:tcBorders>
          </w:tcPr>
          <w:p>
            <w:pPr>
              <w:spacing w:after="0"/>
              <w:rPr>
                <w:sz w:val="18"/>
                <w:szCs w:val="18"/>
                <w:color w:val="auto"/>
              </w:rPr>
            </w:pPr>
          </w:p>
        </w:tc>
        <w:tc>
          <w:tcPr>
            <w:tcW w:w="94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DCDDDE"/>
            </w:tcBorders>
          </w:tcPr>
          <w:p>
            <w:pPr>
              <w:jc w:val="right"/>
              <w:ind w:right="424"/>
              <w:spacing w:after="0"/>
              <w:rPr>
                <w:sz w:val="20"/>
                <w:szCs w:val="20"/>
                <w:color w:val="auto"/>
              </w:rPr>
            </w:pPr>
            <w:r>
              <w:rPr>
                <w:rFonts w:ascii="Arial" w:cs="Arial" w:eastAsia="Arial" w:hAnsi="Arial"/>
                <w:sz w:val="15"/>
                <w:szCs w:val="15"/>
                <w:color w:val="auto"/>
              </w:rPr>
              <w:t>—</w:t>
            </w:r>
          </w:p>
        </w:tc>
      </w:tr>
      <w:tr>
        <w:trPr>
          <w:trHeight w:val="215"/>
        </w:trPr>
        <w:tc>
          <w:tcPr>
            <w:tcW w:w="70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Thomas J. Reid</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5"/>
                <w:szCs w:val="15"/>
                <w:color w:val="auto"/>
              </w:rPr>
              <w:t>876,313</w:t>
            </w:r>
          </w:p>
        </w:tc>
        <w:tc>
          <w:tcPr>
            <w:tcW w:w="320" w:type="dxa"/>
            <w:vAlign w:val="bottom"/>
            <w:tcBorders>
              <w:bottom w:val="single" w:sz="8" w:color="DCDDDE"/>
            </w:tcBorders>
          </w:tcPr>
          <w:p>
            <w:pPr>
              <w:spacing w:after="0"/>
              <w:rPr>
                <w:sz w:val="18"/>
                <w:szCs w:val="18"/>
                <w:color w:val="auto"/>
              </w:rPr>
            </w:pPr>
          </w:p>
        </w:tc>
        <w:tc>
          <w:tcPr>
            <w:tcW w:w="8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DCDDDE"/>
            </w:tcBorders>
          </w:tcPr>
          <w:p>
            <w:pPr>
              <w:spacing w:after="0"/>
              <w:rPr>
                <w:sz w:val="18"/>
                <w:szCs w:val="18"/>
                <w:color w:val="auto"/>
              </w:rPr>
            </w:pPr>
          </w:p>
        </w:tc>
        <w:tc>
          <w:tcPr>
            <w:tcW w:w="220" w:type="dxa"/>
            <w:vAlign w:val="bottom"/>
            <w:tcBorders>
              <w:bottom w:val="single" w:sz="8" w:color="DCDDDE"/>
            </w:tcBorders>
          </w:tcPr>
          <w:p>
            <w:pPr>
              <w:spacing w:after="0"/>
              <w:rPr>
                <w:sz w:val="18"/>
                <w:szCs w:val="18"/>
                <w:color w:val="auto"/>
              </w:rPr>
            </w:pPr>
          </w:p>
        </w:tc>
        <w:tc>
          <w:tcPr>
            <w:tcW w:w="94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DCDDDE"/>
            </w:tcBorders>
          </w:tcPr>
          <w:p>
            <w:pPr>
              <w:jc w:val="right"/>
              <w:ind w:right="424"/>
              <w:spacing w:after="0"/>
              <w:rPr>
                <w:sz w:val="20"/>
                <w:szCs w:val="20"/>
                <w:color w:val="auto"/>
              </w:rPr>
            </w:pPr>
            <w:r>
              <w:rPr>
                <w:rFonts w:ascii="Arial" w:cs="Arial" w:eastAsia="Arial" w:hAnsi="Arial"/>
                <w:sz w:val="15"/>
                <w:szCs w:val="15"/>
                <w:color w:val="auto"/>
              </w:rPr>
              <w:t>—</w:t>
            </w:r>
          </w:p>
        </w:tc>
      </w:tr>
      <w:tr>
        <w:trPr>
          <w:trHeight w:val="250"/>
        </w:trPr>
        <w:tc>
          <w:tcPr>
            <w:tcW w:w="70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Brian L. Roberts</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5"/>
                <w:szCs w:val="15"/>
                <w:color w:val="auto"/>
                <w:w w:val="98"/>
              </w:rPr>
              <w:t>31,639,412</w:t>
            </w:r>
          </w:p>
        </w:tc>
        <w:tc>
          <w:tcPr>
            <w:tcW w:w="320" w:type="dxa"/>
            <w:vAlign w:val="bottom"/>
            <w:tcBorders>
              <w:bottom w:val="single" w:sz="8" w:color="DCDDDE"/>
            </w:tcBorders>
          </w:tcPr>
          <w:p>
            <w:pPr>
              <w:jc w:val="right"/>
              <w:ind w:right="56"/>
              <w:spacing w:after="0"/>
              <w:rPr>
                <w:sz w:val="20"/>
                <w:szCs w:val="20"/>
                <w:color w:val="auto"/>
              </w:rPr>
            </w:pPr>
            <w:r>
              <w:rPr>
                <w:rFonts w:ascii="Arial" w:cs="Arial" w:eastAsia="Arial" w:hAnsi="Arial"/>
                <w:sz w:val="13"/>
                <w:szCs w:val="13"/>
                <w:color w:val="auto"/>
              </w:rPr>
              <w:t>(8)</w:t>
            </w:r>
          </w:p>
        </w:tc>
        <w:tc>
          <w:tcPr>
            <w:tcW w:w="8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9,444,375</w:t>
            </w:r>
          </w:p>
        </w:tc>
        <w:tc>
          <w:tcPr>
            <w:tcW w:w="380" w:type="dxa"/>
            <w:vAlign w:val="bottom"/>
            <w:tcBorders>
              <w:bottom w:val="single" w:sz="8" w:color="DCDDDE"/>
            </w:tcBorders>
            <w:gridSpan w:val="2"/>
          </w:tcPr>
          <w:p>
            <w:pPr>
              <w:jc w:val="right"/>
              <w:ind w:right="220"/>
              <w:spacing w:after="0"/>
              <w:rPr>
                <w:sz w:val="20"/>
                <w:szCs w:val="20"/>
                <w:color w:val="auto"/>
              </w:rPr>
            </w:pPr>
            <w:r>
              <w:rPr>
                <w:rFonts w:ascii="Arial" w:cs="Arial" w:eastAsia="Arial" w:hAnsi="Arial"/>
                <w:sz w:val="13"/>
                <w:szCs w:val="13"/>
                <w:color w:val="auto"/>
                <w:w w:val="87"/>
              </w:rPr>
              <w:t>(9)</w:t>
            </w:r>
          </w:p>
        </w:tc>
        <w:tc>
          <w:tcPr>
            <w:tcW w:w="94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DCDDDE"/>
            </w:tcBorders>
          </w:tcPr>
          <w:p>
            <w:pPr>
              <w:jc w:val="right"/>
              <w:ind w:right="44"/>
              <w:spacing w:after="0" w:line="250" w:lineRule="exact"/>
              <w:rPr>
                <w:sz w:val="20"/>
                <w:szCs w:val="20"/>
                <w:color w:val="auto"/>
              </w:rPr>
            </w:pPr>
            <w:r>
              <w:rPr>
                <w:rFonts w:ascii="Arial" w:cs="Arial" w:eastAsia="Arial" w:hAnsi="Arial"/>
                <w:sz w:val="15"/>
                <w:szCs w:val="15"/>
                <w:color w:val="auto"/>
              </w:rPr>
              <w:t xml:space="preserve">100% </w:t>
            </w:r>
            <w:r>
              <w:rPr>
                <w:rFonts w:ascii="Arial" w:cs="Arial" w:eastAsia="Arial" w:hAnsi="Arial"/>
                <w:sz w:val="25"/>
                <w:szCs w:val="25"/>
                <w:color w:val="auto"/>
                <w:vertAlign w:val="superscript"/>
              </w:rPr>
              <w:t>(9)</w:t>
            </w:r>
          </w:p>
        </w:tc>
      </w:tr>
      <w:tr>
        <w:trPr>
          <w:trHeight w:val="206"/>
        </w:trPr>
        <w:tc>
          <w:tcPr>
            <w:tcW w:w="70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All directors and executive officers as a group (15 persons)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40,081,398</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9,444,375</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rPr>
              <w:t>100%</w:t>
            </w:r>
          </w:p>
        </w:tc>
      </w:tr>
    </w:tbl>
    <w:p>
      <w:pPr>
        <w:spacing w:after="0" w:line="50" w:lineRule="exact"/>
        <w:rPr>
          <w:sz w:val="20"/>
          <w:szCs w:val="20"/>
          <w:color w:val="auto"/>
        </w:rPr>
      </w:pPr>
    </w:p>
    <w:p>
      <w:pPr>
        <w:ind w:left="220" w:hanging="212"/>
        <w:spacing w:after="0"/>
        <w:tabs>
          <w:tab w:leader="none" w:pos="2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Less than 1% of the outstanding shares of the applicable class.</w:t>
      </w:r>
    </w:p>
    <w:p>
      <w:pPr>
        <w:spacing w:after="0" w:line="272" w:lineRule="exact"/>
        <w:rPr>
          <w:sz w:val="20"/>
          <w:szCs w:val="20"/>
          <w:color w:val="auto"/>
        </w:rPr>
      </w:pPr>
    </w:p>
    <w:p>
      <w:pPr>
        <w:ind w:left="400" w:hanging="392"/>
        <w:spacing w:after="0"/>
        <w:tabs>
          <w:tab w:leader="none" w:pos="400" w:val="left"/>
        </w:tabs>
        <w:numPr>
          <w:ilvl w:val="0"/>
          <w:numId w:val="11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2" w:lineRule="exact"/>
        <w:rPr>
          <w:sz w:val="20"/>
          <w:szCs w:val="20"/>
          <w:color w:val="auto"/>
        </w:rPr>
      </w:pPr>
    </w:p>
    <w:p>
      <w:pPr>
        <w:ind w:left="320" w:hanging="312"/>
        <w:spacing w:after="0"/>
        <w:tabs>
          <w:tab w:leader="none" w:pos="320" w:val="left"/>
        </w:tabs>
        <w:numPr>
          <w:ilvl w:val="0"/>
          <w:numId w:val="114"/>
        </w:numPr>
        <w:rPr>
          <w:rFonts w:ascii="Arial" w:cs="Arial" w:eastAsia="Arial" w:hAnsi="Arial"/>
          <w:sz w:val="13"/>
          <w:szCs w:val="13"/>
          <w:color w:val="auto"/>
        </w:rPr>
      </w:pPr>
      <w:r>
        <w:rPr>
          <w:rFonts w:ascii="Arial" w:cs="Arial" w:eastAsia="Arial" w:hAnsi="Arial"/>
          <w:sz w:val="15"/>
          <w:szCs w:val="15"/>
          <w:color w:val="auto"/>
        </w:rPr>
        <w:t>Beneficial ownership as of February 28, 2025 has been determined in accordance with Rule 13d-3 under the Exchange Act.</w:t>
      </w:r>
    </w:p>
    <w:p>
      <w:pPr>
        <w:spacing w:after="0" w:line="70" w:lineRule="exact"/>
        <w:rPr>
          <w:rFonts w:ascii="Arial" w:cs="Arial" w:eastAsia="Arial" w:hAnsi="Arial"/>
          <w:sz w:val="13"/>
          <w:szCs w:val="13"/>
          <w:color w:val="auto"/>
        </w:rPr>
      </w:pPr>
    </w:p>
    <w:p>
      <w:pPr>
        <w:ind w:left="320" w:right="120" w:hanging="312"/>
        <w:spacing w:after="0" w:line="244" w:lineRule="auto"/>
        <w:tabs>
          <w:tab w:leader="none" w:pos="320" w:val="left"/>
        </w:tabs>
        <w:numPr>
          <w:ilvl w:val="0"/>
          <w:numId w:val="114"/>
        </w:numPr>
        <w:rPr>
          <w:rFonts w:ascii="Arial" w:cs="Arial" w:eastAsia="Arial" w:hAnsi="Arial"/>
          <w:sz w:val="13"/>
          <w:szCs w:val="13"/>
          <w:color w:val="auto"/>
        </w:rPr>
      </w:pPr>
      <w:r>
        <w:rPr>
          <w:rFonts w:ascii="Arial" w:cs="Arial" w:eastAsia="Arial" w:hAnsi="Arial"/>
          <w:sz w:val="15"/>
          <w:szCs w:val="15"/>
          <w:color w:val="auto"/>
        </w:rPr>
        <w:t>Includes beneficial ownership of the following number of shares for which the following persons hold options exercisable on or within 60 days of February 28, 2025: Mr. Armstrong, 560,890; Mr. Cavanagh, 4,330,231; Ms. Khoury, 371,099; Mr. Reid, 692,865; Mr. Roberts, 6,726,161; and all executive officers as a group, 13,008,047.</w:t>
      </w:r>
    </w:p>
    <w:p>
      <w:pPr>
        <w:spacing w:after="0" w:line="27" w:lineRule="exact"/>
        <w:rPr>
          <w:rFonts w:ascii="Arial" w:cs="Arial" w:eastAsia="Arial" w:hAnsi="Arial"/>
          <w:sz w:val="13"/>
          <w:szCs w:val="13"/>
          <w:color w:val="auto"/>
        </w:rPr>
      </w:pPr>
    </w:p>
    <w:p>
      <w:pPr>
        <w:ind w:left="320" w:right="260"/>
        <w:spacing w:after="0" w:line="244" w:lineRule="auto"/>
        <w:rPr>
          <w:rFonts w:ascii="Arial" w:cs="Arial" w:eastAsia="Arial" w:hAnsi="Arial"/>
          <w:sz w:val="13"/>
          <w:szCs w:val="13"/>
          <w:color w:val="auto"/>
        </w:rPr>
      </w:pPr>
      <w:r>
        <w:rPr>
          <w:rFonts w:ascii="Arial" w:cs="Arial" w:eastAsia="Arial" w:hAnsi="Arial"/>
          <w:sz w:val="15"/>
          <w:szCs w:val="15"/>
          <w:color w:val="auto"/>
        </w:rPr>
        <w:t>Includes beneficial ownership of the following number of shares underlying stock units held by the following persons that vest on or within 60 days of February 28, 2025: Mr. Armstrong, 6,382; Mr. Cavanagh, 375,128; Ms. Khoury, 9,262; Mr. Reid, 113,638; Mr. Roberts, 392,106; and all executive officers as a group, 911,152.</w:t>
      </w:r>
    </w:p>
    <w:p>
      <w:pPr>
        <w:spacing w:after="0" w:line="27" w:lineRule="exact"/>
        <w:rPr>
          <w:rFonts w:ascii="Arial" w:cs="Arial" w:eastAsia="Arial" w:hAnsi="Arial"/>
          <w:sz w:val="13"/>
          <w:szCs w:val="13"/>
          <w:color w:val="auto"/>
        </w:rPr>
      </w:pPr>
    </w:p>
    <w:p>
      <w:pPr>
        <w:ind w:left="320" w:right="60"/>
        <w:spacing w:after="0" w:line="264" w:lineRule="auto"/>
        <w:rPr>
          <w:rFonts w:ascii="Arial" w:cs="Arial" w:eastAsia="Arial" w:hAnsi="Arial"/>
          <w:sz w:val="13"/>
          <w:szCs w:val="13"/>
          <w:color w:val="auto"/>
        </w:rPr>
      </w:pPr>
      <w:r>
        <w:rPr>
          <w:rFonts w:ascii="Arial" w:cs="Arial" w:eastAsia="Arial" w:hAnsi="Arial"/>
          <w:sz w:val="15"/>
          <w:szCs w:val="15"/>
          <w:color w:val="auto"/>
        </w:rPr>
        <w:t>Includes the following number of shares that will be paid at a future date in stock under our deferred compensation plans for the following persons: Mr. Baltimore, 21,559; Ms. Bell, 52,379; Ms. Brady, 16,290; Mr. Breen, 576; Mr. Honickman, 293,649; Ms. Lucas, 7,888; Mr. Nakahara, 72,786; and Mr. Novak, 68,880.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14"/>
        </w:numPr>
        <w:rPr>
          <w:rFonts w:ascii="Arial" w:cs="Arial" w:eastAsia="Arial" w:hAnsi="Arial"/>
          <w:sz w:val="13"/>
          <w:szCs w:val="13"/>
          <w:color w:val="auto"/>
        </w:rPr>
      </w:pPr>
      <w:r>
        <w:rPr>
          <w:rFonts w:ascii="Arial" w:cs="Arial" w:eastAsia="Arial" w:hAnsi="Arial"/>
          <w:sz w:val="15"/>
          <w:szCs w:val="15"/>
          <w:color w:val="auto"/>
        </w:rPr>
        <w:t>Includes 477 shares held by his spouse.</w:t>
      </w:r>
    </w:p>
    <w:p>
      <w:pPr>
        <w:spacing w:after="0" w:line="70" w:lineRule="exact"/>
        <w:rPr>
          <w:rFonts w:ascii="Arial" w:cs="Arial" w:eastAsia="Arial" w:hAnsi="Arial"/>
          <w:sz w:val="13"/>
          <w:szCs w:val="13"/>
          <w:color w:val="auto"/>
        </w:rPr>
      </w:pPr>
    </w:p>
    <w:p>
      <w:pPr>
        <w:ind w:left="320" w:hanging="312"/>
        <w:spacing w:after="0"/>
        <w:tabs>
          <w:tab w:leader="none" w:pos="320" w:val="left"/>
        </w:tabs>
        <w:numPr>
          <w:ilvl w:val="0"/>
          <w:numId w:val="114"/>
        </w:numPr>
        <w:rPr>
          <w:rFonts w:ascii="Arial" w:cs="Arial" w:eastAsia="Arial" w:hAnsi="Arial"/>
          <w:sz w:val="13"/>
          <w:szCs w:val="13"/>
          <w:color w:val="auto"/>
        </w:rPr>
      </w:pPr>
      <w:r>
        <w:rPr>
          <w:rFonts w:ascii="Arial" w:cs="Arial" w:eastAsia="Arial" w:hAnsi="Arial"/>
          <w:sz w:val="15"/>
          <w:szCs w:val="15"/>
          <w:color w:val="auto"/>
        </w:rPr>
        <w:t>Includes 2,200 shares held jointly by her and her spouse and 400 shares held by her spouse.</w:t>
      </w:r>
    </w:p>
    <w:p>
      <w:pPr>
        <w:spacing w:after="0" w:line="70" w:lineRule="exact"/>
        <w:rPr>
          <w:rFonts w:ascii="Arial" w:cs="Arial" w:eastAsia="Arial" w:hAnsi="Arial"/>
          <w:sz w:val="13"/>
          <w:szCs w:val="13"/>
          <w:color w:val="auto"/>
        </w:rPr>
      </w:pPr>
    </w:p>
    <w:p>
      <w:pPr>
        <w:ind w:left="320" w:hanging="312"/>
        <w:spacing w:after="0"/>
        <w:tabs>
          <w:tab w:leader="none" w:pos="320" w:val="left"/>
        </w:tabs>
        <w:numPr>
          <w:ilvl w:val="0"/>
          <w:numId w:val="114"/>
        </w:numPr>
        <w:rPr>
          <w:rFonts w:ascii="Arial" w:cs="Arial" w:eastAsia="Arial" w:hAnsi="Arial"/>
          <w:sz w:val="13"/>
          <w:szCs w:val="13"/>
          <w:color w:val="auto"/>
        </w:rPr>
      </w:pPr>
      <w:r>
        <w:rPr>
          <w:rFonts w:ascii="Arial" w:cs="Arial" w:eastAsia="Arial" w:hAnsi="Arial"/>
          <w:sz w:val="15"/>
          <w:szCs w:val="15"/>
          <w:color w:val="auto"/>
        </w:rPr>
        <w:t>Includes 238,540 shares and 846,045 shares underlying options held by a trust of which his spouse is a trustee.</w:t>
      </w:r>
    </w:p>
    <w:p>
      <w:pPr>
        <w:spacing w:after="0" w:line="70" w:lineRule="exact"/>
        <w:rPr>
          <w:rFonts w:ascii="Arial" w:cs="Arial" w:eastAsia="Arial" w:hAnsi="Arial"/>
          <w:sz w:val="13"/>
          <w:szCs w:val="13"/>
          <w:color w:val="auto"/>
        </w:rPr>
      </w:pPr>
    </w:p>
    <w:p>
      <w:pPr>
        <w:ind w:left="320" w:hanging="312"/>
        <w:spacing w:after="0"/>
        <w:tabs>
          <w:tab w:leader="none" w:pos="320" w:val="left"/>
        </w:tabs>
        <w:numPr>
          <w:ilvl w:val="0"/>
          <w:numId w:val="114"/>
        </w:numPr>
        <w:rPr>
          <w:rFonts w:ascii="Arial" w:cs="Arial" w:eastAsia="Arial" w:hAnsi="Arial"/>
          <w:sz w:val="13"/>
          <w:szCs w:val="13"/>
          <w:color w:val="auto"/>
        </w:rPr>
      </w:pPr>
      <w:r>
        <w:rPr>
          <w:rFonts w:ascii="Arial" w:cs="Arial" w:eastAsia="Arial" w:hAnsi="Arial"/>
          <w:sz w:val="15"/>
          <w:szCs w:val="15"/>
          <w:color w:val="auto"/>
        </w:rPr>
        <w:t>Includes 20,150 shares held by trusts of which he is a trustee.</w:t>
      </w:r>
    </w:p>
    <w:p>
      <w:pPr>
        <w:spacing w:after="0" w:line="70" w:lineRule="exact"/>
        <w:rPr>
          <w:rFonts w:ascii="Arial" w:cs="Arial" w:eastAsia="Arial" w:hAnsi="Arial"/>
          <w:sz w:val="13"/>
          <w:szCs w:val="13"/>
          <w:color w:val="auto"/>
        </w:rPr>
      </w:pPr>
    </w:p>
    <w:p>
      <w:pPr>
        <w:ind w:left="320" w:hanging="312"/>
        <w:spacing w:after="0"/>
        <w:tabs>
          <w:tab w:leader="none" w:pos="320" w:val="left"/>
        </w:tabs>
        <w:numPr>
          <w:ilvl w:val="0"/>
          <w:numId w:val="114"/>
        </w:numPr>
        <w:rPr>
          <w:rFonts w:ascii="Arial" w:cs="Arial" w:eastAsia="Arial" w:hAnsi="Arial"/>
          <w:sz w:val="13"/>
          <w:szCs w:val="13"/>
          <w:color w:val="auto"/>
        </w:rPr>
      </w:pPr>
      <w:r>
        <w:rPr>
          <w:rFonts w:ascii="Arial" w:cs="Arial" w:eastAsia="Arial" w:hAnsi="Arial"/>
          <w:sz w:val="15"/>
          <w:szCs w:val="15"/>
          <w:color w:val="auto"/>
        </w:rPr>
        <w:t>Includes 500 shares held by family trusts.</w:t>
      </w:r>
    </w:p>
    <w:p>
      <w:pPr>
        <w:spacing w:after="0" w:line="70" w:lineRule="exact"/>
        <w:rPr>
          <w:rFonts w:ascii="Arial" w:cs="Arial" w:eastAsia="Arial" w:hAnsi="Arial"/>
          <w:sz w:val="13"/>
          <w:szCs w:val="13"/>
          <w:color w:val="auto"/>
        </w:rPr>
      </w:pPr>
    </w:p>
    <w:p>
      <w:pPr>
        <w:ind w:left="320" w:right="80" w:hanging="312"/>
        <w:spacing w:after="0" w:line="244" w:lineRule="auto"/>
        <w:tabs>
          <w:tab w:leader="none" w:pos="320" w:val="left"/>
        </w:tabs>
        <w:numPr>
          <w:ilvl w:val="0"/>
          <w:numId w:val="114"/>
        </w:numPr>
        <w:rPr>
          <w:rFonts w:ascii="Arial" w:cs="Arial" w:eastAsia="Arial" w:hAnsi="Arial"/>
          <w:sz w:val="13"/>
          <w:szCs w:val="13"/>
          <w:color w:val="auto"/>
        </w:rPr>
      </w:pPr>
      <w:r>
        <w:rPr>
          <w:rFonts w:ascii="Arial" w:cs="Arial" w:eastAsia="Arial" w:hAnsi="Arial"/>
          <w:sz w:val="15"/>
          <w:szCs w:val="15"/>
          <w:color w:val="auto"/>
        </w:rPr>
        <w:t>Includes 286,044 shares owned by his spouse; 1,032,645 shares owned by a family charitable foundation of which his spouse is a trustee; and 16,767,579 shares owned by certain family trusts. Does not include shares of Class A common stock issuable upon conversion of Class B common stock beneficially owned by him; if he were to convert the Class B common stock into Class A common stock, he would beneficially own approximately 1% of the Class A common stock.</w:t>
      </w:r>
    </w:p>
    <w:p>
      <w:pPr>
        <w:spacing w:after="0" w:line="27" w:lineRule="exact"/>
        <w:rPr>
          <w:rFonts w:ascii="Arial" w:cs="Arial" w:eastAsia="Arial" w:hAnsi="Arial"/>
          <w:sz w:val="13"/>
          <w:szCs w:val="13"/>
          <w:color w:val="auto"/>
        </w:rPr>
      </w:pPr>
    </w:p>
    <w:p>
      <w:pPr>
        <w:ind w:left="320" w:hanging="312"/>
        <w:spacing w:after="0"/>
        <w:tabs>
          <w:tab w:leader="none" w:pos="320" w:val="left"/>
        </w:tabs>
        <w:numPr>
          <w:ilvl w:val="0"/>
          <w:numId w:val="114"/>
        </w:numPr>
        <w:rPr>
          <w:rFonts w:ascii="Arial" w:cs="Arial" w:eastAsia="Arial" w:hAnsi="Arial"/>
          <w:sz w:val="13"/>
          <w:szCs w:val="13"/>
          <w:color w:val="auto"/>
        </w:rPr>
      </w:pPr>
      <w:r>
        <w:rPr>
          <w:rFonts w:ascii="Arial" w:cs="Arial" w:eastAsia="Arial" w:hAnsi="Arial"/>
          <w:sz w:val="15"/>
          <w:szCs w:val="15"/>
          <w:color w:val="auto"/>
        </w:rPr>
        <w:t>See footnote (3) under “— Principal Shareholders” above.</w:t>
      </w: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b w:val="1"/>
          <w:bCs w:val="1"/>
          <w:color w:val="00A0DD"/>
        </w:rPr>
        <w:t>Delinquent Section 16(a) Reports</w:t>
      </w:r>
    </w:p>
    <w:p>
      <w:pPr>
        <w:spacing w:after="0" w:line="23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Our directors and executive officers file reports with the SEC pursuant to Section 16(a) of the Exchange Act indicating the number of shares of any class of our equity securities they owned when they became a director or executive officer and, after that, any changes in their ownership of our equity securities. Based on our review of such reports and written representations from the individuals required to file the reports, we believe that all filings required to be made by our reporting persons for 2024 were made on a timely basis.</w:t>
      </w:r>
    </w:p>
    <w:p>
      <w:pPr>
        <w:spacing w:after="0" w:line="16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Compensation of Directors</w:t>
      </w: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00A0DD"/>
        </w:rPr>
        <w:t>Director Compensation Program</w:t>
      </w:r>
    </w:p>
    <w:p>
      <w:pPr>
        <w:spacing w:after="0" w:line="232" w:lineRule="exact"/>
        <w:rPr>
          <w:sz w:val="20"/>
          <w:szCs w:val="20"/>
          <w:color w:val="auto"/>
        </w:rPr>
      </w:pPr>
    </w:p>
    <w:p>
      <w:pPr>
        <w:ind w:right="440"/>
        <w:spacing w:after="0" w:line="249" w:lineRule="auto"/>
        <w:rPr>
          <w:sz w:val="20"/>
          <w:szCs w:val="20"/>
          <w:color w:val="auto"/>
        </w:rPr>
      </w:pPr>
      <w:r>
        <w:rPr>
          <w:rFonts w:ascii="Arial" w:cs="Arial" w:eastAsia="Arial" w:hAnsi="Arial"/>
          <w:sz w:val="17"/>
          <w:szCs w:val="17"/>
          <w:color w:val="auto"/>
        </w:rPr>
        <w:t>From time to time, the Compensation Committee directs an independent compensation consultant to provide analyses with respect to various nonemployee director compensation data. Korn Ferry last provided this analysis in 2023. For 2024, our nonemployee directors received annual compensation as follows:</w:t>
      </w:r>
    </w:p>
    <w:p>
      <w:pPr>
        <w:sectPr>
          <w:pgSz w:w="11900" w:h="16838" w:orient="portrait"/>
          <w:cols w:equalWidth="0" w:num="1">
            <w:col w:w="11240"/>
          </w:cols>
          <w:pgMar w:left="320" w:top="122" w:right="3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00A0DD"/>
        </w:rPr>
        <w:t>DIRECTOR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2768600" cy="4457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6860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COMMITTEE MEMBERSHIP FEES FOR EACH BOARD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1602740" cy="3854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602740" cy="3854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50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annual retainer may be received, at the election of the nonemployee director, in shares of Class A common stock, the receipt of which may be deferred in whole or in part. The receipt of the annual stock grant (which is fully vested upon grant) also may be deferred in whole or in part, as may any fees received by a director. Deferred fees must be invested notionally in a third-party mutual or exchange fund or our Class A common stock fund (with dividends being reinvested in Comcast stock).</w:t>
      </w:r>
    </w:p>
    <w:p>
      <w:pPr>
        <w:spacing w:after="0" w:line="177"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Nonemployee directors are reimbursed for travel expenses for meetings attended. Nonemployee directors are provided with our courtesy services consisting of high-speed internet, video, voice and home security and automation services at two residences, if in our service areas, at no cost during the time they serve and for five years thereafter.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57</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2"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5" w:lineRule="exact"/>
        <w:rPr>
          <w:sz w:val="20"/>
          <w:szCs w:val="20"/>
          <w:color w:val="auto"/>
        </w:rPr>
      </w:pPr>
    </w:p>
    <w:p>
      <w:pPr>
        <w:spacing w:after="0"/>
        <w:rPr>
          <w:sz w:val="20"/>
          <w:szCs w:val="20"/>
          <w:color w:val="auto"/>
        </w:rPr>
      </w:pPr>
      <w:r>
        <w:rPr>
          <w:rFonts w:ascii="Arial" w:cs="Arial" w:eastAsia="Arial" w:hAnsi="Arial"/>
          <w:sz w:val="29"/>
          <w:szCs w:val="29"/>
          <w:b w:val="1"/>
          <w:bCs w:val="1"/>
          <w:color w:val="00A0DD"/>
        </w:rPr>
        <w:t>Director Stock Ownership Policy</w:t>
      </w:r>
    </w:p>
    <w:p>
      <w:pPr>
        <w:spacing w:after="0" w:line="232"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Our nonemployee director stock ownership policy requires our nonemployee directors to hold a number of shares of our common stock having a value equal to five times the director’s annual cash retainer. Each nonemployee director has a period of five years following his or her first year of service to reach this ownership requirement. For purposes of this policy, “ownership” includes 60% of any deferred shares. In determining compliance, the Compensation Committee may consider any noncompliance that occurs solely or primarily as a result of a decline in the market price of our stock. All nonemployee directors satisfied the requirements of our stock ownership policy in 2024.</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0A0DD"/>
        </w:rPr>
        <w:t>Director Compensation</w:t>
      </w:r>
    </w:p>
    <w:p>
      <w:pPr>
        <w:spacing w:after="0" w:line="23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following table sets forth specified information regarding the compensation of our nonemployee directors in 2024. No information is provided for Mr. Roberts, who is an employee director and does not receive compensation for his services as a director.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00" w:type="dxa"/>
            <w:vAlign w:val="bottom"/>
          </w:tcPr>
          <w:p>
            <w:pPr>
              <w:spacing w:after="0"/>
              <w:rPr>
                <w:sz w:val="14"/>
                <w:szCs w:val="14"/>
                <w:color w:val="auto"/>
              </w:rPr>
            </w:pPr>
          </w:p>
        </w:tc>
        <w:tc>
          <w:tcPr>
            <w:tcW w:w="3420" w:type="dxa"/>
            <w:vAlign w:val="bottom"/>
          </w:tcPr>
          <w:p>
            <w:pPr>
              <w:jc w:val="right"/>
              <w:ind w:right="24"/>
              <w:spacing w:after="0"/>
              <w:rPr>
                <w:sz w:val="20"/>
                <w:szCs w:val="20"/>
                <w:color w:val="auto"/>
              </w:rPr>
            </w:pPr>
            <w:r>
              <w:rPr>
                <w:rFonts w:ascii="Arial" w:cs="Arial" w:eastAsia="Arial" w:hAnsi="Arial"/>
                <w:sz w:val="15"/>
                <w:szCs w:val="15"/>
                <w:b w:val="1"/>
                <w:bCs w:val="1"/>
                <w:color w:val="auto"/>
              </w:rPr>
              <w:t>FEES</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342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auto"/>
              </w:rPr>
              <w:t>EARNED</w:t>
            </w:r>
          </w:p>
        </w:tc>
        <w:tc>
          <w:tcPr>
            <w:tcW w:w="10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STOCK</w:t>
            </w:r>
          </w:p>
        </w:tc>
        <w:tc>
          <w:tcPr>
            <w:tcW w:w="162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ALL OTHER</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3420" w:type="dxa"/>
            <w:vAlign w:val="bottom"/>
          </w:tcPr>
          <w:p>
            <w:pPr>
              <w:jc w:val="right"/>
              <w:ind w:right="24"/>
              <w:spacing w:after="0"/>
              <w:rPr>
                <w:sz w:val="20"/>
                <w:szCs w:val="20"/>
                <w:color w:val="auto"/>
              </w:rPr>
            </w:pPr>
            <w:r>
              <w:rPr>
                <w:rFonts w:ascii="Arial" w:cs="Arial" w:eastAsia="Arial" w:hAnsi="Arial"/>
                <w:sz w:val="15"/>
                <w:szCs w:val="15"/>
                <w:b w:val="1"/>
                <w:bCs w:val="1"/>
                <w:color w:val="auto"/>
              </w:rPr>
              <w:t>OR PAID</w:t>
            </w:r>
          </w:p>
        </w:tc>
        <w:tc>
          <w:tcPr>
            <w:tcW w:w="106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NAME</w:t>
            </w:r>
          </w:p>
        </w:tc>
        <w:tc>
          <w:tcPr>
            <w:tcW w:w="3420" w:type="dxa"/>
            <w:vAlign w:val="bottom"/>
          </w:tcPr>
          <w:p>
            <w:pPr>
              <w:jc w:val="right"/>
              <w:ind w:right="24"/>
              <w:spacing w:after="0" w:line="189" w:lineRule="exact"/>
              <w:rPr>
                <w:sz w:val="20"/>
                <w:szCs w:val="20"/>
                <w:color w:val="auto"/>
              </w:rPr>
            </w:pPr>
            <w:r>
              <w:rPr>
                <w:rFonts w:ascii="Arial" w:cs="Arial" w:eastAsia="Arial" w:hAnsi="Arial"/>
                <w:sz w:val="13"/>
                <w:szCs w:val="13"/>
                <w:b w:val="1"/>
                <w:bCs w:val="1"/>
                <w:color w:val="auto"/>
              </w:rPr>
              <w:t>IN CASH</w:t>
            </w:r>
            <w:r>
              <w:rPr>
                <w:rFonts w:ascii="Arial" w:cs="Arial" w:eastAsia="Arial" w:hAnsi="Arial"/>
                <w:sz w:val="21"/>
                <w:szCs w:val="21"/>
                <w:b w:val="1"/>
                <w:bCs w:val="1"/>
                <w:color w:val="auto"/>
                <w:vertAlign w:val="superscript"/>
              </w:rPr>
              <w:t>(1)</w:t>
            </w:r>
          </w:p>
        </w:tc>
        <w:tc>
          <w:tcPr>
            <w:tcW w:w="1060" w:type="dxa"/>
            <w:vAlign w:val="bottom"/>
          </w:tcPr>
          <w:p>
            <w:pPr>
              <w:jc w:val="right"/>
              <w:ind w:right="44"/>
              <w:spacing w:after="0" w:line="189"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1"/>
                <w:szCs w:val="21"/>
                <w:b w:val="1"/>
                <w:bCs w:val="1"/>
                <w:color w:val="auto"/>
                <w:vertAlign w:val="superscript"/>
              </w:rPr>
              <w:t>(2)</w:t>
            </w:r>
          </w:p>
        </w:tc>
        <w:tc>
          <w:tcPr>
            <w:tcW w:w="1620" w:type="dxa"/>
            <w:vAlign w:val="bottom"/>
          </w:tcPr>
          <w:p>
            <w:pPr>
              <w:jc w:val="right"/>
              <w:ind w:right="44"/>
              <w:spacing w:after="0" w:line="189"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21"/>
                <w:szCs w:val="21"/>
                <w:b w:val="1"/>
                <w:bCs w:val="1"/>
                <w:color w:val="auto"/>
                <w:vertAlign w:val="superscript"/>
              </w:rPr>
              <w:t>(3)</w:t>
            </w:r>
          </w:p>
        </w:tc>
        <w:tc>
          <w:tcPr>
            <w:tcW w:w="740" w:type="dxa"/>
            <w:vAlign w:val="bottom"/>
          </w:tcPr>
          <w:p>
            <w:pPr>
              <w:jc w:val="right"/>
              <w:ind w:right="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3420" w:type="dxa"/>
            <w:vAlign w:val="bottom"/>
          </w:tcPr>
          <w:p>
            <w:pPr>
              <w:jc w:val="right"/>
              <w:ind w:right="24"/>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162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39"/>
        </w:trPr>
        <w:tc>
          <w:tcPr>
            <w:tcW w:w="440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40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Kenneth J. Bacon</w:t>
            </w:r>
          </w:p>
        </w:tc>
        <w:tc>
          <w:tcPr>
            <w:tcW w:w="3420" w:type="dxa"/>
            <w:vAlign w:val="bottom"/>
            <w:tcBorders>
              <w:bottom w:val="single" w:sz="8" w:color="DCDDDE"/>
            </w:tcBorders>
          </w:tcPr>
          <w:p>
            <w:pPr>
              <w:jc w:val="right"/>
              <w:ind w:right="24"/>
              <w:spacing w:after="0"/>
              <w:rPr>
                <w:sz w:val="20"/>
                <w:szCs w:val="20"/>
                <w:color w:val="auto"/>
              </w:rPr>
            </w:pPr>
            <w:r>
              <w:rPr>
                <w:rFonts w:ascii="Arial" w:cs="Arial" w:eastAsia="Arial" w:hAnsi="Arial"/>
                <w:sz w:val="15"/>
                <w:szCs w:val="15"/>
                <w:color w:val="auto"/>
              </w:rPr>
              <w:t>160,000</w:t>
            </w:r>
          </w:p>
        </w:tc>
        <w:tc>
          <w:tcPr>
            <w:tcW w:w="106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225,010</w:t>
            </w:r>
          </w:p>
        </w:tc>
        <w:tc>
          <w:tcPr>
            <w:tcW w:w="162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13,338</w:t>
            </w:r>
          </w:p>
        </w:tc>
        <w:tc>
          <w:tcPr>
            <w:tcW w:w="74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398,348</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Thomas J. Baltimore, Jr.</w:t>
            </w:r>
          </w:p>
        </w:tc>
        <w:tc>
          <w:tcPr>
            <w:tcW w:w="3420" w:type="dxa"/>
            <w:vAlign w:val="bottom"/>
            <w:tcBorders>
              <w:bottom w:val="single" w:sz="8" w:color="DCDDDE"/>
            </w:tcBorders>
          </w:tcPr>
          <w:p>
            <w:pPr>
              <w:jc w:val="right"/>
              <w:ind w:right="24"/>
              <w:spacing w:after="0"/>
              <w:rPr>
                <w:sz w:val="20"/>
                <w:szCs w:val="20"/>
                <w:color w:val="auto"/>
              </w:rPr>
            </w:pPr>
            <w:r>
              <w:rPr>
                <w:rFonts w:ascii="Arial" w:cs="Arial" w:eastAsia="Arial" w:hAnsi="Arial"/>
                <w:sz w:val="15"/>
                <w:szCs w:val="15"/>
                <w:color w:val="auto"/>
              </w:rPr>
              <w:t>135,000</w:t>
            </w:r>
          </w:p>
        </w:tc>
        <w:tc>
          <w:tcPr>
            <w:tcW w:w="106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225,010</w:t>
            </w:r>
          </w:p>
        </w:tc>
        <w:tc>
          <w:tcPr>
            <w:tcW w:w="162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8,788</w:t>
            </w:r>
          </w:p>
        </w:tc>
        <w:tc>
          <w:tcPr>
            <w:tcW w:w="74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368,798</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Madeline S. Bell</w:t>
            </w:r>
          </w:p>
        </w:tc>
        <w:tc>
          <w:tcPr>
            <w:tcW w:w="3420" w:type="dxa"/>
            <w:vAlign w:val="bottom"/>
            <w:tcBorders>
              <w:bottom w:val="single" w:sz="8" w:color="DCDDDE"/>
            </w:tcBorders>
          </w:tcPr>
          <w:p>
            <w:pPr>
              <w:jc w:val="right"/>
              <w:ind w:right="24"/>
              <w:spacing w:after="0"/>
              <w:rPr>
                <w:sz w:val="20"/>
                <w:szCs w:val="20"/>
                <w:color w:val="auto"/>
              </w:rPr>
            </w:pPr>
            <w:r>
              <w:rPr>
                <w:rFonts w:ascii="Arial" w:cs="Arial" w:eastAsia="Arial" w:hAnsi="Arial"/>
                <w:sz w:val="15"/>
                <w:szCs w:val="15"/>
                <w:color w:val="auto"/>
              </w:rPr>
              <w:t>135,000</w:t>
            </w:r>
          </w:p>
        </w:tc>
        <w:tc>
          <w:tcPr>
            <w:tcW w:w="106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225,010</w:t>
            </w:r>
          </w:p>
        </w:tc>
        <w:tc>
          <w:tcPr>
            <w:tcW w:w="162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4,817</w:t>
            </w:r>
          </w:p>
        </w:tc>
        <w:tc>
          <w:tcPr>
            <w:tcW w:w="74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364,827</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Louise F. Brady</w:t>
            </w:r>
          </w:p>
        </w:tc>
        <w:tc>
          <w:tcPr>
            <w:tcW w:w="3420" w:type="dxa"/>
            <w:vAlign w:val="bottom"/>
            <w:tcBorders>
              <w:bottom w:val="single" w:sz="8" w:color="DCDDDE"/>
            </w:tcBorders>
          </w:tcPr>
          <w:p>
            <w:pPr>
              <w:jc w:val="right"/>
              <w:ind w:right="24"/>
              <w:spacing w:after="0"/>
              <w:rPr>
                <w:sz w:val="20"/>
                <w:szCs w:val="20"/>
                <w:color w:val="auto"/>
              </w:rPr>
            </w:pPr>
            <w:r>
              <w:rPr>
                <w:rFonts w:ascii="Arial" w:cs="Arial" w:eastAsia="Arial" w:hAnsi="Arial"/>
                <w:sz w:val="15"/>
                <w:szCs w:val="15"/>
                <w:color w:val="auto"/>
              </w:rPr>
              <w:t>135,000</w:t>
            </w:r>
          </w:p>
        </w:tc>
        <w:tc>
          <w:tcPr>
            <w:tcW w:w="106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225,010</w:t>
            </w:r>
          </w:p>
        </w:tc>
        <w:tc>
          <w:tcPr>
            <w:tcW w:w="162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15,430</w:t>
            </w:r>
          </w:p>
        </w:tc>
        <w:tc>
          <w:tcPr>
            <w:tcW w:w="74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375,440</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Edward D. Breen</w:t>
            </w:r>
          </w:p>
        </w:tc>
        <w:tc>
          <w:tcPr>
            <w:tcW w:w="3420" w:type="dxa"/>
            <w:vAlign w:val="bottom"/>
            <w:tcBorders>
              <w:bottom w:val="single" w:sz="8" w:color="DCDDDE"/>
            </w:tcBorders>
          </w:tcPr>
          <w:p>
            <w:pPr>
              <w:jc w:val="right"/>
              <w:ind w:right="24"/>
              <w:spacing w:after="0"/>
              <w:rPr>
                <w:sz w:val="20"/>
                <w:szCs w:val="20"/>
                <w:color w:val="auto"/>
              </w:rPr>
            </w:pPr>
            <w:r>
              <w:rPr>
                <w:rFonts w:ascii="Arial" w:cs="Arial" w:eastAsia="Arial" w:hAnsi="Arial"/>
                <w:sz w:val="15"/>
                <w:szCs w:val="15"/>
                <w:color w:val="auto"/>
              </w:rPr>
              <w:t>160,000</w:t>
            </w:r>
          </w:p>
        </w:tc>
        <w:tc>
          <w:tcPr>
            <w:tcW w:w="106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225,010</w:t>
            </w:r>
          </w:p>
        </w:tc>
        <w:tc>
          <w:tcPr>
            <w:tcW w:w="162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5,787</w:t>
            </w:r>
          </w:p>
        </w:tc>
        <w:tc>
          <w:tcPr>
            <w:tcW w:w="74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390,797</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DCDDDE"/>
            </w:tcBorders>
          </w:tcPr>
          <w:p>
            <w:pPr>
              <w:ind w:left="80"/>
              <w:spacing w:after="0" w:line="250" w:lineRule="exact"/>
              <w:rPr>
                <w:sz w:val="20"/>
                <w:szCs w:val="20"/>
                <w:color w:val="auto"/>
              </w:rPr>
            </w:pPr>
            <w:r>
              <w:rPr>
                <w:rFonts w:ascii="Arial" w:cs="Arial" w:eastAsia="Arial" w:hAnsi="Arial"/>
                <w:sz w:val="15"/>
                <w:szCs w:val="15"/>
                <w:b w:val="1"/>
                <w:bCs w:val="1"/>
                <w:color w:val="auto"/>
              </w:rPr>
              <w:t>Gerald L. Hassell</w:t>
            </w:r>
            <w:r>
              <w:rPr>
                <w:rFonts w:ascii="Arial" w:cs="Arial" w:eastAsia="Arial" w:hAnsi="Arial"/>
                <w:sz w:val="25"/>
                <w:szCs w:val="25"/>
                <w:b w:val="1"/>
                <w:bCs w:val="1"/>
                <w:color w:val="auto"/>
                <w:vertAlign w:val="superscript"/>
              </w:rPr>
              <w:t>(4)</w:t>
            </w:r>
          </w:p>
        </w:tc>
        <w:tc>
          <w:tcPr>
            <w:tcW w:w="3420" w:type="dxa"/>
            <w:vAlign w:val="bottom"/>
            <w:tcBorders>
              <w:bottom w:val="single" w:sz="8" w:color="DCDDDE"/>
            </w:tcBorders>
          </w:tcPr>
          <w:p>
            <w:pPr>
              <w:jc w:val="right"/>
              <w:ind w:right="24"/>
              <w:spacing w:after="0"/>
              <w:rPr>
                <w:sz w:val="20"/>
                <w:szCs w:val="20"/>
                <w:color w:val="auto"/>
              </w:rPr>
            </w:pPr>
            <w:r>
              <w:rPr>
                <w:rFonts w:ascii="Arial" w:cs="Arial" w:eastAsia="Arial" w:hAnsi="Arial"/>
                <w:sz w:val="15"/>
                <w:szCs w:val="15"/>
                <w:color w:val="auto"/>
              </w:rPr>
              <w:t>67,500</w:t>
            </w:r>
          </w:p>
        </w:tc>
        <w:tc>
          <w:tcPr>
            <w:tcW w:w="106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8,020</w:t>
            </w:r>
          </w:p>
        </w:tc>
        <w:tc>
          <w:tcPr>
            <w:tcW w:w="74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75,520</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Jeffrey A. Honickman</w:t>
            </w:r>
          </w:p>
        </w:tc>
        <w:tc>
          <w:tcPr>
            <w:tcW w:w="3420" w:type="dxa"/>
            <w:vAlign w:val="bottom"/>
            <w:tcBorders>
              <w:bottom w:val="single" w:sz="8" w:color="DCDDDE"/>
            </w:tcBorders>
          </w:tcPr>
          <w:p>
            <w:pPr>
              <w:jc w:val="right"/>
              <w:ind w:right="24"/>
              <w:spacing w:after="0"/>
              <w:rPr>
                <w:sz w:val="20"/>
                <w:szCs w:val="20"/>
                <w:color w:val="auto"/>
              </w:rPr>
            </w:pPr>
            <w:r>
              <w:rPr>
                <w:rFonts w:ascii="Arial" w:cs="Arial" w:eastAsia="Arial" w:hAnsi="Arial"/>
                <w:sz w:val="15"/>
                <w:szCs w:val="15"/>
                <w:color w:val="auto"/>
              </w:rPr>
              <w:t>175,000</w:t>
            </w:r>
          </w:p>
        </w:tc>
        <w:tc>
          <w:tcPr>
            <w:tcW w:w="106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225,010</w:t>
            </w:r>
          </w:p>
        </w:tc>
        <w:tc>
          <w:tcPr>
            <w:tcW w:w="162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13,211</w:t>
            </w:r>
          </w:p>
        </w:tc>
        <w:tc>
          <w:tcPr>
            <w:tcW w:w="74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413,221</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Wonya Y. Lucas</w:t>
            </w:r>
          </w:p>
        </w:tc>
        <w:tc>
          <w:tcPr>
            <w:tcW w:w="3420" w:type="dxa"/>
            <w:vAlign w:val="bottom"/>
            <w:tcBorders>
              <w:bottom w:val="single" w:sz="8" w:color="DCDDDE"/>
            </w:tcBorders>
          </w:tcPr>
          <w:p>
            <w:pPr>
              <w:jc w:val="right"/>
              <w:ind w:right="24"/>
              <w:spacing w:after="0"/>
              <w:rPr>
                <w:sz w:val="20"/>
                <w:szCs w:val="20"/>
                <w:color w:val="auto"/>
              </w:rPr>
            </w:pPr>
            <w:r>
              <w:rPr>
                <w:rFonts w:ascii="Arial" w:cs="Arial" w:eastAsia="Arial" w:hAnsi="Arial"/>
                <w:sz w:val="15"/>
                <w:szCs w:val="15"/>
                <w:color w:val="auto"/>
              </w:rPr>
              <w:t>101,250</w:t>
            </w:r>
          </w:p>
        </w:tc>
        <w:tc>
          <w:tcPr>
            <w:tcW w:w="106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393,770</w:t>
            </w:r>
          </w:p>
        </w:tc>
        <w:tc>
          <w:tcPr>
            <w:tcW w:w="162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3,262</w:t>
            </w:r>
          </w:p>
        </w:tc>
        <w:tc>
          <w:tcPr>
            <w:tcW w:w="74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498,282</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DCDDDE"/>
            </w:tcBorders>
          </w:tcPr>
          <w:p>
            <w:pPr>
              <w:ind w:left="80"/>
              <w:spacing w:after="0" w:line="250" w:lineRule="exact"/>
              <w:rPr>
                <w:sz w:val="20"/>
                <w:szCs w:val="20"/>
                <w:color w:val="auto"/>
              </w:rPr>
            </w:pPr>
            <w:r>
              <w:rPr>
                <w:rFonts w:ascii="Arial" w:cs="Arial" w:eastAsia="Arial" w:hAnsi="Arial"/>
                <w:sz w:val="15"/>
                <w:szCs w:val="15"/>
                <w:b w:val="1"/>
                <w:bCs w:val="1"/>
                <w:color w:val="auto"/>
              </w:rPr>
              <w:t>Maritza G. Montiel</w:t>
            </w:r>
            <w:r>
              <w:rPr>
                <w:rFonts w:ascii="Arial" w:cs="Arial" w:eastAsia="Arial" w:hAnsi="Arial"/>
                <w:sz w:val="25"/>
                <w:szCs w:val="25"/>
                <w:b w:val="1"/>
                <w:bCs w:val="1"/>
                <w:color w:val="auto"/>
                <w:vertAlign w:val="superscript"/>
              </w:rPr>
              <w:t>(4)</w:t>
            </w:r>
          </w:p>
        </w:tc>
        <w:tc>
          <w:tcPr>
            <w:tcW w:w="3420" w:type="dxa"/>
            <w:vAlign w:val="bottom"/>
            <w:tcBorders>
              <w:bottom w:val="single" w:sz="8" w:color="DCDDDE"/>
            </w:tcBorders>
          </w:tcPr>
          <w:p>
            <w:pPr>
              <w:jc w:val="right"/>
              <w:ind w:right="24"/>
              <w:spacing w:after="0"/>
              <w:rPr>
                <w:sz w:val="20"/>
                <w:szCs w:val="20"/>
                <w:color w:val="auto"/>
              </w:rPr>
            </w:pPr>
            <w:r>
              <w:rPr>
                <w:rFonts w:ascii="Arial" w:cs="Arial" w:eastAsia="Arial" w:hAnsi="Arial"/>
                <w:sz w:val="15"/>
                <w:szCs w:val="15"/>
                <w:color w:val="auto"/>
              </w:rPr>
              <w:t>67,500</w:t>
            </w:r>
          </w:p>
        </w:tc>
        <w:tc>
          <w:tcPr>
            <w:tcW w:w="106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9,379</w:t>
            </w:r>
          </w:p>
        </w:tc>
        <w:tc>
          <w:tcPr>
            <w:tcW w:w="74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76,879</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Asuka Nakahara</w:t>
            </w:r>
          </w:p>
        </w:tc>
        <w:tc>
          <w:tcPr>
            <w:tcW w:w="3420" w:type="dxa"/>
            <w:vAlign w:val="bottom"/>
            <w:tcBorders>
              <w:bottom w:val="single" w:sz="8" w:color="DCDDDE"/>
            </w:tcBorders>
          </w:tcPr>
          <w:p>
            <w:pPr>
              <w:jc w:val="right"/>
              <w:ind w:right="24"/>
              <w:spacing w:after="0"/>
              <w:rPr>
                <w:sz w:val="20"/>
                <w:szCs w:val="20"/>
                <w:color w:val="auto"/>
              </w:rPr>
            </w:pPr>
            <w:r>
              <w:rPr>
                <w:rFonts w:ascii="Arial" w:cs="Arial" w:eastAsia="Arial" w:hAnsi="Arial"/>
                <w:sz w:val="15"/>
                <w:szCs w:val="15"/>
                <w:color w:val="auto"/>
              </w:rPr>
              <w:t>135,000</w:t>
            </w:r>
          </w:p>
        </w:tc>
        <w:tc>
          <w:tcPr>
            <w:tcW w:w="106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225,010</w:t>
            </w:r>
          </w:p>
        </w:tc>
        <w:tc>
          <w:tcPr>
            <w:tcW w:w="162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19,327</w:t>
            </w:r>
          </w:p>
        </w:tc>
        <w:tc>
          <w:tcPr>
            <w:tcW w:w="74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379,337</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David C. Novak</w:t>
            </w:r>
          </w:p>
        </w:tc>
        <w:tc>
          <w:tcPr>
            <w:tcW w:w="34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135,000</w:t>
            </w: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225,010</w:t>
            </w:r>
          </w:p>
        </w:tc>
        <w:tc>
          <w:tcPr>
            <w:tcW w:w="16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1,536</w:t>
            </w: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361,546</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20" w:right="80" w:hanging="312"/>
        <w:spacing w:after="0" w:line="244" w:lineRule="auto"/>
        <w:tabs>
          <w:tab w:leader="none" w:pos="320" w:val="left"/>
        </w:tabs>
        <w:numPr>
          <w:ilvl w:val="0"/>
          <w:numId w:val="115"/>
        </w:numPr>
        <w:rPr>
          <w:rFonts w:ascii="Arial" w:cs="Arial" w:eastAsia="Arial" w:hAnsi="Arial"/>
          <w:sz w:val="13"/>
          <w:szCs w:val="13"/>
          <w:color w:val="auto"/>
        </w:rPr>
      </w:pPr>
      <w:r>
        <w:rPr>
          <w:rFonts w:ascii="Arial" w:cs="Arial" w:eastAsia="Arial" w:hAnsi="Arial"/>
          <w:sz w:val="15"/>
          <w:szCs w:val="15"/>
          <w:color w:val="auto"/>
        </w:rPr>
        <w:t>This column represents all cash retainers and meeting fees earned by our nonemployee directors in 2024, regardless of whether such amounts were deferred or elected to be received in shares of our Class A common stock. Refer to footnote (2) of the Security Ownership of Directors and Executive Officers table for information on shares deferred by directors.</w:t>
      </w:r>
    </w:p>
    <w:p>
      <w:pPr>
        <w:spacing w:after="0" w:line="27" w:lineRule="exact"/>
        <w:rPr>
          <w:rFonts w:ascii="Arial" w:cs="Arial" w:eastAsia="Arial" w:hAnsi="Arial"/>
          <w:sz w:val="13"/>
          <w:szCs w:val="13"/>
          <w:color w:val="auto"/>
        </w:rPr>
      </w:pPr>
    </w:p>
    <w:p>
      <w:pPr>
        <w:ind w:left="320" w:right="40" w:hanging="312"/>
        <w:spacing w:after="0" w:line="238" w:lineRule="auto"/>
        <w:tabs>
          <w:tab w:leader="none" w:pos="320" w:val="left"/>
        </w:tabs>
        <w:numPr>
          <w:ilvl w:val="0"/>
          <w:numId w:val="115"/>
        </w:numPr>
        <w:rPr>
          <w:rFonts w:ascii="Arial" w:cs="Arial" w:eastAsia="Arial" w:hAnsi="Arial"/>
          <w:sz w:val="13"/>
          <w:szCs w:val="13"/>
          <w:color w:val="auto"/>
        </w:rPr>
      </w:pPr>
      <w:r>
        <w:rPr>
          <w:rFonts w:ascii="Arial" w:cs="Arial" w:eastAsia="Arial" w:hAnsi="Arial"/>
          <w:sz w:val="15"/>
          <w:szCs w:val="15"/>
          <w:color w:val="auto"/>
        </w:rPr>
        <w:t>The amounts in this column represent the aggregate grant date fair value for each award of shares of Class A common stock granted in 2024, in accordance with FASB ASC Topic 718. The amounts in this column were calculated using the valuation assumptions discussed in the “Share-Based Compensation” footnote to the financial statements in our Annual Report on Form 10-K for the year ended December 31, 2024. The amounts were determined by multiplying the Class A common stock closing price on their respective grant date by the number of shares subject to the grant.</w:t>
      </w:r>
    </w:p>
    <w:p>
      <w:pPr>
        <w:spacing w:after="0" w:line="31" w:lineRule="exact"/>
        <w:rPr>
          <w:rFonts w:ascii="Arial" w:cs="Arial" w:eastAsia="Arial" w:hAnsi="Arial"/>
          <w:sz w:val="13"/>
          <w:szCs w:val="13"/>
          <w:color w:val="auto"/>
        </w:rPr>
      </w:pPr>
    </w:p>
    <w:p>
      <w:pPr>
        <w:ind w:left="320" w:hanging="312"/>
        <w:spacing w:after="0"/>
        <w:tabs>
          <w:tab w:leader="none" w:pos="320" w:val="left"/>
        </w:tabs>
        <w:numPr>
          <w:ilvl w:val="0"/>
          <w:numId w:val="115"/>
        </w:numPr>
        <w:rPr>
          <w:rFonts w:ascii="Arial" w:cs="Arial" w:eastAsia="Arial" w:hAnsi="Arial"/>
          <w:sz w:val="13"/>
          <w:szCs w:val="13"/>
          <w:color w:val="auto"/>
        </w:rPr>
      </w:pPr>
      <w:r>
        <w:rPr>
          <w:rFonts w:ascii="Arial" w:cs="Arial" w:eastAsia="Arial" w:hAnsi="Arial"/>
          <w:sz w:val="15"/>
          <w:szCs w:val="15"/>
          <w:color w:val="auto"/>
        </w:rPr>
        <w:t>The amounts in this column represent the incremental cost to the Company of our courtesy services and guest travel to business-related events.</w:t>
      </w:r>
    </w:p>
    <w:p>
      <w:pPr>
        <w:spacing w:after="0" w:line="70" w:lineRule="exact"/>
        <w:rPr>
          <w:rFonts w:ascii="Arial" w:cs="Arial" w:eastAsia="Arial" w:hAnsi="Arial"/>
          <w:sz w:val="13"/>
          <w:szCs w:val="13"/>
          <w:color w:val="auto"/>
        </w:rPr>
      </w:pPr>
    </w:p>
    <w:p>
      <w:pPr>
        <w:ind w:left="320" w:hanging="312"/>
        <w:spacing w:after="0"/>
        <w:tabs>
          <w:tab w:leader="none" w:pos="320" w:val="left"/>
        </w:tabs>
        <w:numPr>
          <w:ilvl w:val="0"/>
          <w:numId w:val="115"/>
        </w:numPr>
        <w:rPr>
          <w:rFonts w:ascii="Arial" w:cs="Arial" w:eastAsia="Arial" w:hAnsi="Arial"/>
          <w:sz w:val="13"/>
          <w:szCs w:val="13"/>
          <w:color w:val="auto"/>
        </w:rPr>
      </w:pPr>
      <w:r>
        <w:rPr>
          <w:rFonts w:ascii="Arial" w:cs="Arial" w:eastAsia="Arial" w:hAnsi="Arial"/>
          <w:sz w:val="15"/>
          <w:szCs w:val="15"/>
          <w:color w:val="auto"/>
        </w:rPr>
        <w:t>Mr. Hassell and Ms. Montiel’s terms ended in June 2024 and they are not nominees for director at our 2025 annual meeting.</w:t>
      </w:r>
    </w:p>
    <w:p>
      <w:pPr>
        <w:spacing w:after="0" w:line="19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Related Party Transactions Policy and Certain Transactions</w:t>
      </w:r>
    </w:p>
    <w:p>
      <w:pPr>
        <w:spacing w:after="0" w:line="23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review all transactions, except for certain de minimis transactions as set forth in our related party transactions policy, involving us in which any of our directors, director nominees, significant shareholders and executive officers and their immediate family members are participants, to determine whether such person has a direct or indirect material interest in the transaction. All directors, director nominees and executive officers are required to promptly notify our Chief Legal Officer of any proposed transaction involving us in which such person has a direct or indirect material interest. The proposed transaction is then reviewed by either the independent members of our Board as a whole, the Governance Committee or the Audit Committee to determine whether the proposed transaction is a related party transaction under our policy. In reviewing any related party transaction, the independent members of the Board as a whole, the Governance Committee or the Audit Committee will determine whether or not to approve or ratify the transaction based on all relevant facts and circumstances, including the following:</w:t>
      </w:r>
    </w:p>
    <w:p>
      <w:pPr>
        <w:spacing w:after="0" w:line="188" w:lineRule="exact"/>
        <w:rPr>
          <w:sz w:val="20"/>
          <w:szCs w:val="20"/>
          <w:color w:val="auto"/>
        </w:rPr>
      </w:pPr>
    </w:p>
    <w:p>
      <w:pPr>
        <w:ind w:left="400" w:hanging="392"/>
        <w:spacing w:after="0"/>
        <w:tabs>
          <w:tab w:leader="none" w:pos="400" w:val="left"/>
        </w:tabs>
        <w:numPr>
          <w:ilvl w:val="0"/>
          <w:numId w:val="11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ind w:left="260" w:hanging="252"/>
        <w:spacing w:after="0"/>
        <w:tabs>
          <w:tab w:leader="none" w:pos="260" w:val="left"/>
        </w:tabs>
        <w:numPr>
          <w:ilvl w:val="0"/>
          <w:numId w:val="117"/>
        </w:numPr>
        <w:rPr>
          <w:rFonts w:ascii="Arial" w:cs="Arial" w:eastAsia="Arial" w:hAnsi="Arial"/>
          <w:sz w:val="17"/>
          <w:szCs w:val="17"/>
          <w:color w:val="00A0DD"/>
        </w:rPr>
      </w:pPr>
      <w:r>
        <w:rPr>
          <w:rFonts w:ascii="Arial" w:cs="Arial" w:eastAsia="Arial" w:hAnsi="Arial"/>
          <w:sz w:val="17"/>
          <w:szCs w:val="17"/>
          <w:color w:val="auto"/>
        </w:rPr>
        <w:t>the materiality and character of the related person’s interest in the transaction;</w:t>
      </w:r>
    </w:p>
    <w:p>
      <w:pPr>
        <w:spacing w:after="0" w:line="61" w:lineRule="exact"/>
        <w:rPr>
          <w:rFonts w:ascii="Arial" w:cs="Arial" w:eastAsia="Arial" w:hAnsi="Arial"/>
          <w:sz w:val="17"/>
          <w:szCs w:val="17"/>
          <w:color w:val="00A0DD"/>
        </w:rPr>
      </w:pPr>
    </w:p>
    <w:p>
      <w:pPr>
        <w:ind w:left="260" w:hanging="252"/>
        <w:spacing w:after="0"/>
        <w:tabs>
          <w:tab w:leader="none" w:pos="260" w:val="left"/>
        </w:tabs>
        <w:numPr>
          <w:ilvl w:val="0"/>
          <w:numId w:val="117"/>
        </w:numPr>
        <w:rPr>
          <w:rFonts w:ascii="Arial" w:cs="Arial" w:eastAsia="Arial" w:hAnsi="Arial"/>
          <w:sz w:val="17"/>
          <w:szCs w:val="17"/>
          <w:color w:val="00A0DD"/>
        </w:rPr>
      </w:pPr>
      <w:r>
        <w:rPr>
          <w:rFonts w:ascii="Arial" w:cs="Arial" w:eastAsia="Arial" w:hAnsi="Arial"/>
          <w:sz w:val="17"/>
          <w:szCs w:val="17"/>
          <w:color w:val="auto"/>
        </w:rPr>
        <w:t>the commercial reasonableness of the terms of the transaction;</w:t>
      </w:r>
    </w:p>
    <w:p>
      <w:pPr>
        <w:spacing w:after="0" w:line="61" w:lineRule="exact"/>
        <w:rPr>
          <w:rFonts w:ascii="Arial" w:cs="Arial" w:eastAsia="Arial" w:hAnsi="Arial"/>
          <w:sz w:val="17"/>
          <w:szCs w:val="17"/>
          <w:color w:val="00A0DD"/>
        </w:rPr>
      </w:pPr>
    </w:p>
    <w:p>
      <w:pPr>
        <w:ind w:left="260" w:hanging="252"/>
        <w:spacing w:after="0"/>
        <w:tabs>
          <w:tab w:leader="none" w:pos="260" w:val="left"/>
        </w:tabs>
        <w:numPr>
          <w:ilvl w:val="0"/>
          <w:numId w:val="117"/>
        </w:numPr>
        <w:rPr>
          <w:rFonts w:ascii="Arial" w:cs="Arial" w:eastAsia="Arial" w:hAnsi="Arial"/>
          <w:sz w:val="17"/>
          <w:szCs w:val="17"/>
          <w:color w:val="00A0DD"/>
        </w:rPr>
      </w:pPr>
      <w:r>
        <w:rPr>
          <w:rFonts w:ascii="Arial" w:cs="Arial" w:eastAsia="Arial" w:hAnsi="Arial"/>
          <w:sz w:val="17"/>
          <w:szCs w:val="17"/>
          <w:color w:val="auto"/>
        </w:rPr>
        <w:t>the benefit and perceived benefit, or lack thereof, to our company;</w:t>
      </w:r>
    </w:p>
    <w:p>
      <w:pPr>
        <w:spacing w:after="0" w:line="61" w:lineRule="exact"/>
        <w:rPr>
          <w:rFonts w:ascii="Arial" w:cs="Arial" w:eastAsia="Arial" w:hAnsi="Arial"/>
          <w:sz w:val="17"/>
          <w:szCs w:val="17"/>
          <w:color w:val="00A0DD"/>
        </w:rPr>
      </w:pPr>
    </w:p>
    <w:p>
      <w:pPr>
        <w:ind w:left="260" w:hanging="252"/>
        <w:spacing w:after="0"/>
        <w:tabs>
          <w:tab w:leader="none" w:pos="260" w:val="left"/>
        </w:tabs>
        <w:numPr>
          <w:ilvl w:val="0"/>
          <w:numId w:val="117"/>
        </w:numPr>
        <w:rPr>
          <w:rFonts w:ascii="Arial" w:cs="Arial" w:eastAsia="Arial" w:hAnsi="Arial"/>
          <w:sz w:val="17"/>
          <w:szCs w:val="17"/>
          <w:color w:val="00A0DD"/>
        </w:rPr>
      </w:pPr>
      <w:r>
        <w:rPr>
          <w:rFonts w:ascii="Arial" w:cs="Arial" w:eastAsia="Arial" w:hAnsi="Arial"/>
          <w:sz w:val="17"/>
          <w:szCs w:val="17"/>
          <w:color w:val="auto"/>
        </w:rPr>
        <w:t>the opportunity costs of alternate transactions; and</w:t>
      </w:r>
    </w:p>
    <w:p>
      <w:pPr>
        <w:spacing w:after="0" w:line="61" w:lineRule="exact"/>
        <w:rPr>
          <w:rFonts w:ascii="Arial" w:cs="Arial" w:eastAsia="Arial" w:hAnsi="Arial"/>
          <w:sz w:val="17"/>
          <w:szCs w:val="17"/>
          <w:color w:val="00A0DD"/>
        </w:rPr>
      </w:pPr>
    </w:p>
    <w:p>
      <w:pPr>
        <w:ind w:left="260" w:hanging="252"/>
        <w:spacing w:after="0"/>
        <w:tabs>
          <w:tab w:leader="none" w:pos="260" w:val="left"/>
        </w:tabs>
        <w:numPr>
          <w:ilvl w:val="0"/>
          <w:numId w:val="117"/>
        </w:numPr>
        <w:rPr>
          <w:rFonts w:ascii="Arial" w:cs="Arial" w:eastAsia="Arial" w:hAnsi="Arial"/>
          <w:sz w:val="17"/>
          <w:szCs w:val="17"/>
          <w:color w:val="00A0DD"/>
        </w:rPr>
      </w:pPr>
      <w:r>
        <w:rPr>
          <w:rFonts w:ascii="Arial" w:cs="Arial" w:eastAsia="Arial" w:hAnsi="Arial"/>
          <w:sz w:val="17"/>
          <w:szCs w:val="17"/>
          <w:color w:val="auto"/>
        </w:rPr>
        <w:t>the actual or apparent conflict of interest of the related person.</w:t>
      </w:r>
    </w:p>
    <w:p>
      <w:pPr>
        <w:spacing w:after="0" w:line="210"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 xml:space="preserve">If the reviewing body determines that a transaction has potential conflict of interest issues and other circumstances warrant, it may also recommend that a special committee review the transaction. After such review, the reviewing body approves or ratifies the transaction only if it determines that the transaction is in, or not inconsistent with, the best interests of our company and our shareholders. Our related party transactions policy is posted under “Corporate Governance” in the Investors section of our website at </w:t>
      </w:r>
      <w:r>
        <w:rPr>
          <w:rFonts w:ascii="Arial" w:cs="Arial" w:eastAsia="Arial" w:hAnsi="Arial"/>
          <w:sz w:val="17"/>
          <w:szCs w:val="17"/>
          <w:i w:val="1"/>
          <w:iCs w:val="1"/>
          <w:color w:val="auto"/>
        </w:rPr>
        <w:t>www.cmcsa.com</w:t>
      </w:r>
      <w:r>
        <w:rPr>
          <w:rFonts w:ascii="Arial" w:cs="Arial" w:eastAsia="Arial" w:hAnsi="Arial"/>
          <w:sz w:val="17"/>
          <w:szCs w:val="17"/>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Related Party Transactions</w:t>
      </w:r>
    </w:p>
    <w:p>
      <w:pPr>
        <w:spacing w:after="0" w:line="232"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Mr. Roberts’ son is an employee of Comcast Spectacor, one of our business units. He received approximately $867,000 in compensation from us and also participated in our employee benefit plans on the same basis as other similarly situated employees in 2024.</w:t>
      </w:r>
    </w:p>
    <w:p>
      <w:pPr>
        <w:spacing w:after="0" w:line="159" w:lineRule="exact"/>
        <w:rPr>
          <w:sz w:val="20"/>
          <w:szCs w:val="20"/>
          <w:color w:val="auto"/>
        </w:rPr>
      </w:pPr>
    </w:p>
    <w:p>
      <w:pPr>
        <w:ind w:right="720"/>
        <w:spacing w:after="0" w:line="267" w:lineRule="auto"/>
        <w:rPr>
          <w:sz w:val="20"/>
          <w:szCs w:val="20"/>
          <w:color w:val="auto"/>
        </w:rPr>
      </w:pPr>
      <w:r>
        <w:rPr>
          <w:rFonts w:ascii="Arial" w:cs="Arial" w:eastAsia="Arial" w:hAnsi="Arial"/>
          <w:sz w:val="17"/>
          <w:szCs w:val="17"/>
          <w:color w:val="auto"/>
        </w:rPr>
        <w:t>Mr. Cavanagh’s daughter is an employee of Comcast Corporation. She received approximately $171,000 in compensation from us and also participated in our employee benefit plans on the same basis as other similarly situated employees in 2024.</w:t>
      </w:r>
    </w:p>
    <w:p>
      <w:pPr>
        <w:spacing w:after="0" w:line="14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Who May Vote</w:t>
      </w:r>
    </w:p>
    <w:p>
      <w:pPr>
        <w:spacing w:after="0" w:line="232"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Holders of record of Class A and Class B common stock of Comcast at the close of business on April 8, 2025 may vote at the annual meeting of shareholders. The Notice of Internet Availability of Proxy Materials (the “Notice”) is being mailed, and this proxy statement is being made available, to our shareholders beginning on or about April 25, 2025.</w:t>
      </w:r>
    </w:p>
    <w:p>
      <w:pPr>
        <w:spacing w:after="0" w:line="163"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Participating and Voting at the Meeting</w:t>
      </w:r>
    </w:p>
    <w:p>
      <w:pPr>
        <w:spacing w:after="0" w:line="23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Attendance at the meeting for purposes of voting and asking questions is limited to shareholders of record on April 8, 2025. Please be sure to have your proxy voting card or notice with you so that you may access your 16-digit control number to log on to the meeting. If your shares are held in the name of your bank, brokerage firm or other nominee, please have your voting instruction form received from your bank, brokerage firm or other nominee, which will contain the relevant control number.</w:t>
      </w:r>
    </w:p>
    <w:p>
      <w:pPr>
        <w:spacing w:after="0" w:line="177"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 xml:space="preserve">If you encounter any difficulties accessing the virtual meeting, please call the technical support number that will be posted on the meeting login page. If there are any technical issues in convening or hosting the meeting, we will promptly post information to the Investors section of our website at </w:t>
      </w:r>
      <w:r>
        <w:rPr>
          <w:rFonts w:ascii="Arial" w:cs="Arial" w:eastAsia="Arial" w:hAnsi="Arial"/>
          <w:sz w:val="17"/>
          <w:szCs w:val="17"/>
          <w:i w:val="1"/>
          <w:iCs w:val="1"/>
          <w:color w:val="auto"/>
        </w:rPr>
        <w:t>www.cmcsa.com</w:t>
      </w:r>
      <w:r>
        <w:rPr>
          <w:rFonts w:ascii="Arial" w:cs="Arial" w:eastAsia="Arial" w:hAnsi="Arial"/>
          <w:sz w:val="17"/>
          <w:szCs w:val="17"/>
          <w:color w:val="auto"/>
        </w:rPr>
        <w:t>, including information on when the meeting will be reconvened. If your shares are held in the name of your bank, brokerage firm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nominee and you have any questions about your control number, please contact the bank, brokerage firm or other nominee that holds your shares.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Conduct of the Meeting</w:t>
      </w:r>
    </w:p>
    <w:p>
      <w:pPr>
        <w:spacing w:after="0" w:line="23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Chairman of our Board (or any other person designated by our Board) has broad authority to conduct the annual meeting of shareholders in an orderly manner. This authority includes establishing and enforcing rules of conduct, which will be available at the meeting online, for shareholders who wish to participate in the meeting. We have structured our virtual meeting to provide shareholders the same rights as if the meeting were held in person, including the ability to vote shares electronically during the meeting and ask questions in accordance with the rules of conduct for the meeting. Questions may be submitted during the meeting in the online question box provided at the meeting. Questions submitted in accordance with the rules of conduct generally will be addressed in the order received (both with respect to specific agenda items and the general question and answer session) and will be read as submitted, unless the question is duplicative of a question already asked and answered or is deemed profane or otherwise inappropriate, in which case the question may be edited or paraphrased.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59</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5"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How to Vote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You may vote at the meeting or by proxy before the meeting. We recommend that you vote by proxy even if you plan to participate in the meeting.</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You can always change your vote at the meeting.</w:t>
      </w:r>
    </w:p>
    <w:p>
      <w:pPr>
        <w:spacing w:after="0" w:line="182"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How Proxies Work</w:t>
      </w:r>
    </w:p>
    <w:p>
      <w:pPr>
        <w:spacing w:after="0" w:line="232"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Our Board of Directors is asking for your proxy. Giving us your proxy means you authorize us to vote your shares at the meeting in the manner you direct. You may vote for all, some or none of our director candidates. You also may vote for or against the other proposals or abstain from voting.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You can vote by proxy before the meeting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342900" cy="3257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0" cy="325755"/>
                    </a:xfrm>
                    <a:prstGeom prst="rect">
                      <a:avLst/>
                    </a:prstGeom>
                    <a:noFill/>
                  </pic:spPr>
                </pic:pic>
              </a:graphicData>
            </a:graphic>
          </wp:anchor>
        </w:drawing>
      </w:r>
    </w:p>
    <w:p>
      <w:pPr>
        <w:spacing w:after="0" w:line="176" w:lineRule="exact"/>
        <w:rPr>
          <w:sz w:val="20"/>
          <w:szCs w:val="20"/>
          <w:color w:val="auto"/>
        </w:rPr>
      </w:pPr>
    </w:p>
    <w:p>
      <w:pPr>
        <w:ind w:left="700"/>
        <w:spacing w:after="0"/>
        <w:tabs>
          <w:tab w:leader="none" w:pos="3862" w:val="left"/>
        </w:tabs>
        <w:rPr>
          <w:sz w:val="20"/>
          <w:szCs w:val="20"/>
          <w:color w:val="auto"/>
        </w:rPr>
      </w:pPr>
      <w:r>
        <w:rPr>
          <w:rFonts w:ascii="Arial" w:cs="Arial" w:eastAsia="Arial" w:hAnsi="Arial"/>
          <w:sz w:val="17"/>
          <w:szCs w:val="17"/>
          <w:b w:val="1"/>
          <w:bCs w:val="1"/>
          <w:i w:val="1"/>
          <w:iCs w:val="1"/>
          <w:color w:val="00A0E0"/>
        </w:rPr>
        <w:t>Internet</w:t>
      </w:r>
      <w:r>
        <w:rPr>
          <w:sz w:val="20"/>
          <w:szCs w:val="20"/>
          <w:color w:val="auto"/>
        </w:rPr>
        <w:tab/>
      </w:r>
      <w:r>
        <w:rPr>
          <w:sz w:val="1"/>
          <w:szCs w:val="1"/>
          <w:color w:val="auto"/>
        </w:rPr>
        <w:drawing>
          <wp:inline distT="0" distB="0" distL="0" distR="0">
            <wp:extent cx="222885" cy="32575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22885" cy="325755"/>
                    </a:xfrm>
                    <a:prstGeom prst="rect">
                      <a:avLst/>
                    </a:prstGeom>
                    <a:noFill/>
                    <a:ln>
                      <a:noFill/>
                    </a:ln>
                  </pic:spPr>
                </pic:pic>
              </a:graphicData>
            </a:graphic>
          </wp:inline>
        </w:drawing>
      </w:r>
      <w:r>
        <w:rPr>
          <w:rFonts w:ascii="Arial" w:cs="Arial" w:eastAsia="Arial" w:hAnsi="Arial"/>
          <w:sz w:val="17"/>
          <w:szCs w:val="17"/>
          <w:b w:val="1"/>
          <w:bCs w:val="1"/>
          <w:i w:val="1"/>
          <w:iCs w:val="1"/>
          <w:color w:val="00A0E0"/>
        </w:rPr>
        <w:t xml:space="preserve">  Telephone                           </w:t>
      </w:r>
      <w:r>
        <w:rPr>
          <w:sz w:val="1"/>
          <w:szCs w:val="1"/>
          <w:color w:val="auto"/>
        </w:rPr>
        <w:drawing>
          <wp:inline distT="0" distB="0" distL="0" distR="0">
            <wp:extent cx="342900" cy="32575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0" cy="325755"/>
                    </a:xfrm>
                    <a:prstGeom prst="rect">
                      <a:avLst/>
                    </a:prstGeom>
                    <a:noFill/>
                    <a:ln>
                      <a:noFill/>
                    </a:ln>
                  </pic:spPr>
                </pic:pic>
              </a:graphicData>
            </a:graphic>
          </wp:inline>
        </w:drawing>
      </w:r>
      <w:r>
        <w:rPr>
          <w:rFonts w:ascii="Arial" w:cs="Arial" w:eastAsia="Arial" w:hAnsi="Arial"/>
          <w:sz w:val="17"/>
          <w:szCs w:val="17"/>
          <w:b w:val="1"/>
          <w:bCs w:val="1"/>
          <w:i w:val="1"/>
          <w:iCs w:val="1"/>
          <w:color w:val="00A0E0"/>
        </w:rPr>
        <w:t xml:space="preserve">  Mail</w:t>
      </w:r>
    </w:p>
    <w:p>
      <w:pPr>
        <w:sectPr>
          <w:pgSz w:w="11900" w:h="16838" w:orient="portrait"/>
          <w:cols w:equalWidth="0" w:num="1">
            <w:col w:w="11200"/>
          </w:cols>
          <w:pgMar w:left="320" w:top="122" w:right="379" w:bottom="1440" w:gutter="0" w:footer="0" w:header="0"/>
        </w:sectPr>
      </w:pPr>
    </w:p>
    <w:p>
      <w:pPr>
        <w:spacing w:after="0" w:line="8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Go to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or scan the QR code on your Notice or proxy card with a smartphone or tablet, and then follow the instructions outlined on the secure website.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Call toll free 1-800-690-6903 and follow the instructions provided on the recorded message. If you hold shares beneficially, through a broker, brokerage firm, bank or other nominee, please refer to the instructions your broker, brokerage firm, bank or other nominee provided to you regarding voting by telephone.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Complete, sign and date your proxy card and return it in the enclosed envelope.</w:t>
      </w:r>
    </w:p>
    <w:p>
      <w:pPr>
        <w:spacing w:after="0" w:line="1293" w:lineRule="exact"/>
        <w:rPr>
          <w:sz w:val="20"/>
          <w:szCs w:val="20"/>
          <w:color w:val="auto"/>
        </w:rPr>
      </w:pPr>
    </w:p>
    <w:p>
      <w:pPr>
        <w:sectPr>
          <w:pgSz w:w="11900" w:h="16838" w:orient="portrait"/>
          <w:cols w:equalWidth="0" w:num="3">
            <w:col w:w="3600" w:space="280"/>
            <w:col w:w="3260" w:space="320"/>
            <w:col w:w="3740"/>
          </w:cols>
          <w:pgMar w:left="320" w:top="122" w:right="379" w:bottom="1440" w:gutter="0" w:footer="0" w:header="0"/>
          <w:type w:val="continuous"/>
        </w:sectPr>
      </w:pPr>
    </w:p>
    <w:p>
      <w:pPr>
        <w:spacing w:after="0"/>
        <w:rPr>
          <w:sz w:val="20"/>
          <w:szCs w:val="20"/>
          <w:color w:val="auto"/>
        </w:rPr>
      </w:pPr>
      <w:r>
        <w:rPr>
          <w:rFonts w:ascii="Arial" w:cs="Arial" w:eastAsia="Arial" w:hAnsi="Arial"/>
          <w:sz w:val="17"/>
          <w:szCs w:val="17"/>
          <w:color w:val="auto"/>
        </w:rPr>
        <w:t>If you vote via the internet or by telephone, your vote must be received by 11:59 p.m. Eastern Time on June 17, 2025.</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If your shares are held in the name of your bank, brokerage firm or other nominee, please follow the voting instructions you received from your bank, brokerage firm or other nominee.</w:t>
      </w:r>
    </w:p>
    <w:p>
      <w:pPr>
        <w:spacing w:after="0" w:line="159" w:lineRule="exact"/>
        <w:rPr>
          <w:sz w:val="20"/>
          <w:szCs w:val="20"/>
          <w:color w:val="auto"/>
        </w:rPr>
      </w:pPr>
    </w:p>
    <w:p>
      <w:pPr>
        <w:ind w:right="320"/>
        <w:spacing w:after="0" w:line="248" w:lineRule="auto"/>
        <w:rPr>
          <w:sz w:val="20"/>
          <w:szCs w:val="20"/>
          <w:color w:val="auto"/>
        </w:rPr>
      </w:pPr>
      <w:r>
        <w:rPr>
          <w:rFonts w:ascii="Arial" w:cs="Arial" w:eastAsia="Arial" w:hAnsi="Arial"/>
          <w:sz w:val="17"/>
          <w:szCs w:val="17"/>
          <w:b w:val="1"/>
          <w:bCs w:val="1"/>
          <w:color w:val="auto"/>
        </w:rPr>
        <w:t>If you give us your signed proxy but do not specify how to vote, we will vote your shares (i) in favor of (a) the director candidates, (b) ratifying the appointment of our independent auditors, (c) increasing the share authorization under the Comcast-NBCUniversal 2011 Employee Stock Purchase Plan and (d) the approval, on an advisory basis, of our executive compensation; and (ii) against each of the shareholder proposals.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Matters to be Presented</w:t>
      </w:r>
    </w:p>
    <w:p>
      <w:pPr>
        <w:spacing w:after="0" w:line="23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We are not aware of any matters to be presented at the meeting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165"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Revoking a Proxy</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You may revoke your proxy before it is voted by:</w:t>
      </w:r>
    </w:p>
    <w:p>
      <w:pPr>
        <w:spacing w:after="0" w:line="210" w:lineRule="exact"/>
        <w:rPr>
          <w:sz w:val="20"/>
          <w:szCs w:val="20"/>
          <w:color w:val="auto"/>
        </w:rPr>
      </w:pPr>
    </w:p>
    <w:p>
      <w:pPr>
        <w:ind w:left="260" w:hanging="252"/>
        <w:spacing w:after="0"/>
        <w:tabs>
          <w:tab w:leader="none" w:pos="260" w:val="left"/>
        </w:tabs>
        <w:numPr>
          <w:ilvl w:val="0"/>
          <w:numId w:val="118"/>
        </w:numPr>
        <w:rPr>
          <w:rFonts w:ascii="Arial" w:cs="Arial" w:eastAsia="Arial" w:hAnsi="Arial"/>
          <w:sz w:val="17"/>
          <w:szCs w:val="17"/>
          <w:color w:val="00A0E0"/>
        </w:rPr>
      </w:pPr>
      <w:r>
        <w:rPr>
          <w:rFonts w:ascii="Arial" w:cs="Arial" w:eastAsia="Arial" w:hAnsi="Arial"/>
          <w:sz w:val="17"/>
          <w:szCs w:val="17"/>
          <w:color w:val="auto"/>
        </w:rPr>
        <w:t>submitting a new proxy with a later date, including a proxy given via the internet or by telephone;</w:t>
      </w:r>
    </w:p>
    <w:p>
      <w:pPr>
        <w:spacing w:after="0" w:line="61" w:lineRule="exact"/>
        <w:rPr>
          <w:rFonts w:ascii="Arial" w:cs="Arial" w:eastAsia="Arial" w:hAnsi="Arial"/>
          <w:sz w:val="17"/>
          <w:szCs w:val="17"/>
          <w:color w:val="00A0E0"/>
        </w:rPr>
      </w:pPr>
    </w:p>
    <w:p>
      <w:pPr>
        <w:ind w:left="260" w:hanging="252"/>
        <w:spacing w:after="0"/>
        <w:tabs>
          <w:tab w:leader="none" w:pos="260" w:val="left"/>
        </w:tabs>
        <w:numPr>
          <w:ilvl w:val="0"/>
          <w:numId w:val="118"/>
        </w:numPr>
        <w:rPr>
          <w:rFonts w:ascii="Arial" w:cs="Arial" w:eastAsia="Arial" w:hAnsi="Arial"/>
          <w:sz w:val="17"/>
          <w:szCs w:val="17"/>
          <w:color w:val="00A0E0"/>
        </w:rPr>
      </w:pPr>
      <w:r>
        <w:rPr>
          <w:rFonts w:ascii="Arial" w:cs="Arial" w:eastAsia="Arial" w:hAnsi="Arial"/>
          <w:sz w:val="17"/>
          <w:szCs w:val="17"/>
          <w:color w:val="auto"/>
        </w:rPr>
        <w:t>notifying our Secretary in writing before the meeting at the address given below; or</w:t>
      </w:r>
    </w:p>
    <w:p>
      <w:pPr>
        <w:spacing w:after="0" w:line="61" w:lineRule="exact"/>
        <w:rPr>
          <w:rFonts w:ascii="Arial" w:cs="Arial" w:eastAsia="Arial" w:hAnsi="Arial"/>
          <w:sz w:val="17"/>
          <w:szCs w:val="17"/>
          <w:color w:val="00A0E0"/>
        </w:rPr>
      </w:pPr>
    </w:p>
    <w:p>
      <w:pPr>
        <w:ind w:left="260" w:hanging="252"/>
        <w:spacing w:after="0"/>
        <w:tabs>
          <w:tab w:leader="none" w:pos="260" w:val="left"/>
        </w:tabs>
        <w:numPr>
          <w:ilvl w:val="0"/>
          <w:numId w:val="118"/>
        </w:numPr>
        <w:rPr>
          <w:rFonts w:ascii="Arial" w:cs="Arial" w:eastAsia="Arial" w:hAnsi="Arial"/>
          <w:sz w:val="17"/>
          <w:szCs w:val="17"/>
          <w:color w:val="00A0E0"/>
        </w:rPr>
      </w:pPr>
      <w:r>
        <w:rPr>
          <w:rFonts w:ascii="Arial" w:cs="Arial" w:eastAsia="Arial" w:hAnsi="Arial"/>
          <w:sz w:val="17"/>
          <w:szCs w:val="17"/>
          <w:color w:val="auto"/>
        </w:rPr>
        <w:t>voting in person at the meeting.</w:t>
      </w:r>
    </w:p>
    <w:p>
      <w:pPr>
        <w:spacing w:after="0" w:line="198"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Notice of Electronic Availability of Proxy Materials</w:t>
      </w:r>
    </w:p>
    <w:p>
      <w:pPr>
        <w:spacing w:after="0" w:line="23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Pursuant to the rules of the SEC, we are making this proxy statement and our Annual Report on Form 10-K available to our shareholders electronically via the internet. In compliance with this e-proxy process, on or about April 25, 2025, we mailed to our shareholders of record and beneficial owners the Notice containing instructions on how to access this proxy statement and our Annual Report on Form 10-K via the internet and how to vote online. As a result, you will not receive a paper copy of the proxy materials unless you request one. All shareholders may access the proxy materials on the website referred to in the Notice and in this proxy statement and request to receive a set of the proxy materials by mail or electronically, in either case, free of charge. If you would like to receive a paper or electronic copy of our proxy materials, you should follow the instructions for requesting such materials in the Notice. By participating in the e-proxy process, we reduce the impact of our annual meeting of shareholders on the environment and save money on</w:t>
      </w:r>
    </w:p>
    <w:p>
      <w:pPr>
        <w:spacing w:after="0" w:line="188" w:lineRule="exact"/>
        <w:rPr>
          <w:sz w:val="20"/>
          <w:szCs w:val="20"/>
          <w:color w:val="auto"/>
        </w:rPr>
      </w:pPr>
    </w:p>
    <w:p>
      <w:pPr>
        <w:ind w:left="400" w:hanging="392"/>
        <w:spacing w:after="0"/>
        <w:tabs>
          <w:tab w:leader="none" w:pos="400" w:val="left"/>
        </w:tabs>
        <w:numPr>
          <w:ilvl w:val="0"/>
          <w:numId w:val="11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the cost of printing and mailing documents to you. See “Electronic Access to Proxy Materials and Annual Report on Form 10-K” below for further information on electing to receive proxy materials electronically.</w:t>
      </w:r>
    </w:p>
    <w:p>
      <w:pPr>
        <w:spacing w:after="0" w:line="147"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Additional Information on the Annual Meeting of Shareholders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If you have questions or would like more information about the annual meeting of shareholders, you can contact us in any of the following ways:</w:t>
      </w:r>
    </w:p>
    <w:p>
      <w:pPr>
        <w:sectPr>
          <w:pgSz w:w="11900" w:h="16838" w:orient="portrait"/>
          <w:cols w:equalWidth="0" w:num="1">
            <w:col w:w="11240"/>
          </w:cols>
          <w:pgMar w:left="320" w:top="122" w:right="339" w:bottom="1440" w:gutter="0" w:footer="0" w:header="0"/>
        </w:sectPr>
      </w:pPr>
    </w:p>
    <w:p>
      <w:pPr>
        <w:spacing w:after="0" w:line="210" w:lineRule="exact"/>
        <w:rPr>
          <w:sz w:val="20"/>
          <w:szCs w:val="20"/>
          <w:color w:val="auto"/>
        </w:rPr>
      </w:pPr>
    </w:p>
    <w:p>
      <w:pPr>
        <w:ind w:left="260" w:hanging="260"/>
        <w:spacing w:after="0" w:line="296" w:lineRule="auto"/>
        <w:tabs>
          <w:tab w:leader="none" w:pos="240" w:val="left"/>
        </w:tabs>
        <w:rPr>
          <w:sz w:val="20"/>
          <w:szCs w:val="20"/>
          <w:color w:val="auto"/>
        </w:rPr>
      </w:pPr>
      <w:r>
        <w:rPr>
          <w:rFonts w:ascii="Times New Roman" w:cs="Times New Roman" w:eastAsia="Times New Roman" w:hAnsi="Times New Roman"/>
          <w:sz w:val="17"/>
          <w:szCs w:val="17"/>
          <w:color w:val="00A0E0"/>
        </w:rPr>
        <w:t>●</w:t>
      </w:r>
      <w:r>
        <w:rPr>
          <w:sz w:val="20"/>
          <w:szCs w:val="20"/>
          <w:color w:val="auto"/>
        </w:rPr>
        <w:tab/>
      </w:r>
      <w:r>
        <w:rPr>
          <w:rFonts w:ascii="Arial" w:cs="Arial" w:eastAsia="Arial" w:hAnsi="Arial"/>
          <w:sz w:val="17"/>
          <w:szCs w:val="17"/>
          <w:b w:val="1"/>
          <w:bCs w:val="1"/>
          <w:i w:val="1"/>
          <w:iCs w:val="1"/>
          <w:color w:val="auto"/>
        </w:rPr>
        <w:t>Via the internet: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Go to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or scan the QR code on your Notice or proxy card with a smartphone or tablet.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7"/>
          <w:szCs w:val="17"/>
          <w:color w:val="00A0E0"/>
        </w:rPr>
        <w:t>●</w:t>
      </w:r>
      <w:r>
        <w:rPr>
          <w:sz w:val="20"/>
          <w:szCs w:val="20"/>
          <w:color w:val="auto"/>
        </w:rPr>
        <w:tab/>
      </w:r>
      <w:r>
        <w:rPr>
          <w:rFonts w:ascii="Arial" w:cs="Arial" w:eastAsia="Arial" w:hAnsi="Arial"/>
          <w:sz w:val="17"/>
          <w:szCs w:val="17"/>
          <w:b w:val="1"/>
          <w:bCs w:val="1"/>
          <w:i w:val="1"/>
          <w:iCs w:val="1"/>
          <w:color w:val="auto"/>
        </w:rPr>
        <w:t>By writing:</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860"/>
        <w:spacing w:after="0" w:line="243" w:lineRule="auto"/>
        <w:rPr>
          <w:sz w:val="20"/>
          <w:szCs w:val="20"/>
          <w:color w:val="auto"/>
        </w:rPr>
      </w:pPr>
      <w:r>
        <w:rPr>
          <w:rFonts w:ascii="Arial" w:cs="Arial" w:eastAsia="Arial" w:hAnsi="Arial"/>
          <w:sz w:val="17"/>
          <w:szCs w:val="17"/>
          <w:color w:val="auto"/>
        </w:rPr>
        <w:t>Thomas J. Reid, Secretary Comcast Corporation One Comcast Center Philadelphia, PA 19103</w:t>
      </w:r>
    </w:p>
    <w:p>
      <w:pPr>
        <w:spacing w:after="0" w:line="1" w:lineRule="exact"/>
        <w:rPr>
          <w:sz w:val="20"/>
          <w:szCs w:val="20"/>
          <w:color w:val="auto"/>
        </w:rPr>
      </w:pPr>
    </w:p>
    <w:p>
      <w:pPr>
        <w:sectPr>
          <w:pgSz w:w="11900" w:h="16838" w:orient="portrait"/>
          <w:cols w:equalWidth="0" w:num="4">
            <w:col w:w="960" w:space="500"/>
            <w:col w:w="4200" w:space="460"/>
            <w:col w:w="1120" w:space="120"/>
            <w:col w:w="3880"/>
          </w:cols>
          <w:pgMar w:left="320" w:top="122" w:right="339" w:bottom="1440" w:gutter="0" w:footer="0" w:header="0"/>
          <w:type w:val="continuous"/>
        </w:sectPr>
      </w:pPr>
    </w:p>
    <w:p>
      <w:pPr>
        <w:ind w:left="260" w:hanging="243"/>
        <w:spacing w:after="0"/>
        <w:tabs>
          <w:tab w:leader="none" w:pos="260" w:val="left"/>
        </w:tabs>
        <w:numPr>
          <w:ilvl w:val="0"/>
          <w:numId w:val="120"/>
        </w:numPr>
        <w:rPr>
          <w:rFonts w:ascii="Times New Roman" w:cs="Times New Roman" w:eastAsia="Times New Roman" w:hAnsi="Times New Roman"/>
          <w:sz w:val="17"/>
          <w:szCs w:val="17"/>
          <w:color w:val="00A0E0"/>
        </w:rPr>
      </w:pPr>
      <w:r>
        <w:rPr>
          <w:rFonts w:ascii="Arial" w:cs="Arial" w:eastAsia="Arial" w:hAnsi="Arial"/>
          <w:sz w:val="17"/>
          <w:szCs w:val="17"/>
          <w:b w:val="1"/>
          <w:bCs w:val="1"/>
          <w:i w:val="1"/>
          <w:iCs w:val="1"/>
          <w:color w:val="auto"/>
        </w:rPr>
        <w:t xml:space="preserve">By telephone: </w:t>
      </w:r>
      <w:r>
        <w:rPr>
          <w:rFonts w:ascii="Arial" w:cs="Arial" w:eastAsia="Arial" w:hAnsi="Arial"/>
          <w:sz w:val="17"/>
          <w:szCs w:val="17"/>
          <w:color w:val="auto"/>
        </w:rPr>
        <w:t>Call toll free 1-866-281-2100</w:t>
      </w:r>
    </w:p>
    <w:p>
      <w:pPr>
        <w:spacing w:after="0" w:line="175"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Shareholder Proposals for Next Year</w:t>
      </w:r>
    </w:p>
    <w:p>
      <w:pPr>
        <w:spacing w:after="0" w:line="23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Any shareholder proposals intended to be presented at our 2026 annual meeting of shareholders and considered for inclusion in our proxy materials under Rule 14a-8 under the Exchange Act (“Rule 14a-8”) must be received no later than December 26, 2025 and must comply with the procedures and requirements of Rule 14a-8. Shareholder proposals failing to comply with the procedures of Rule 14a-8 under the Exchange Act will be excluded. If the date of our 2026 annual meeting is more than 30 days from June 18, 2026, we will publicly announce a different submission deadline from that set forth above, in compliance with SEC rules.</w:t>
      </w:r>
    </w:p>
    <w:p>
      <w:pPr>
        <w:spacing w:after="0" w:line="18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Any shareholder proposals (other than those proposals seeking to nominate directors) that are intended to be presented at the annual meeting of shareholders in 2026 but not to be included in our proxy materials must comply with the advance notice provision in Section 2.09 of our bylaws. If we call the 2026 annual meeting of shareholders for a date between May 19, 2026 and July 18, 2026, we must receive notice of the proposal at our mailing address immediately above on or after February 18, 2026 and no later than the close of business on March 20, 2026. If we call the 2026 annual meeting of shareholders for any other date, we must receive notice of the proposal no later than the close of business on the tenth day following the day on which we first make a public announcement of the date of the meeting. If notice is not received by the close of business on March 20, 2026 (or the close of business on the tenth day following the day we publicly announce the date of our 2026 annual meeting of shareholders, if such meeting is not called for a date between May 19, 2026 and July 18, 2026), the shareholder proposals will be deemed “untimely.”</w:t>
      </w:r>
    </w:p>
    <w:p>
      <w:pPr>
        <w:spacing w:after="0" w:line="187" w:lineRule="exact"/>
        <w:rPr>
          <w:sz w:val="20"/>
          <w:szCs w:val="20"/>
          <w:color w:val="auto"/>
        </w:rPr>
      </w:pPr>
    </w:p>
    <w:p>
      <w:pPr>
        <w:ind w:right="440"/>
        <w:spacing w:after="0" w:line="267" w:lineRule="auto"/>
        <w:rPr>
          <w:sz w:val="20"/>
          <w:szCs w:val="20"/>
          <w:color w:val="auto"/>
        </w:rPr>
      </w:pPr>
      <w:r>
        <w:rPr>
          <w:rFonts w:ascii="Arial" w:cs="Arial" w:eastAsia="Arial" w:hAnsi="Arial"/>
          <w:sz w:val="17"/>
          <w:szCs w:val="17"/>
          <w:color w:val="auto"/>
        </w:rPr>
        <w:t>Shareholders who wish to nominate directors for election must comply with the procedures described under “Corporate Governance and Board Matters – Board of Directors Nominees – Director Nominations – Shareholder Nominees.”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All shareholder proposals should be directed to Thomas J. Reid, Secretary, Comcast Corporation, at our mailing address immediately above.</w:t>
      </w:r>
    </w:p>
    <w:p>
      <w:pPr>
        <w:spacing w:after="0" w:line="198"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Solicitation of Proxies</w:t>
      </w:r>
    </w:p>
    <w:p>
      <w:pPr>
        <w:spacing w:after="0" w:line="23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pay the cost of this proxy solicitation. Pursuant to SEC rules, we are making this proxy statement and our Annual Report on Form 10-K available to our shareholders electronically via the internet. In addition to soliciting proxies by the internet and mail, we expect that a number of our employees will solicit shareholders personally and by telephone. None of these employees will receive any additional or special compensation for doing this. We have retained D.F. King &amp; Co., Inc. to assist in the solicitation of proxies for aggregate fees of approximately $34,500 plus reasonable out-of-pocket costs and expenses. The agreement with D.F. King contains customary indemnification provisions. We will, on request, reimburse banks, brokerage firms and other nominees for their expenses in sending proxy materials to their customers who are beneficial owners of our common stock and obtaining their voting instructions.</w:t>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Electronic Access to Proxy Materials and Annual Report on Form 10-K</w:t>
      </w:r>
    </w:p>
    <w:p>
      <w:pPr>
        <w:spacing w:after="0" w:line="232"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 xml:space="preserve">Shareholders can access this proxy statement and our Annual Report on Form 10-K via the internet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or by scanning the QR code on the Notice or proxy card with a smartphone or tablet, and then following the instructions outlined on the secure website. For future annual meetings of shareholders, shareholders can consent to accessing their proxy materials, including the Notice, the proxy statement and the annual report, electronically in lieu of receiving them by mail. To receive materials electronically, you will need access to a computer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61</w:t>
            </w:r>
          </w:p>
        </w:tc>
      </w:tr>
      <w:tr>
        <w:trPr>
          <w:trHeight w:val="231"/>
        </w:trPr>
        <w:tc>
          <w:tcPr>
            <w:tcW w:w="10940" w:type="dxa"/>
            <w:vAlign w:val="bottom"/>
            <w:tcBorders>
              <w:bottom w:val="single" w:sz="8" w:color="A1A1A1"/>
            </w:tcBorders>
          </w:tcPr>
          <w:p>
            <w:pPr>
              <w:spacing w:after="0"/>
              <w:rPr>
                <w:sz w:val="20"/>
                <w:szCs w:val="20"/>
                <w:color w:val="auto"/>
              </w:rPr>
            </w:pPr>
          </w:p>
        </w:tc>
        <w:tc>
          <w:tcPr>
            <w:tcW w:w="30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2"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and an e-mail account. You will have the opportunity to revoke your request for electronic delivery at any time without charge.</w:t>
      </w:r>
    </w:p>
    <w:p>
      <w:pPr>
        <w:spacing w:after="0" w:line="21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 xml:space="preserve">If you are a registered shareholder and you have not already done so, you can choose this electronic delivery option by following the instructions provided when voting via the internet and provided on the proxy card. Your choice will remain in effect unless you revoke it by contacting our transfer agent, Equiniti Trust Company, LLC D/B/A EQ Shareowner Services (“EQ Shareowner Services”), at 1-888-883-8903 or P.O. Box 64854, St. Paul, MN 55164-0854 or by signing on to your account at </w:t>
      </w:r>
      <w:r>
        <w:rPr>
          <w:rFonts w:ascii="Arial" w:cs="Arial" w:eastAsia="Arial" w:hAnsi="Arial"/>
          <w:sz w:val="17"/>
          <w:szCs w:val="17"/>
          <w:i w:val="1"/>
          <w:iCs w:val="1"/>
          <w:color w:val="auto"/>
        </w:rPr>
        <w:t>https://www.shareowneronline.com/comcast</w:t>
      </w:r>
      <w:r>
        <w:rPr>
          <w:rFonts w:ascii="Arial" w:cs="Arial" w:eastAsia="Arial" w:hAnsi="Arial"/>
          <w:sz w:val="17"/>
          <w:szCs w:val="17"/>
          <w:color w:val="auto"/>
        </w:rPr>
        <w:t>. You may update your electronic address by contacting EQ Shareowner Services.</w:t>
      </w:r>
    </w:p>
    <w:p>
      <w:pPr>
        <w:spacing w:after="0" w:line="180" w:lineRule="exact"/>
        <w:rPr>
          <w:sz w:val="20"/>
          <w:szCs w:val="20"/>
          <w:color w:val="auto"/>
        </w:rPr>
      </w:pPr>
    </w:p>
    <w:p>
      <w:pPr>
        <w:jc w:val="both"/>
        <w:ind w:right="80"/>
        <w:spacing w:after="0" w:line="249" w:lineRule="auto"/>
        <w:rPr>
          <w:sz w:val="20"/>
          <w:szCs w:val="20"/>
          <w:color w:val="auto"/>
        </w:rPr>
      </w:pPr>
      <w:r>
        <w:rPr>
          <w:rFonts w:ascii="Arial" w:cs="Arial" w:eastAsia="Arial" w:hAnsi="Arial"/>
          <w:sz w:val="17"/>
          <w:szCs w:val="17"/>
          <w:color w:val="auto"/>
        </w:rPr>
        <w:t>If you hold your shares through a bank, brokerage firm or other nominee and you have not already done so, you can choose this electronic delivery option by contacting your nominee or by following the instructions provided when voting via the internet. Your choice will remain in effect unless you revoke it by contacting your nominee. You may update your electronic address by contacting your nominee.</w:t>
      </w:r>
    </w:p>
    <w:p>
      <w:pPr>
        <w:spacing w:after="0" w:line="163"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Important Notice Regarding Delivery of Shareholder Documents</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SEC rules, delivery of each Notice or a single proxy statement and annual report, as applicable, in a single envelope to two or more shareholders sharing the same mailing address is permitted under certain conditions. This procedure, called “householding,” is available if all of the following criteria are met:</w:t>
      </w:r>
    </w:p>
    <w:p>
      <w:pPr>
        <w:spacing w:after="0" w:line="166" w:lineRule="exact"/>
        <w:rPr>
          <w:sz w:val="20"/>
          <w:szCs w:val="20"/>
          <w:color w:val="auto"/>
        </w:rPr>
      </w:pPr>
    </w:p>
    <w:p>
      <w:pPr>
        <w:ind w:left="260" w:hanging="252"/>
        <w:spacing w:after="0"/>
        <w:tabs>
          <w:tab w:leader="none" w:pos="260" w:val="left"/>
        </w:tabs>
        <w:numPr>
          <w:ilvl w:val="0"/>
          <w:numId w:val="121"/>
        </w:numPr>
        <w:rPr>
          <w:rFonts w:ascii="Arial" w:cs="Arial" w:eastAsia="Arial" w:hAnsi="Arial"/>
          <w:sz w:val="17"/>
          <w:szCs w:val="17"/>
          <w:color w:val="00A0E0"/>
        </w:rPr>
      </w:pPr>
      <w:r>
        <w:rPr>
          <w:rFonts w:ascii="Arial" w:cs="Arial" w:eastAsia="Arial" w:hAnsi="Arial"/>
          <w:sz w:val="17"/>
          <w:szCs w:val="17"/>
          <w:color w:val="auto"/>
        </w:rPr>
        <w:t>you have the same address as other shareholders registered on our books;</w:t>
      </w:r>
    </w:p>
    <w:p>
      <w:pPr>
        <w:spacing w:after="0" w:line="61" w:lineRule="exact"/>
        <w:rPr>
          <w:rFonts w:ascii="Arial" w:cs="Arial" w:eastAsia="Arial" w:hAnsi="Arial"/>
          <w:sz w:val="17"/>
          <w:szCs w:val="17"/>
          <w:color w:val="00A0E0"/>
        </w:rPr>
      </w:pPr>
    </w:p>
    <w:p>
      <w:pPr>
        <w:ind w:left="260" w:hanging="252"/>
        <w:spacing w:after="0"/>
        <w:tabs>
          <w:tab w:leader="none" w:pos="260" w:val="left"/>
        </w:tabs>
        <w:numPr>
          <w:ilvl w:val="0"/>
          <w:numId w:val="121"/>
        </w:numPr>
        <w:rPr>
          <w:rFonts w:ascii="Arial" w:cs="Arial" w:eastAsia="Arial" w:hAnsi="Arial"/>
          <w:sz w:val="17"/>
          <w:szCs w:val="17"/>
          <w:color w:val="00A0E0"/>
        </w:rPr>
      </w:pPr>
      <w:r>
        <w:rPr>
          <w:rFonts w:ascii="Arial" w:cs="Arial" w:eastAsia="Arial" w:hAnsi="Arial"/>
          <w:sz w:val="17"/>
          <w:szCs w:val="17"/>
          <w:color w:val="auto"/>
        </w:rPr>
        <w:t>you have the same last name as the other shareholders; and</w:t>
      </w:r>
    </w:p>
    <w:p>
      <w:pPr>
        <w:spacing w:after="0" w:line="61" w:lineRule="exact"/>
        <w:rPr>
          <w:rFonts w:ascii="Arial" w:cs="Arial" w:eastAsia="Arial" w:hAnsi="Arial"/>
          <w:sz w:val="17"/>
          <w:szCs w:val="17"/>
          <w:color w:val="00A0E0"/>
        </w:rPr>
      </w:pPr>
    </w:p>
    <w:p>
      <w:pPr>
        <w:ind w:left="260" w:hanging="252"/>
        <w:spacing w:after="0"/>
        <w:tabs>
          <w:tab w:leader="none" w:pos="260" w:val="left"/>
        </w:tabs>
        <w:numPr>
          <w:ilvl w:val="0"/>
          <w:numId w:val="121"/>
        </w:numPr>
        <w:rPr>
          <w:rFonts w:ascii="Arial" w:cs="Arial" w:eastAsia="Arial" w:hAnsi="Arial"/>
          <w:sz w:val="17"/>
          <w:szCs w:val="17"/>
          <w:color w:val="00A0E0"/>
        </w:rPr>
      </w:pPr>
      <w:r>
        <w:rPr>
          <w:rFonts w:ascii="Arial" w:cs="Arial" w:eastAsia="Arial" w:hAnsi="Arial"/>
          <w:sz w:val="17"/>
          <w:szCs w:val="17"/>
          <w:color w:val="auto"/>
        </w:rPr>
        <w:t>your address is a residential address or post office box.</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If you meet this criteria, you are eligible for householding and the following terms apply. If you are not eligible, please disregard this notice.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I consent to, or discontinue, the householding process of receiving just one set of annual disclosure materials?</w:t>
      </w:r>
    </w:p>
    <w:p>
      <w:pPr>
        <w:spacing w:after="0" w:line="21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To give your consent to, or to discontinue, householding, please notify our transfer agent, EQ Shareowner Services, at 1-888-883-8903 or by mail at P.O. Box 64874, St. Paul, MN 55164-0854 if you are a registered shareholder, or your bank or broker if you are a beneficial shareholder. Registered and beneficial shareholders may also discontinue householding by contacting Broadridge by phone at (866) 540-7095 or by mail at Broadridge, Householding Department, 51 Mercedes Way, Edgewood, NY 11717.</w:t>
      </w:r>
    </w:p>
    <w:p>
      <w:pPr>
        <w:spacing w:after="0" w:line="177"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The householding consent is considered perpetual, which means you will continue to receive a single envelope containing each Notice for the household or a single proxy statement and annual report, as applicable, in the future unless you discontinue this process.</w:t>
      </w:r>
    </w:p>
    <w:p>
      <w:pPr>
        <w:spacing w:after="0" w:line="163" w:lineRule="exact"/>
        <w:rPr>
          <w:sz w:val="20"/>
          <w:szCs w:val="20"/>
          <w:color w:val="auto"/>
        </w:rPr>
      </w:pPr>
    </w:p>
    <w:p>
      <w:pPr>
        <w:ind w:left="400" w:hanging="392"/>
        <w:spacing w:after="0"/>
        <w:tabs>
          <w:tab w:leader="none" w:pos="400" w:val="left"/>
        </w:tabs>
        <w:numPr>
          <w:ilvl w:val="0"/>
          <w:numId w:val="12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4" w:name="page65"/>
    <w:bookmarkEnd w:id="6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Appendix A: Reconciliations of Non-GAAP Financial Measures</w:t>
      </w:r>
    </w:p>
    <w:p>
      <w:pPr>
        <w:spacing w:after="0" w:line="236" w:lineRule="exact"/>
        <w:rPr>
          <w:sz w:val="20"/>
          <w:szCs w:val="20"/>
          <w:color w:val="auto"/>
        </w:rPr>
      </w:pPr>
    </w:p>
    <w:p>
      <w:pPr>
        <w:ind w:right="420"/>
        <w:spacing w:after="0" w:line="241" w:lineRule="auto"/>
        <w:rPr>
          <w:sz w:val="20"/>
          <w:szCs w:val="20"/>
          <w:color w:val="auto"/>
        </w:rPr>
      </w:pPr>
      <w:r>
        <w:rPr>
          <w:rFonts w:ascii="Arial" w:cs="Arial" w:eastAsia="Arial" w:hAnsi="Arial"/>
          <w:sz w:val="17"/>
          <w:szCs w:val="17"/>
          <w:color w:val="auto"/>
        </w:rPr>
        <w:t>We believe that the presentation of financial measures not in accordance with generally accepted accounting principles in the United States (“GAAP”) provides useful information to investors regarding our results of operations and financial condition. Our non-GAAP financial measures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18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Additional information and reconciliations of Adjusted EBITDA to net income attributable to Comcast Corporation for the years ended December 31, 2023 and 2024 are set forth in “Item 7: Management’s Discussion and Analysis of Financial Condition and Results of Operations – Non-GAAP Financial Measures” on pages 44-46 of our Annual Report on Form 10-K for the year ended December 31, 2024, as filed with the SEC on January 31, 2025 (the “10-K”).</w:t>
      </w:r>
    </w:p>
    <w:p>
      <w:pPr>
        <w:spacing w:after="0" w:line="18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 Additional information and a reconciliation of constant currency revenue and Adjusted EBITDA growth rates for the Connectivity</w:t>
      </w:r>
    </w:p>
    <w:p>
      <w:pPr>
        <w:spacing w:after="0" w:line="1" w:lineRule="exact"/>
        <w:rPr>
          <w:sz w:val="20"/>
          <w:szCs w:val="20"/>
          <w:color w:val="auto"/>
        </w:rPr>
      </w:pPr>
    </w:p>
    <w:p>
      <w:pPr>
        <w:ind w:right="40" w:firstLine="8"/>
        <w:spacing w:after="0" w:line="248" w:lineRule="auto"/>
        <w:tabs>
          <w:tab w:leader="none" w:pos="161" w:val="left"/>
        </w:tabs>
        <w:numPr>
          <w:ilvl w:val="0"/>
          <w:numId w:val="123"/>
        </w:numPr>
        <w:rPr>
          <w:rFonts w:ascii="Arial" w:cs="Arial" w:eastAsia="Arial" w:hAnsi="Arial"/>
          <w:sz w:val="17"/>
          <w:szCs w:val="17"/>
          <w:color w:val="auto"/>
        </w:rPr>
      </w:pPr>
      <w:r>
        <w:rPr>
          <w:rFonts w:ascii="Arial" w:cs="Arial" w:eastAsia="Arial" w:hAnsi="Arial"/>
          <w:sz w:val="17"/>
          <w:szCs w:val="17"/>
          <w:color w:val="auto"/>
        </w:rPr>
        <w:t>Platforms business in 2024 is set forth in “Item 7: Management’s Discussion and Analysis of Financial Condition and Results of Operations – Non-GAAP Financial Measures” on pages 44-46 of the 10-K.</w:t>
      </w:r>
    </w:p>
    <w:p>
      <w:pPr>
        <w:spacing w:after="0" w:line="17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define Free Cash Flow as net cash provided by operating activities (as stated in our Consolidated Statements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We believe Free Cash Flow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RECONCILIATION FROM NET CASH PROVIDED BY OPERATING ACTIVITIES TO FREE CASH FLOW</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540" w:type="dxa"/>
            <w:vAlign w:val="bottom"/>
          </w:tcPr>
          <w:p>
            <w:pPr>
              <w:spacing w:after="0"/>
              <w:rPr>
                <w:sz w:val="20"/>
                <w:szCs w:val="20"/>
                <w:color w:val="auto"/>
              </w:rPr>
            </w:pPr>
          </w:p>
        </w:tc>
        <w:tc>
          <w:tcPr>
            <w:tcW w:w="2700" w:type="dxa"/>
            <w:vAlign w:val="bottom"/>
            <w:tcBorders>
              <w:bottom w:val="single" w:sz="8" w:color="auto"/>
            </w:tcBorders>
            <w:gridSpan w:val="3"/>
          </w:tcPr>
          <w:p>
            <w:pPr>
              <w:ind w:left="140"/>
              <w:spacing w:after="0"/>
              <w:rPr>
                <w:sz w:val="20"/>
                <w:szCs w:val="20"/>
                <w:color w:val="auto"/>
              </w:rPr>
            </w:pPr>
            <w:r>
              <w:rPr>
                <w:rFonts w:ascii="Arial" w:cs="Arial" w:eastAsia="Arial" w:hAnsi="Arial"/>
                <w:sz w:val="17"/>
                <w:szCs w:val="17"/>
                <w:b w:val="1"/>
                <w:bCs w:val="1"/>
                <w:color w:val="auto"/>
              </w:rPr>
              <w:t>YEAR ENDED DECEMBER 31,</w:t>
            </w:r>
          </w:p>
        </w:tc>
      </w:tr>
      <w:tr>
        <w:trPr>
          <w:trHeight w:val="290"/>
        </w:trPr>
        <w:tc>
          <w:tcPr>
            <w:tcW w:w="8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2024</w:t>
            </w:r>
          </w:p>
        </w:tc>
        <w:tc>
          <w:tcPr>
            <w:tcW w:w="160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b w:val="1"/>
                <w:bCs w:val="1"/>
                <w:color w:val="auto"/>
              </w:rPr>
              <w:t>2023</w:t>
            </w:r>
          </w:p>
        </w:tc>
        <w:tc>
          <w:tcPr>
            <w:tcW w:w="320" w:type="dxa"/>
            <w:vAlign w:val="bottom"/>
            <w:tcBorders>
              <w:bottom w:val="single" w:sz="8" w:color="auto"/>
            </w:tcBorders>
          </w:tcPr>
          <w:p>
            <w:pPr>
              <w:spacing w:after="0"/>
              <w:rPr>
                <w:sz w:val="24"/>
                <w:szCs w:val="24"/>
                <w:color w:val="auto"/>
              </w:rPr>
            </w:pPr>
          </w:p>
        </w:tc>
      </w:tr>
      <w:tr>
        <w:trPr>
          <w:trHeight w:val="236"/>
        </w:trPr>
        <w:tc>
          <w:tcPr>
            <w:tcW w:w="8540" w:type="dxa"/>
            <w:vAlign w:val="bottom"/>
            <w:tcBorders>
              <w:bottom w:val="single" w:sz="8" w:color="DCDDDE"/>
            </w:tcBorders>
          </w:tcPr>
          <w:p>
            <w:pPr>
              <w:ind w:left="80"/>
              <w:spacing w:after="0"/>
              <w:rPr>
                <w:sz w:val="20"/>
                <w:szCs w:val="20"/>
                <w:color w:val="auto"/>
              </w:rPr>
            </w:pPr>
            <w:r>
              <w:rPr>
                <w:rFonts w:ascii="Arial" w:cs="Arial" w:eastAsia="Arial" w:hAnsi="Arial"/>
                <w:sz w:val="17"/>
                <w:szCs w:val="17"/>
                <w:b w:val="1"/>
                <w:bCs w:val="1"/>
                <w:color w:val="auto"/>
              </w:rPr>
              <w:t>Net cash provided by operating activities</w:t>
            </w:r>
          </w:p>
        </w:tc>
        <w:tc>
          <w:tcPr>
            <w:tcW w:w="780" w:type="dxa"/>
            <w:vAlign w:val="bottom"/>
            <w:tcBorders>
              <w:bottom w:val="single" w:sz="8" w:color="DCDDDE"/>
            </w:tcBorders>
          </w:tcPr>
          <w:p>
            <w:pPr>
              <w:jc w:val="right"/>
              <w:ind w:right="115"/>
              <w:spacing w:after="0"/>
              <w:rPr>
                <w:sz w:val="20"/>
                <w:szCs w:val="20"/>
                <w:color w:val="auto"/>
              </w:rPr>
            </w:pPr>
            <w:r>
              <w:rPr>
                <w:rFonts w:ascii="Arial" w:cs="Arial" w:eastAsia="Arial" w:hAnsi="Arial"/>
                <w:sz w:val="17"/>
                <w:szCs w:val="17"/>
                <w:b w:val="1"/>
                <w:bCs w:val="1"/>
                <w:color w:val="auto"/>
              </w:rPr>
              <w:t>27,673</w:t>
            </w:r>
          </w:p>
        </w:tc>
        <w:tc>
          <w:tcPr>
            <w:tcW w:w="1600" w:type="dxa"/>
            <w:vAlign w:val="bottom"/>
            <w:tcBorders>
              <w:bottom w:val="single" w:sz="8" w:color="DCDDDE"/>
            </w:tcBorders>
          </w:tcPr>
          <w:p>
            <w:pPr>
              <w:jc w:val="right"/>
              <w:ind w:right="118"/>
              <w:spacing w:after="0"/>
              <w:rPr>
                <w:sz w:val="20"/>
                <w:szCs w:val="20"/>
                <w:color w:val="auto"/>
              </w:rPr>
            </w:pPr>
            <w:r>
              <w:rPr>
                <w:rFonts w:ascii="Arial" w:cs="Arial" w:eastAsia="Arial" w:hAnsi="Arial"/>
                <w:sz w:val="17"/>
                <w:szCs w:val="17"/>
                <w:b w:val="1"/>
                <w:bCs w:val="1"/>
                <w:color w:val="auto"/>
              </w:rPr>
              <w:t>28,501</w:t>
            </w:r>
          </w:p>
        </w:tc>
        <w:tc>
          <w:tcPr>
            <w:tcW w:w="320" w:type="dxa"/>
            <w:vAlign w:val="bottom"/>
            <w:tcBorders>
              <w:bottom w:val="single" w:sz="8" w:color="DCDDDE"/>
            </w:tcBorders>
          </w:tcPr>
          <w:p>
            <w:pPr>
              <w:spacing w:after="0"/>
              <w:rPr>
                <w:sz w:val="20"/>
                <w:szCs w:val="20"/>
                <w:color w:val="auto"/>
              </w:rPr>
            </w:pPr>
          </w:p>
        </w:tc>
      </w:tr>
      <w:tr>
        <w:trPr>
          <w:trHeight w:val="232"/>
        </w:trPr>
        <w:tc>
          <w:tcPr>
            <w:tcW w:w="8540" w:type="dxa"/>
            <w:vAlign w:val="bottom"/>
            <w:tcBorders>
              <w:bottom w:val="single" w:sz="8" w:color="DCDDDE"/>
            </w:tcBorders>
          </w:tcPr>
          <w:p>
            <w:pPr>
              <w:ind w:left="80"/>
              <w:spacing w:after="0"/>
              <w:rPr>
                <w:sz w:val="20"/>
                <w:szCs w:val="20"/>
                <w:color w:val="auto"/>
              </w:rPr>
            </w:pPr>
            <w:r>
              <w:rPr>
                <w:rFonts w:ascii="Arial" w:cs="Arial" w:eastAsia="Arial" w:hAnsi="Arial"/>
                <w:sz w:val="17"/>
                <w:szCs w:val="17"/>
                <w:color w:val="auto"/>
              </w:rPr>
              <w:t>Capital expenditures</w:t>
            </w:r>
          </w:p>
        </w:tc>
        <w:tc>
          <w:tcPr>
            <w:tcW w:w="780" w:type="dxa"/>
            <w:vAlign w:val="bottom"/>
            <w:tcBorders>
              <w:bottom w:val="single" w:sz="8" w:color="DCDDDE"/>
            </w:tcBorders>
          </w:tcPr>
          <w:p>
            <w:pPr>
              <w:jc w:val="right"/>
              <w:ind w:right="55"/>
              <w:spacing w:after="0"/>
              <w:rPr>
                <w:sz w:val="20"/>
                <w:szCs w:val="20"/>
                <w:color w:val="auto"/>
              </w:rPr>
            </w:pPr>
            <w:r>
              <w:rPr>
                <w:rFonts w:ascii="Arial" w:cs="Arial" w:eastAsia="Arial" w:hAnsi="Arial"/>
                <w:sz w:val="17"/>
                <w:szCs w:val="17"/>
                <w:color w:val="auto"/>
                <w:w w:val="97"/>
              </w:rPr>
              <w:t>(12,181)</w:t>
            </w:r>
          </w:p>
        </w:tc>
        <w:tc>
          <w:tcPr>
            <w:tcW w:w="1600" w:type="dxa"/>
            <w:vAlign w:val="bottom"/>
            <w:tcBorders>
              <w:bottom w:val="single" w:sz="8" w:color="DCDDDE"/>
            </w:tcBorders>
          </w:tcPr>
          <w:p>
            <w:pPr>
              <w:jc w:val="right"/>
              <w:ind w:right="58"/>
              <w:spacing w:after="0"/>
              <w:rPr>
                <w:sz w:val="20"/>
                <w:szCs w:val="20"/>
                <w:color w:val="auto"/>
              </w:rPr>
            </w:pPr>
            <w:r>
              <w:rPr>
                <w:rFonts w:ascii="Arial" w:cs="Arial" w:eastAsia="Arial" w:hAnsi="Arial"/>
                <w:sz w:val="17"/>
                <w:szCs w:val="17"/>
                <w:color w:val="auto"/>
              </w:rPr>
              <w:t>(12,242)</w:t>
            </w:r>
          </w:p>
        </w:tc>
        <w:tc>
          <w:tcPr>
            <w:tcW w:w="320" w:type="dxa"/>
            <w:vAlign w:val="bottom"/>
            <w:tcBorders>
              <w:bottom w:val="single" w:sz="8" w:color="DCDDDE"/>
            </w:tcBorders>
          </w:tcPr>
          <w:p>
            <w:pPr>
              <w:spacing w:after="0"/>
              <w:rPr>
                <w:sz w:val="20"/>
                <w:szCs w:val="20"/>
                <w:color w:val="auto"/>
              </w:rPr>
            </w:pPr>
          </w:p>
        </w:tc>
      </w:tr>
      <w:tr>
        <w:trPr>
          <w:trHeight w:val="237"/>
        </w:trPr>
        <w:tc>
          <w:tcPr>
            <w:tcW w:w="8540" w:type="dxa"/>
            <w:vAlign w:val="bottom"/>
            <w:tcBorders>
              <w:bottom w:val="single" w:sz="8" w:color="DCDDDE"/>
            </w:tcBorders>
          </w:tcPr>
          <w:p>
            <w:pPr>
              <w:ind w:left="80"/>
              <w:spacing w:after="0"/>
              <w:rPr>
                <w:sz w:val="20"/>
                <w:szCs w:val="20"/>
                <w:color w:val="auto"/>
              </w:rPr>
            </w:pPr>
            <w:r>
              <w:rPr>
                <w:rFonts w:ascii="Arial" w:cs="Arial" w:eastAsia="Arial" w:hAnsi="Arial"/>
                <w:sz w:val="17"/>
                <w:szCs w:val="17"/>
                <w:color w:val="auto"/>
              </w:rPr>
              <w:t>Cash paid for capitalized software and other intangible assets</w:t>
            </w:r>
          </w:p>
        </w:tc>
        <w:tc>
          <w:tcPr>
            <w:tcW w:w="780" w:type="dxa"/>
            <w:vAlign w:val="bottom"/>
            <w:tcBorders>
              <w:bottom w:val="single" w:sz="8" w:color="DCDDDE"/>
            </w:tcBorders>
          </w:tcPr>
          <w:p>
            <w:pPr>
              <w:jc w:val="right"/>
              <w:ind w:right="55"/>
              <w:spacing w:after="0"/>
              <w:rPr>
                <w:sz w:val="20"/>
                <w:szCs w:val="20"/>
                <w:color w:val="auto"/>
              </w:rPr>
            </w:pPr>
            <w:r>
              <w:rPr>
                <w:rFonts w:ascii="Arial" w:cs="Arial" w:eastAsia="Arial" w:hAnsi="Arial"/>
                <w:sz w:val="17"/>
                <w:szCs w:val="17"/>
                <w:color w:val="auto"/>
              </w:rPr>
              <w:t>(2,949)</w:t>
            </w:r>
          </w:p>
        </w:tc>
        <w:tc>
          <w:tcPr>
            <w:tcW w:w="1600" w:type="dxa"/>
            <w:vAlign w:val="bottom"/>
            <w:tcBorders>
              <w:bottom w:val="single" w:sz="8" w:color="DCDDDE"/>
            </w:tcBorders>
          </w:tcPr>
          <w:p>
            <w:pPr>
              <w:jc w:val="right"/>
              <w:ind w:right="58"/>
              <w:spacing w:after="0"/>
              <w:rPr>
                <w:sz w:val="20"/>
                <w:szCs w:val="20"/>
                <w:color w:val="auto"/>
              </w:rPr>
            </w:pPr>
            <w:r>
              <w:rPr>
                <w:rFonts w:ascii="Arial" w:cs="Arial" w:eastAsia="Arial" w:hAnsi="Arial"/>
                <w:sz w:val="17"/>
                <w:szCs w:val="17"/>
                <w:color w:val="auto"/>
              </w:rPr>
              <w:t>(3,298)</w:t>
            </w:r>
          </w:p>
        </w:tc>
        <w:tc>
          <w:tcPr>
            <w:tcW w:w="320" w:type="dxa"/>
            <w:vAlign w:val="bottom"/>
            <w:tcBorders>
              <w:bottom w:val="single" w:sz="8" w:color="DCDDDE"/>
            </w:tcBorders>
          </w:tcPr>
          <w:p>
            <w:pPr>
              <w:spacing w:after="0"/>
              <w:rPr>
                <w:sz w:val="20"/>
                <w:szCs w:val="20"/>
                <w:color w:val="auto"/>
              </w:rPr>
            </w:pPr>
          </w:p>
        </w:tc>
      </w:tr>
      <w:tr>
        <w:trPr>
          <w:trHeight w:val="241"/>
        </w:trPr>
        <w:tc>
          <w:tcPr>
            <w:tcW w:w="854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Free Cash Flow</w:t>
            </w: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12,543</w:t>
            </w:r>
          </w:p>
        </w:tc>
        <w:tc>
          <w:tcPr>
            <w:tcW w:w="160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b w:val="1"/>
                <w:bCs w:val="1"/>
                <w:color w:val="auto"/>
              </w:rPr>
              <w:t>12,962</w:t>
            </w:r>
          </w:p>
        </w:tc>
        <w:tc>
          <w:tcPr>
            <w:tcW w:w="320" w:type="dxa"/>
            <w:vAlign w:val="bottom"/>
            <w:tcBorders>
              <w:bottom w:val="single" w:sz="8" w:color="auto"/>
            </w:tcBorders>
          </w:tcPr>
          <w:p>
            <w:pPr>
              <w:spacing w:after="0"/>
              <w:rPr>
                <w:sz w:val="20"/>
                <w:szCs w:val="20"/>
                <w:color w:val="auto"/>
              </w:rPr>
            </w:pPr>
          </w:p>
        </w:tc>
      </w:tr>
      <w:tr>
        <w:trPr>
          <w:trHeight w:val="365"/>
        </w:trPr>
        <w:tc>
          <w:tcPr>
            <w:tcW w:w="8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jc w:val="right"/>
              <w:ind w:right="118"/>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20" w:type="dxa"/>
            <w:vAlign w:val="bottom"/>
          </w:tcPr>
          <w:p>
            <w:pPr>
              <w:ind w:left="120"/>
              <w:spacing w:after="0"/>
              <w:rPr>
                <w:sz w:val="20"/>
                <w:szCs w:val="20"/>
                <w:color w:val="auto"/>
              </w:rPr>
            </w:pPr>
            <w:r>
              <w:rPr>
                <w:rFonts w:ascii="Arial" w:cs="Arial" w:eastAsia="Arial" w:hAnsi="Arial"/>
                <w:sz w:val="13"/>
                <w:szCs w:val="13"/>
                <w:b w:val="1"/>
                <w:bCs w:val="1"/>
                <w:color w:val="auto"/>
                <w:w w:val="85"/>
              </w:rPr>
              <w:t>A-1</w:t>
            </w:r>
          </w:p>
        </w:tc>
      </w:tr>
      <w:tr>
        <w:trPr>
          <w:trHeight w:val="231"/>
        </w:trPr>
        <w:tc>
          <w:tcPr>
            <w:tcW w:w="8540" w:type="dxa"/>
            <w:vAlign w:val="bottom"/>
            <w:tcBorders>
              <w:bottom w:val="single" w:sz="8" w:color="A1A1A1"/>
            </w:tcBorders>
          </w:tcPr>
          <w:p>
            <w:pPr>
              <w:spacing w:after="0"/>
              <w:rPr>
                <w:sz w:val="20"/>
                <w:szCs w:val="20"/>
                <w:color w:val="auto"/>
              </w:rPr>
            </w:pPr>
          </w:p>
        </w:tc>
        <w:tc>
          <w:tcPr>
            <w:tcW w:w="780" w:type="dxa"/>
            <w:vAlign w:val="bottom"/>
            <w:tcBorders>
              <w:bottom w:val="single" w:sz="8" w:color="A1A1A1"/>
            </w:tcBorders>
          </w:tcPr>
          <w:p>
            <w:pPr>
              <w:spacing w:after="0"/>
              <w:rPr>
                <w:sz w:val="20"/>
                <w:szCs w:val="20"/>
                <w:color w:val="auto"/>
              </w:rPr>
            </w:pPr>
          </w:p>
        </w:tc>
        <w:tc>
          <w:tcPr>
            <w:tcW w:w="1600" w:type="dxa"/>
            <w:vAlign w:val="bottom"/>
            <w:tcBorders>
              <w:bottom w:val="single" w:sz="8" w:color="A1A1A1"/>
            </w:tcBorders>
          </w:tcPr>
          <w:p>
            <w:pPr>
              <w:spacing w:after="0"/>
              <w:rPr>
                <w:sz w:val="20"/>
                <w:szCs w:val="20"/>
                <w:color w:val="auto"/>
              </w:rPr>
            </w:pPr>
          </w:p>
        </w:tc>
        <w:tc>
          <w:tcPr>
            <w:tcW w:w="32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2" w:lineRule="exact"/>
        <w:rPr>
          <w:sz w:val="20"/>
          <w:szCs w:val="20"/>
          <w:color w:val="auto"/>
        </w:rPr>
      </w:pPr>
    </w:p>
    <w:p>
      <w:pPr>
        <w:ind w:right="880"/>
        <w:spacing w:after="0" w:line="290" w:lineRule="auto"/>
        <w:rPr>
          <w:sz w:val="20"/>
          <w:szCs w:val="20"/>
          <w:color w:val="auto"/>
        </w:rPr>
      </w:pPr>
      <w:r>
        <w:rPr>
          <w:rFonts w:ascii="Arial" w:cs="Arial" w:eastAsia="Arial" w:hAnsi="Arial"/>
          <w:sz w:val="36"/>
          <w:szCs w:val="36"/>
          <w:b w:val="1"/>
          <w:bCs w:val="1"/>
          <w:color w:val="auto"/>
        </w:rPr>
        <w:t>Appendix B: Amended and Restated Comcast-NBCUniversal 2011 Employee Stock Purchase Plan</w:t>
      </w:r>
    </w:p>
    <w:p>
      <w:pPr>
        <w:spacing w:after="0" w:line="82" w:lineRule="exact"/>
        <w:rPr>
          <w:sz w:val="20"/>
          <w:szCs w:val="20"/>
          <w:color w:val="auto"/>
        </w:rPr>
      </w:pPr>
    </w:p>
    <w:p>
      <w:pPr>
        <w:ind w:left="760" w:hanging="374"/>
        <w:spacing w:after="0"/>
        <w:tabs>
          <w:tab w:leader="none" w:pos="760" w:val="left"/>
        </w:tabs>
        <w:numPr>
          <w:ilvl w:val="0"/>
          <w:numId w:val="124"/>
        </w:numPr>
        <w:rPr>
          <w:rFonts w:ascii="Arial" w:cs="Arial" w:eastAsia="Arial" w:hAnsi="Arial"/>
          <w:sz w:val="17"/>
          <w:szCs w:val="17"/>
          <w:color w:val="auto"/>
        </w:rPr>
      </w:pPr>
      <w:r>
        <w:rPr>
          <w:rFonts w:ascii="Arial" w:cs="Arial" w:eastAsia="Arial" w:hAnsi="Arial"/>
          <w:sz w:val="17"/>
          <w:szCs w:val="17"/>
          <w:b w:val="1"/>
          <w:bCs w:val="1"/>
          <w:u w:val="single" w:color="auto"/>
          <w:color w:val="auto"/>
        </w:rPr>
        <w:t>Purpose</w:t>
      </w:r>
      <w:r>
        <w:rPr>
          <w:rFonts w:ascii="Arial" w:cs="Arial" w:eastAsia="Arial" w:hAnsi="Arial"/>
          <w:sz w:val="17"/>
          <w:szCs w:val="17"/>
          <w:b w:val="1"/>
          <w:bCs w:val="1"/>
          <w:color w:val="auto"/>
        </w:rPr>
        <w:t>.</w:t>
      </w:r>
    </w:p>
    <w:p>
      <w:pPr>
        <w:spacing w:after="0" w:line="61" w:lineRule="exact"/>
        <w:rPr>
          <w:sz w:val="20"/>
          <w:szCs w:val="20"/>
          <w:color w:val="auto"/>
        </w:rPr>
      </w:pPr>
    </w:p>
    <w:p>
      <w:pPr>
        <w:ind w:right="140" w:firstLine="846"/>
        <w:spacing w:after="0" w:line="241" w:lineRule="auto"/>
        <w:rPr>
          <w:sz w:val="20"/>
          <w:szCs w:val="20"/>
          <w:color w:val="auto"/>
        </w:rPr>
      </w:pPr>
      <w:r>
        <w:rPr>
          <w:rFonts w:ascii="Arial" w:cs="Arial" w:eastAsia="Arial" w:hAnsi="Arial"/>
          <w:sz w:val="17"/>
          <w:szCs w:val="17"/>
          <w:color w:val="auto"/>
        </w:rPr>
        <w:t>The Comcast-NBCUniversal 2011 Employee Stock Purchase Plan (the “Plan”) is intended to encourage and facilitate the purchase of shares of common stock of Comcast Corporation by Eligible Employees of NBCUniversal and any Participating Companies, thereby providing such Eligible Employees with a personal stake in the Company and a long-range inducement to remain in the employ of NBCUniversal and Participating Companies. It is the intention of the Company that the Plan not qualify as an “employee stock purchase plan” within the meaning of section 423 of the Code.</w:t>
      </w:r>
    </w:p>
    <w:p>
      <w:pPr>
        <w:spacing w:after="0" w:line="31" w:lineRule="exact"/>
        <w:rPr>
          <w:sz w:val="20"/>
          <w:szCs w:val="20"/>
          <w:color w:val="auto"/>
        </w:rPr>
      </w:pPr>
    </w:p>
    <w:p>
      <w:pPr>
        <w:ind w:left="760" w:hanging="374"/>
        <w:spacing w:after="0"/>
        <w:tabs>
          <w:tab w:leader="none" w:pos="760" w:val="left"/>
        </w:tabs>
        <w:numPr>
          <w:ilvl w:val="0"/>
          <w:numId w:val="125"/>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b w:val="1"/>
          <w:bCs w:val="1"/>
          <w:color w:val="auto"/>
        </w:rPr>
        <w:t>.</w:t>
      </w:r>
    </w:p>
    <w:p>
      <w:pPr>
        <w:spacing w:after="0" w:line="61" w:lineRule="exact"/>
        <w:rPr>
          <w:rFonts w:ascii="Arial" w:cs="Arial" w:eastAsia="Arial" w:hAnsi="Arial"/>
          <w:sz w:val="17"/>
          <w:szCs w:val="17"/>
          <w:color w:val="auto"/>
        </w:rPr>
      </w:pPr>
    </w:p>
    <w:p>
      <w:pPr>
        <w:ind w:left="1420" w:hanging="386"/>
        <w:spacing w:after="0"/>
        <w:tabs>
          <w:tab w:leader="none" w:pos="14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w:t>
      </w:r>
      <w:r>
        <w:rPr>
          <w:rFonts w:ascii="Arial" w:cs="Arial" w:eastAsia="Arial" w:hAnsi="Arial"/>
          <w:sz w:val="17"/>
          <w:szCs w:val="17"/>
          <w:color w:val="auto"/>
        </w:rPr>
        <w:t>” means a bookkeeping account established by the Committee on behalf of a Participant to hold Payroll Deductions.</w:t>
      </w:r>
    </w:p>
    <w:p>
      <w:pPr>
        <w:spacing w:after="0" w:line="61" w:lineRule="exact"/>
        <w:rPr>
          <w:rFonts w:ascii="Arial" w:cs="Arial" w:eastAsia="Arial" w:hAnsi="Arial"/>
          <w:sz w:val="17"/>
          <w:szCs w:val="17"/>
          <w:color w:val="auto"/>
        </w:rPr>
      </w:pPr>
    </w:p>
    <w:p>
      <w:pPr>
        <w:ind w:left="1420" w:right="240" w:hanging="386"/>
        <w:spacing w:after="0" w:line="241" w:lineRule="auto"/>
        <w:tabs>
          <w:tab w:leader="none" w:pos="14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31" w:lineRule="exact"/>
        <w:rPr>
          <w:rFonts w:ascii="Arial" w:cs="Arial" w:eastAsia="Arial" w:hAnsi="Arial"/>
          <w:sz w:val="17"/>
          <w:szCs w:val="17"/>
          <w:color w:val="auto"/>
        </w:rPr>
      </w:pPr>
    </w:p>
    <w:p>
      <w:pPr>
        <w:ind w:left="1420" w:hanging="386"/>
        <w:spacing w:after="0"/>
        <w:tabs>
          <w:tab w:leader="none" w:pos="14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61" w:lineRule="exact"/>
        <w:rPr>
          <w:rFonts w:ascii="Arial" w:cs="Arial" w:eastAsia="Arial" w:hAnsi="Arial"/>
          <w:sz w:val="17"/>
          <w:szCs w:val="17"/>
          <w:color w:val="auto"/>
        </w:rPr>
      </w:pPr>
    </w:p>
    <w:p>
      <w:pPr>
        <w:ind w:left="1420" w:right="340" w:hanging="386"/>
        <w:spacing w:after="0" w:line="267" w:lineRule="auto"/>
        <w:tabs>
          <w:tab w:leader="none" w:pos="14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Brokerage Account</w:t>
      </w:r>
      <w:r>
        <w:rPr>
          <w:rFonts w:ascii="Arial" w:cs="Arial" w:eastAsia="Arial" w:hAnsi="Arial"/>
          <w:sz w:val="17"/>
          <w:szCs w:val="17"/>
          <w:color w:val="auto"/>
        </w:rPr>
        <w:t>” means the brokerage account established under the Plan by the Company for each Participant, to which Shares purchased under the Plan shall be credited.</w:t>
      </w:r>
    </w:p>
    <w:p>
      <w:pPr>
        <w:spacing w:after="0" w:line="10" w:lineRule="exact"/>
        <w:rPr>
          <w:rFonts w:ascii="Arial" w:cs="Arial" w:eastAsia="Arial" w:hAnsi="Arial"/>
          <w:sz w:val="17"/>
          <w:szCs w:val="17"/>
          <w:color w:val="auto"/>
        </w:rPr>
      </w:pPr>
    </w:p>
    <w:p>
      <w:pPr>
        <w:ind w:left="1420" w:right="300" w:hanging="386"/>
        <w:spacing w:after="0" w:line="241" w:lineRule="auto"/>
        <w:tabs>
          <w:tab w:leader="none" w:pos="14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31" w:lineRule="exact"/>
        <w:rPr>
          <w:rFonts w:ascii="Arial" w:cs="Arial" w:eastAsia="Arial" w:hAnsi="Arial"/>
          <w:sz w:val="17"/>
          <w:szCs w:val="17"/>
          <w:color w:val="auto"/>
        </w:rPr>
      </w:pPr>
    </w:p>
    <w:p>
      <w:pPr>
        <w:ind w:left="1420" w:hanging="386"/>
        <w:spacing w:after="0"/>
        <w:tabs>
          <w:tab w:leader="none" w:pos="14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w:t>
      </w:r>
    </w:p>
    <w:p>
      <w:pPr>
        <w:spacing w:after="0" w:line="61" w:lineRule="exact"/>
        <w:rPr>
          <w:rFonts w:ascii="Arial" w:cs="Arial" w:eastAsia="Arial" w:hAnsi="Arial"/>
          <w:sz w:val="17"/>
          <w:szCs w:val="17"/>
          <w:color w:val="auto"/>
        </w:rPr>
      </w:pPr>
    </w:p>
    <w:p>
      <w:pPr>
        <w:ind w:left="1420" w:hanging="386"/>
        <w:spacing w:after="0"/>
        <w:tabs>
          <w:tab w:leader="none" w:pos="14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Comcast Group</w:t>
      </w:r>
      <w:r>
        <w:rPr>
          <w:rFonts w:ascii="Arial" w:cs="Arial" w:eastAsia="Arial" w:hAnsi="Arial"/>
          <w:sz w:val="17"/>
          <w:szCs w:val="17"/>
          <w:color w:val="auto"/>
        </w:rPr>
        <w:t>” means the Company and any Affiliate of the Company.</w:t>
      </w:r>
    </w:p>
    <w:p>
      <w:pPr>
        <w:spacing w:after="0" w:line="61" w:lineRule="exact"/>
        <w:rPr>
          <w:rFonts w:ascii="Arial" w:cs="Arial" w:eastAsia="Arial" w:hAnsi="Arial"/>
          <w:sz w:val="17"/>
          <w:szCs w:val="17"/>
          <w:color w:val="auto"/>
        </w:rPr>
      </w:pPr>
    </w:p>
    <w:p>
      <w:pPr>
        <w:ind w:left="1420" w:hanging="386"/>
        <w:spacing w:after="0"/>
        <w:tabs>
          <w:tab w:leader="none" w:pos="14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the Compensation Committee of the Board or its delegate.</w:t>
      </w:r>
    </w:p>
    <w:p>
      <w:pPr>
        <w:spacing w:after="0" w:line="61" w:lineRule="exact"/>
        <w:rPr>
          <w:rFonts w:ascii="Arial" w:cs="Arial" w:eastAsia="Arial" w:hAnsi="Arial"/>
          <w:sz w:val="17"/>
          <w:szCs w:val="17"/>
          <w:color w:val="auto"/>
        </w:rPr>
      </w:pPr>
    </w:p>
    <w:p>
      <w:pPr>
        <w:ind w:left="1420" w:right="160" w:hanging="386"/>
        <w:spacing w:after="0" w:line="267" w:lineRule="auto"/>
        <w:tabs>
          <w:tab w:leader="none" w:pos="14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Comcast Corporation, a Pennsylvania corporation, including any successor thereto by merger, consolidation, acquisition of all or substantially all the assets thereof, or otherwise.</w:t>
      </w:r>
    </w:p>
    <w:p>
      <w:pPr>
        <w:spacing w:after="0" w:line="10" w:lineRule="exact"/>
        <w:rPr>
          <w:rFonts w:ascii="Arial" w:cs="Arial" w:eastAsia="Arial" w:hAnsi="Arial"/>
          <w:sz w:val="17"/>
          <w:szCs w:val="17"/>
          <w:color w:val="auto"/>
        </w:rPr>
      </w:pPr>
    </w:p>
    <w:p>
      <w:pPr>
        <w:ind w:left="1420" w:right="20" w:hanging="386"/>
        <w:spacing w:after="0" w:line="239" w:lineRule="auto"/>
        <w:tabs>
          <w:tab w:leader="none" w:pos="14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Compensation</w:t>
      </w:r>
      <w:r>
        <w:rPr>
          <w:rFonts w:ascii="Arial" w:cs="Arial" w:eastAsia="Arial" w:hAnsi="Arial"/>
          <w:sz w:val="17"/>
          <w:szCs w:val="17"/>
          <w:color w:val="auto"/>
        </w:rPr>
        <w:t>” means an Eligible Employee’s wages as reported on Form W-2 (</w:t>
      </w:r>
      <w:r>
        <w:rPr>
          <w:rFonts w:ascii="Arial" w:cs="Arial" w:eastAsia="Arial" w:hAnsi="Arial"/>
          <w:sz w:val="17"/>
          <w:szCs w:val="17"/>
          <w:u w:val="single" w:color="auto"/>
          <w:color w:val="auto"/>
        </w:rPr>
        <w:t>i.e.</w:t>
      </w:r>
      <w:r>
        <w:rPr>
          <w:rFonts w:ascii="Arial" w:cs="Arial" w:eastAsia="Arial" w:hAnsi="Arial"/>
          <w:sz w:val="17"/>
          <w:szCs w:val="17"/>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33" w:lineRule="exact"/>
        <w:rPr>
          <w:rFonts w:ascii="Arial" w:cs="Arial" w:eastAsia="Arial" w:hAnsi="Arial"/>
          <w:sz w:val="17"/>
          <w:szCs w:val="17"/>
          <w:color w:val="auto"/>
        </w:rPr>
      </w:pPr>
    </w:p>
    <w:p>
      <w:pPr>
        <w:ind w:left="1420" w:hanging="386"/>
        <w:spacing w:after="0"/>
        <w:tabs>
          <w:tab w:leader="none" w:pos="14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means the effective date referenced in Paragraph 15.</w:t>
      </w:r>
    </w:p>
    <w:p>
      <w:pPr>
        <w:spacing w:after="0" w:line="61" w:lineRule="exact"/>
        <w:rPr>
          <w:rFonts w:ascii="Arial" w:cs="Arial" w:eastAsia="Arial" w:hAnsi="Arial"/>
          <w:sz w:val="17"/>
          <w:szCs w:val="17"/>
          <w:color w:val="auto"/>
        </w:rPr>
      </w:pPr>
    </w:p>
    <w:p>
      <w:pPr>
        <w:ind w:left="1420" w:right="180" w:hanging="386"/>
        <w:spacing w:after="0" w:line="267" w:lineRule="auto"/>
        <w:tabs>
          <w:tab w:leader="none" w:pos="14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Election Form</w:t>
      </w:r>
      <w:r>
        <w:rPr>
          <w:rFonts w:ascii="Arial" w:cs="Arial" w:eastAsia="Arial" w:hAnsi="Arial"/>
          <w:sz w:val="17"/>
          <w:szCs w:val="17"/>
          <w:color w:val="auto"/>
        </w:rPr>
        <w:t>” means the written or electronic form acceptable to the Committee which an Eligible Employee shall use to make an election to purchase Shares through Payroll Deductions pursuant to the Plan.</w:t>
      </w:r>
    </w:p>
    <w:p>
      <w:pPr>
        <w:spacing w:after="0" w:line="10" w:lineRule="exact"/>
        <w:rPr>
          <w:rFonts w:ascii="Arial" w:cs="Arial" w:eastAsia="Arial" w:hAnsi="Arial"/>
          <w:sz w:val="17"/>
          <w:szCs w:val="17"/>
          <w:color w:val="auto"/>
        </w:rPr>
      </w:pPr>
    </w:p>
    <w:p>
      <w:pPr>
        <w:ind w:left="1420" w:hanging="386"/>
        <w:spacing w:after="0"/>
        <w:tabs>
          <w:tab w:leader="none" w:pos="14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Employee</w:t>
      </w:r>
      <w:r>
        <w:rPr>
          <w:rFonts w:ascii="Arial" w:cs="Arial" w:eastAsia="Arial" w:hAnsi="Arial"/>
          <w:sz w:val="17"/>
          <w:szCs w:val="17"/>
          <w:color w:val="auto"/>
        </w:rPr>
        <w:t>” means an Employee who is not an Ineligible Employee.</w:t>
      </w:r>
    </w:p>
    <w:p>
      <w:pPr>
        <w:spacing w:after="0" w:line="61" w:lineRule="exact"/>
        <w:rPr>
          <w:rFonts w:ascii="Arial" w:cs="Arial" w:eastAsia="Arial" w:hAnsi="Arial"/>
          <w:sz w:val="17"/>
          <w:szCs w:val="17"/>
          <w:color w:val="auto"/>
        </w:rPr>
      </w:pPr>
    </w:p>
    <w:p>
      <w:pPr>
        <w:ind w:left="1420" w:hanging="386"/>
        <w:spacing w:after="0"/>
        <w:tabs>
          <w:tab w:leader="none" w:pos="14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Employer</w:t>
      </w:r>
      <w:r>
        <w:rPr>
          <w:rFonts w:ascii="Arial" w:cs="Arial" w:eastAsia="Arial" w:hAnsi="Arial"/>
          <w:sz w:val="17"/>
          <w:szCs w:val="17"/>
          <w:color w:val="auto"/>
        </w:rPr>
        <w:t>” means NBCUniversal and any Subsidiary of NBCUniversal other than:</w:t>
      </w:r>
    </w:p>
    <w:p>
      <w:pPr>
        <w:spacing w:after="0" w:line="61" w:lineRule="exact"/>
        <w:rPr>
          <w:rFonts w:ascii="Arial" w:cs="Arial" w:eastAsia="Arial" w:hAnsi="Arial"/>
          <w:sz w:val="17"/>
          <w:szCs w:val="17"/>
          <w:color w:val="auto"/>
        </w:rPr>
      </w:pPr>
    </w:p>
    <w:p>
      <w:pPr>
        <w:ind w:left="1960" w:right="680" w:hanging="404"/>
        <w:spacing w:after="0" w:line="267" w:lineRule="auto"/>
        <w:tabs>
          <w:tab w:leader="none" w:pos="1960" w:val="left"/>
        </w:tabs>
        <w:numPr>
          <w:ilvl w:val="2"/>
          <w:numId w:val="125"/>
        </w:numPr>
        <w:rPr>
          <w:rFonts w:ascii="Arial" w:cs="Arial" w:eastAsia="Arial" w:hAnsi="Arial"/>
          <w:sz w:val="17"/>
          <w:szCs w:val="17"/>
          <w:color w:val="auto"/>
        </w:rPr>
      </w:pPr>
      <w:r>
        <w:rPr>
          <w:rFonts w:ascii="Arial" w:cs="Arial" w:eastAsia="Arial" w:hAnsi="Arial"/>
          <w:sz w:val="17"/>
          <w:szCs w:val="17"/>
          <w:color w:val="auto"/>
        </w:rPr>
        <w:t>a Subsidiary that is organized under the laws of a jurisdiction outside of the United States of America, other than a Subsidiary referenced pursuant to Section 2(r)(1)(iv); or</w:t>
      </w:r>
    </w:p>
    <w:p>
      <w:pPr>
        <w:spacing w:after="0" w:line="10" w:lineRule="exact"/>
        <w:rPr>
          <w:rFonts w:ascii="Arial" w:cs="Arial" w:eastAsia="Arial" w:hAnsi="Arial"/>
          <w:sz w:val="17"/>
          <w:szCs w:val="17"/>
          <w:color w:val="auto"/>
        </w:rPr>
      </w:pPr>
    </w:p>
    <w:p>
      <w:pPr>
        <w:ind w:left="1960" w:right="100" w:hanging="404"/>
        <w:spacing w:after="0" w:line="267" w:lineRule="auto"/>
        <w:tabs>
          <w:tab w:leader="none" w:pos="1960" w:val="left"/>
        </w:tabs>
        <w:numPr>
          <w:ilvl w:val="2"/>
          <w:numId w:val="125"/>
        </w:numPr>
        <w:rPr>
          <w:rFonts w:ascii="Arial" w:cs="Arial" w:eastAsia="Arial" w:hAnsi="Arial"/>
          <w:sz w:val="17"/>
          <w:szCs w:val="17"/>
          <w:color w:val="auto"/>
        </w:rPr>
      </w:pPr>
      <w:r>
        <w:rPr>
          <w:rFonts w:ascii="Arial" w:cs="Arial" w:eastAsia="Arial" w:hAnsi="Arial"/>
          <w:sz w:val="17"/>
          <w:szCs w:val="17"/>
          <w:color w:val="auto"/>
        </w:rPr>
        <w:t>except as otherwise provided by the Committee, a Subsidiary that is a “Participating Company” as defined in the Comcast Corporation 2002 Employee Stock Purchase Plan.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880" w:type="dxa"/>
            <w:vAlign w:val="bottom"/>
          </w:tcPr>
          <w:p>
            <w:pPr>
              <w:ind w:left="948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60" w:type="dxa"/>
            <w:vAlign w:val="bottom"/>
          </w:tcPr>
          <w:p>
            <w:pPr>
              <w:ind w:left="160"/>
              <w:spacing w:after="0"/>
              <w:rPr>
                <w:sz w:val="20"/>
                <w:szCs w:val="20"/>
                <w:color w:val="auto"/>
              </w:rPr>
            </w:pPr>
            <w:r>
              <w:rPr>
                <w:rFonts w:ascii="Arial" w:cs="Arial" w:eastAsia="Arial" w:hAnsi="Arial"/>
                <w:sz w:val="13"/>
                <w:szCs w:val="13"/>
                <w:b w:val="1"/>
                <w:bCs w:val="1"/>
                <w:color w:val="auto"/>
                <w:w w:val="85"/>
              </w:rPr>
              <w:t>B-1</w:t>
            </w:r>
          </w:p>
        </w:tc>
      </w:tr>
      <w:tr>
        <w:trPr>
          <w:trHeight w:val="231"/>
        </w:trPr>
        <w:tc>
          <w:tcPr>
            <w:tcW w:w="10880" w:type="dxa"/>
            <w:vAlign w:val="bottom"/>
            <w:tcBorders>
              <w:bottom w:val="single" w:sz="8" w:color="A1A1A1"/>
            </w:tcBorders>
          </w:tcPr>
          <w:p>
            <w:pPr>
              <w:spacing w:after="0"/>
              <w:rPr>
                <w:sz w:val="20"/>
                <w:szCs w:val="20"/>
                <w:color w:val="auto"/>
              </w:rPr>
            </w:pPr>
          </w:p>
        </w:tc>
        <w:tc>
          <w:tcPr>
            <w:tcW w:w="36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11" w:lineRule="exact"/>
        <w:rPr>
          <w:sz w:val="20"/>
          <w:szCs w:val="20"/>
          <w:color w:val="auto"/>
        </w:rPr>
      </w:pPr>
    </w:p>
    <w:p>
      <w:pPr>
        <w:ind w:left="1420" w:hanging="386"/>
        <w:spacing w:after="0" w:line="267" w:lineRule="auto"/>
        <w:tabs>
          <w:tab w:leader="none" w:pos="14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means any employee who is employed by a Participating Company and designated on the books and records of such Participating Company as an employee, provided that the term “Employee” shall not include:</w:t>
      </w:r>
    </w:p>
    <w:p>
      <w:pPr>
        <w:spacing w:after="0" w:line="10" w:lineRule="exact"/>
        <w:rPr>
          <w:rFonts w:ascii="Arial" w:cs="Arial" w:eastAsia="Arial" w:hAnsi="Arial"/>
          <w:sz w:val="17"/>
          <w:szCs w:val="17"/>
          <w:color w:val="auto"/>
        </w:rPr>
      </w:pPr>
    </w:p>
    <w:p>
      <w:pPr>
        <w:ind w:left="1960" w:right="160" w:hanging="404"/>
        <w:spacing w:after="0" w:line="267" w:lineRule="auto"/>
        <w:tabs>
          <w:tab w:leader="none" w:pos="196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an individual covered by a collective bargaining agreement, unless such agreement specifically provides for participation hereunder;</w:t>
      </w:r>
    </w:p>
    <w:p>
      <w:pPr>
        <w:spacing w:after="0" w:line="10" w:lineRule="exact"/>
        <w:rPr>
          <w:rFonts w:ascii="Arial" w:cs="Arial" w:eastAsia="Arial" w:hAnsi="Arial"/>
          <w:sz w:val="17"/>
          <w:szCs w:val="17"/>
          <w:color w:val="auto"/>
        </w:rPr>
      </w:pPr>
    </w:p>
    <w:p>
      <w:pPr>
        <w:jc w:val="both"/>
        <w:ind w:left="1960" w:right="140" w:hanging="404"/>
        <w:spacing w:after="0" w:line="249" w:lineRule="auto"/>
        <w:tabs>
          <w:tab w:leader="none" w:pos="196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except as otherwise provided by Paragraph 2(q)(1)(iii), an individual who is not on a United States employee payroll of a Participating Company or an individual with respect to whom the Participating Company does not report such individual’s compensation as wages on Form W-2;</w:t>
      </w:r>
    </w:p>
    <w:p>
      <w:pPr>
        <w:spacing w:after="0" w:line="26" w:lineRule="exact"/>
        <w:rPr>
          <w:rFonts w:ascii="Arial" w:cs="Arial" w:eastAsia="Arial" w:hAnsi="Arial"/>
          <w:sz w:val="17"/>
          <w:szCs w:val="17"/>
          <w:color w:val="auto"/>
        </w:rPr>
      </w:pPr>
    </w:p>
    <w:p>
      <w:pPr>
        <w:ind w:left="1960" w:right="180" w:hanging="404"/>
        <w:spacing w:after="0" w:line="249" w:lineRule="auto"/>
        <w:tabs>
          <w:tab w:leader="none" w:pos="196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an individual who has entered into an agreement with a Participating Company which excludes such individual from participation in employee benefit plans of a Participating Company (whether or not such individual is treated or classified as an employee for certain specified purposes that do not include eligibility to participate in the Plan); and</w:t>
      </w:r>
    </w:p>
    <w:p>
      <w:pPr>
        <w:spacing w:after="0" w:line="26" w:lineRule="exact"/>
        <w:rPr>
          <w:rFonts w:ascii="Arial" w:cs="Arial" w:eastAsia="Arial" w:hAnsi="Arial"/>
          <w:sz w:val="17"/>
          <w:szCs w:val="17"/>
          <w:color w:val="auto"/>
        </w:rPr>
      </w:pPr>
    </w:p>
    <w:p>
      <w:pPr>
        <w:ind w:left="1960" w:right="40" w:hanging="404"/>
        <w:spacing w:after="0" w:line="267" w:lineRule="auto"/>
        <w:tabs>
          <w:tab w:leader="none" w:pos="196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an individual who is not classified by the Participating Company as an employee, even if such individual is retroactively re-characterized as an employee by a third party or a Participating Company.</w:t>
      </w:r>
    </w:p>
    <w:p>
      <w:pPr>
        <w:spacing w:after="0" w:line="10" w:lineRule="exact"/>
        <w:rPr>
          <w:rFonts w:ascii="Arial" w:cs="Arial" w:eastAsia="Arial" w:hAnsi="Arial"/>
          <w:sz w:val="17"/>
          <w:szCs w:val="17"/>
          <w:color w:val="auto"/>
        </w:rPr>
      </w:pPr>
    </w:p>
    <w:p>
      <w:pPr>
        <w:ind w:left="1420" w:right="80" w:hanging="386"/>
        <w:spacing w:after="0" w:line="244" w:lineRule="auto"/>
        <w:tabs>
          <w:tab w:leader="none" w:pos="14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28" w:lineRule="exact"/>
        <w:rPr>
          <w:rFonts w:ascii="Arial" w:cs="Arial" w:eastAsia="Arial" w:hAnsi="Arial"/>
          <w:sz w:val="17"/>
          <w:szCs w:val="17"/>
          <w:color w:val="auto"/>
        </w:rPr>
      </w:pPr>
    </w:p>
    <w:p>
      <w:pPr>
        <w:ind w:left="1420" w:right="100" w:hanging="386"/>
        <w:spacing w:after="0" w:line="267" w:lineRule="auto"/>
        <w:tabs>
          <w:tab w:leader="none" w:pos="14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Five Percent Owner</w:t>
      </w:r>
      <w:r>
        <w:rPr>
          <w:rFonts w:ascii="Arial" w:cs="Arial" w:eastAsia="Arial" w:hAnsi="Arial"/>
          <w:sz w:val="17"/>
          <w:szCs w:val="17"/>
          <w:color w:val="auto"/>
        </w:rPr>
        <w:t>” means an Employee who, with respect to a Participating Company, is described in section 423(b)(3) of the Code.</w:t>
      </w:r>
    </w:p>
    <w:p>
      <w:pPr>
        <w:spacing w:after="0" w:line="10" w:lineRule="exact"/>
        <w:rPr>
          <w:rFonts w:ascii="Arial" w:cs="Arial" w:eastAsia="Arial" w:hAnsi="Arial"/>
          <w:sz w:val="17"/>
          <w:szCs w:val="17"/>
          <w:color w:val="auto"/>
        </w:rPr>
      </w:pPr>
    </w:p>
    <w:p>
      <w:pPr>
        <w:ind w:left="1420" w:hanging="386"/>
        <w:spacing w:after="0"/>
        <w:tabs>
          <w:tab w:leader="none" w:pos="14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Ineligible Employee</w:t>
      </w:r>
      <w:r>
        <w:rPr>
          <w:rFonts w:ascii="Arial" w:cs="Arial" w:eastAsia="Arial" w:hAnsi="Arial"/>
          <w:sz w:val="17"/>
          <w:szCs w:val="17"/>
          <w:color w:val="auto"/>
        </w:rPr>
        <w:t>” means:</w:t>
      </w:r>
    </w:p>
    <w:p>
      <w:pPr>
        <w:spacing w:after="0" w:line="61" w:lineRule="exact"/>
        <w:rPr>
          <w:rFonts w:ascii="Arial" w:cs="Arial" w:eastAsia="Arial" w:hAnsi="Arial"/>
          <w:sz w:val="17"/>
          <w:szCs w:val="17"/>
          <w:color w:val="auto"/>
        </w:rPr>
      </w:pPr>
    </w:p>
    <w:p>
      <w:pPr>
        <w:ind w:left="1960" w:right="660" w:hanging="404"/>
        <w:spacing w:after="0" w:line="267" w:lineRule="auto"/>
        <w:tabs>
          <w:tab w:leader="none" w:pos="196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For an employee of any Participating Employer other than Universal Orlando, an Employee who, as of an Offering Commencement Date:</w:t>
      </w:r>
    </w:p>
    <w:p>
      <w:pPr>
        <w:spacing w:after="0" w:line="10" w:lineRule="exact"/>
        <w:rPr>
          <w:rFonts w:ascii="Arial" w:cs="Arial" w:eastAsia="Arial" w:hAnsi="Arial"/>
          <w:sz w:val="17"/>
          <w:szCs w:val="17"/>
          <w:color w:val="auto"/>
        </w:rPr>
      </w:pPr>
    </w:p>
    <w:p>
      <w:pPr>
        <w:ind w:left="2620" w:hanging="398"/>
        <w:spacing w:after="0"/>
        <w:tabs>
          <w:tab w:leader="none" w:pos="2620" w:val="left"/>
        </w:tabs>
        <w:numPr>
          <w:ilvl w:val="2"/>
          <w:numId w:val="126"/>
        </w:numPr>
        <w:rPr>
          <w:rFonts w:ascii="Arial" w:cs="Arial" w:eastAsia="Arial" w:hAnsi="Arial"/>
          <w:sz w:val="17"/>
          <w:szCs w:val="17"/>
          <w:color w:val="auto"/>
        </w:rPr>
      </w:pPr>
      <w:r>
        <w:rPr>
          <w:rFonts w:ascii="Arial" w:cs="Arial" w:eastAsia="Arial" w:hAnsi="Arial"/>
          <w:sz w:val="17"/>
          <w:szCs w:val="17"/>
          <w:color w:val="auto"/>
        </w:rPr>
        <w:t>is a Five Percent Owner;</w:t>
      </w:r>
    </w:p>
    <w:p>
      <w:pPr>
        <w:spacing w:after="0" w:line="61" w:lineRule="exact"/>
        <w:rPr>
          <w:rFonts w:ascii="Arial" w:cs="Arial" w:eastAsia="Arial" w:hAnsi="Arial"/>
          <w:sz w:val="17"/>
          <w:szCs w:val="17"/>
          <w:color w:val="auto"/>
        </w:rPr>
      </w:pPr>
    </w:p>
    <w:p>
      <w:pPr>
        <w:ind w:left="2620" w:hanging="398"/>
        <w:spacing w:after="0"/>
        <w:tabs>
          <w:tab w:leader="none" w:pos="2620" w:val="left"/>
        </w:tabs>
        <w:numPr>
          <w:ilvl w:val="2"/>
          <w:numId w:val="126"/>
        </w:numPr>
        <w:rPr>
          <w:rFonts w:ascii="Arial" w:cs="Arial" w:eastAsia="Arial" w:hAnsi="Arial"/>
          <w:sz w:val="17"/>
          <w:szCs w:val="17"/>
          <w:color w:val="auto"/>
        </w:rPr>
      </w:pPr>
      <w:r>
        <w:rPr>
          <w:rFonts w:ascii="Arial" w:cs="Arial" w:eastAsia="Arial" w:hAnsi="Arial"/>
          <w:sz w:val="17"/>
          <w:szCs w:val="17"/>
          <w:color w:val="auto"/>
        </w:rPr>
        <w:t>has been continuously employed by the Comcast Group on a full-time basis for less than 90 days;</w:t>
      </w:r>
    </w:p>
    <w:p>
      <w:pPr>
        <w:spacing w:after="0" w:line="61" w:lineRule="exact"/>
        <w:rPr>
          <w:rFonts w:ascii="Arial" w:cs="Arial" w:eastAsia="Arial" w:hAnsi="Arial"/>
          <w:sz w:val="17"/>
          <w:szCs w:val="17"/>
          <w:color w:val="auto"/>
        </w:rPr>
      </w:pPr>
    </w:p>
    <w:p>
      <w:pPr>
        <w:ind w:left="2620" w:hanging="398"/>
        <w:spacing w:after="0"/>
        <w:tabs>
          <w:tab w:leader="none" w:pos="2620" w:val="left"/>
        </w:tabs>
        <w:numPr>
          <w:ilvl w:val="2"/>
          <w:numId w:val="126"/>
        </w:numPr>
        <w:rPr>
          <w:rFonts w:ascii="Arial" w:cs="Arial" w:eastAsia="Arial" w:hAnsi="Arial"/>
          <w:sz w:val="17"/>
          <w:szCs w:val="17"/>
          <w:color w:val="auto"/>
        </w:rPr>
      </w:pPr>
      <w:r>
        <w:rPr>
          <w:rFonts w:ascii="Arial" w:cs="Arial" w:eastAsia="Arial" w:hAnsi="Arial"/>
          <w:sz w:val="17"/>
          <w:szCs w:val="17"/>
          <w:color w:val="auto"/>
        </w:rPr>
        <w:t>has been continuously employed by the Comcast Group on a part-time basis for less than one year;</w:t>
      </w:r>
    </w:p>
    <w:p>
      <w:pPr>
        <w:spacing w:after="0" w:line="61" w:lineRule="exact"/>
        <w:rPr>
          <w:rFonts w:ascii="Arial" w:cs="Arial" w:eastAsia="Arial" w:hAnsi="Arial"/>
          <w:sz w:val="17"/>
          <w:szCs w:val="17"/>
          <w:color w:val="auto"/>
        </w:rPr>
      </w:pPr>
    </w:p>
    <w:p>
      <w:pPr>
        <w:ind w:left="2620" w:right="400" w:hanging="398"/>
        <w:spacing w:after="0" w:line="249" w:lineRule="auto"/>
        <w:tabs>
          <w:tab w:leader="none" w:pos="2620" w:val="left"/>
        </w:tabs>
        <w:numPr>
          <w:ilvl w:val="2"/>
          <w:numId w:val="126"/>
        </w:numPr>
        <w:rPr>
          <w:rFonts w:ascii="Arial" w:cs="Arial" w:eastAsia="Arial" w:hAnsi="Arial"/>
          <w:sz w:val="17"/>
          <w:szCs w:val="17"/>
          <w:color w:val="auto"/>
        </w:rPr>
      </w:pPr>
      <w:r>
        <w:rPr>
          <w:rFonts w:ascii="Arial" w:cs="Arial" w:eastAsia="Arial" w:hAnsi="Arial"/>
          <w:sz w:val="17"/>
          <w:szCs w:val="17"/>
          <w:color w:val="auto"/>
        </w:rPr>
        <w:t>except as otherwise provided by the Committee, an employee who is (i) employed by a Subsidiary that is organized under the laws of a jurisdiction outside of the United States of America or (ii) whose principal work location is outside of the United States; or</w:t>
      </w:r>
    </w:p>
    <w:p>
      <w:pPr>
        <w:spacing w:after="0" w:line="26" w:lineRule="exact"/>
        <w:rPr>
          <w:rFonts w:ascii="Arial" w:cs="Arial" w:eastAsia="Arial" w:hAnsi="Arial"/>
          <w:sz w:val="17"/>
          <w:szCs w:val="17"/>
          <w:color w:val="auto"/>
        </w:rPr>
      </w:pPr>
    </w:p>
    <w:p>
      <w:pPr>
        <w:ind w:left="2620" w:right="120" w:hanging="398"/>
        <w:spacing w:after="0" w:line="249" w:lineRule="auto"/>
        <w:tabs>
          <w:tab w:leader="none" w:pos="2620" w:val="left"/>
        </w:tabs>
        <w:numPr>
          <w:ilvl w:val="2"/>
          <w:numId w:val="126"/>
        </w:numPr>
        <w:rPr>
          <w:rFonts w:ascii="Arial" w:cs="Arial" w:eastAsia="Arial" w:hAnsi="Arial"/>
          <w:sz w:val="17"/>
          <w:szCs w:val="17"/>
          <w:color w:val="auto"/>
        </w:rPr>
      </w:pPr>
      <w:r>
        <w:rPr>
          <w:rFonts w:ascii="Arial" w:cs="Arial" w:eastAsia="Arial" w:hAnsi="Arial"/>
          <w:sz w:val="17"/>
          <w:szCs w:val="17"/>
          <w:color w:val="auto"/>
        </w:rPr>
        <w:t>is an individual whose employment is classified by the Participating Company to which such individual is employed as an internship, or as “temporary” or “intermittent,” all in accordance with uniformly applied personnel policies.</w:t>
      </w:r>
    </w:p>
    <w:p>
      <w:pPr>
        <w:spacing w:after="0" w:line="26" w:lineRule="exact"/>
        <w:rPr>
          <w:sz w:val="20"/>
          <w:szCs w:val="20"/>
          <w:color w:val="auto"/>
        </w:rPr>
      </w:pPr>
    </w:p>
    <w:p>
      <w:pPr>
        <w:ind w:left="1960" w:right="160"/>
        <w:spacing w:after="0" w:line="249" w:lineRule="auto"/>
        <w:rPr>
          <w:sz w:val="20"/>
          <w:szCs w:val="20"/>
          <w:color w:val="auto"/>
        </w:rPr>
      </w:pPr>
      <w:r>
        <w:rPr>
          <w:rFonts w:ascii="Arial" w:cs="Arial" w:eastAsia="Arial" w:hAnsi="Arial"/>
          <w:sz w:val="17"/>
          <w:szCs w:val="17"/>
          <w:color w:val="auto"/>
        </w:rPr>
        <w:t>For purposes of this Paragraph 2(r)(1), an employee is employed on a part-time basis if the Employee customarily works less than 20 hours per week. For purposes of this Paragraph 2(q), an Employee is employed on a full-time basis if the Employee customarily works 20 or more hours per week.</w:t>
      </w:r>
    </w:p>
    <w:p>
      <w:pPr>
        <w:spacing w:after="0" w:line="26" w:lineRule="exact"/>
        <w:rPr>
          <w:sz w:val="20"/>
          <w:szCs w:val="20"/>
          <w:color w:val="auto"/>
        </w:rPr>
      </w:pPr>
    </w:p>
    <w:p>
      <w:pPr>
        <w:ind w:left="1960" w:hanging="404"/>
        <w:spacing w:after="0"/>
        <w:tabs>
          <w:tab w:leader="none" w:pos="19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For an employee of Universal Orlando, an employee who, as of an Offering Commencement Date:</w:t>
      </w:r>
    </w:p>
    <w:p>
      <w:pPr>
        <w:spacing w:after="0" w:line="61" w:lineRule="exact"/>
        <w:rPr>
          <w:rFonts w:ascii="Arial" w:cs="Arial" w:eastAsia="Arial" w:hAnsi="Arial"/>
          <w:sz w:val="17"/>
          <w:szCs w:val="17"/>
          <w:color w:val="auto"/>
        </w:rPr>
      </w:pPr>
    </w:p>
    <w:p>
      <w:pPr>
        <w:ind w:left="2620" w:hanging="398"/>
        <w:spacing w:after="0"/>
        <w:tabs>
          <w:tab w:leader="none" w:pos="262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is a Five Percent Owner;</w:t>
      </w:r>
    </w:p>
    <w:p>
      <w:pPr>
        <w:spacing w:after="0" w:line="61" w:lineRule="exact"/>
        <w:rPr>
          <w:rFonts w:ascii="Arial" w:cs="Arial" w:eastAsia="Arial" w:hAnsi="Arial"/>
          <w:sz w:val="17"/>
          <w:szCs w:val="17"/>
          <w:color w:val="auto"/>
        </w:rPr>
      </w:pPr>
    </w:p>
    <w:p>
      <w:pPr>
        <w:ind w:left="2620" w:hanging="398"/>
        <w:spacing w:after="0"/>
        <w:tabs>
          <w:tab w:leader="none" w:pos="262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has been continuously employed by the Comcast Group on a full-time basis for less than 90 days;</w:t>
      </w:r>
    </w:p>
    <w:p>
      <w:pPr>
        <w:spacing w:after="0" w:line="61" w:lineRule="exact"/>
        <w:rPr>
          <w:rFonts w:ascii="Arial" w:cs="Arial" w:eastAsia="Arial" w:hAnsi="Arial"/>
          <w:sz w:val="17"/>
          <w:szCs w:val="17"/>
          <w:color w:val="auto"/>
        </w:rPr>
      </w:pPr>
    </w:p>
    <w:p>
      <w:pPr>
        <w:ind w:left="2620" w:hanging="398"/>
        <w:spacing w:after="0"/>
        <w:tabs>
          <w:tab w:leader="none" w:pos="262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has been continuously employed by the Comcast Group on a part-time basis for less than one year;</w:t>
      </w:r>
    </w:p>
    <w:p>
      <w:pPr>
        <w:spacing w:after="0" w:line="61" w:lineRule="exact"/>
        <w:rPr>
          <w:rFonts w:ascii="Arial" w:cs="Arial" w:eastAsia="Arial" w:hAnsi="Arial"/>
          <w:sz w:val="17"/>
          <w:szCs w:val="17"/>
          <w:color w:val="auto"/>
        </w:rPr>
      </w:pPr>
    </w:p>
    <w:p>
      <w:pPr>
        <w:ind w:left="2620" w:right="680" w:hanging="398"/>
        <w:spacing w:after="0" w:line="267" w:lineRule="auto"/>
        <w:tabs>
          <w:tab w:leader="none" w:pos="262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except as otherwise provided by the Committee, an employee who is (i) employed by a Subsidiary that is organized under the laws of a jurisdiction outside of the</w:t>
      </w:r>
    </w:p>
    <w:p>
      <w:pPr>
        <w:spacing w:after="0" w:line="163"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b w:val="1"/>
          <w:bCs w:val="1"/>
          <w:color w:val="auto"/>
        </w:rPr>
        <w:t>B-2</w:t>
      </w:r>
      <w:r>
        <w:rPr>
          <w:sz w:val="20"/>
          <w:szCs w:val="20"/>
          <w:color w:val="auto"/>
        </w:rPr>
        <w:tab/>
      </w:r>
      <w:r>
        <w:rPr>
          <w:rFonts w:ascii="Arial" w:cs="Arial" w:eastAsia="Arial" w:hAnsi="Arial"/>
          <w:sz w:val="12"/>
          <w:szCs w:val="12"/>
          <w:b w:val="1"/>
          <w:bCs w:val="1"/>
          <w:color w:val="auto"/>
        </w:rPr>
        <w:t xml:space="preserve">2025 </w:t>
      </w:r>
      <w:r>
        <w:rPr>
          <w:rFonts w:ascii="Arial" w:cs="Arial" w:eastAsia="Arial" w:hAnsi="Arial"/>
          <w:sz w:val="12"/>
          <w:szCs w:val="12"/>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7" w:name="page68"/>
    <w:bookmarkEnd w:id="6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11"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United States of America or (ii) whose principal work location is outside of the United States; or</w:t>
      </w:r>
    </w:p>
    <w:p>
      <w:pPr>
        <w:spacing w:after="0" w:line="61" w:lineRule="exact"/>
        <w:rPr>
          <w:sz w:val="20"/>
          <w:szCs w:val="20"/>
          <w:color w:val="auto"/>
        </w:rPr>
      </w:pPr>
    </w:p>
    <w:p>
      <w:pPr>
        <w:ind w:left="2580" w:right="20" w:hanging="358"/>
        <w:spacing w:after="0" w:line="249" w:lineRule="auto"/>
        <w:tabs>
          <w:tab w:leader="none" w:pos="25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is an individual whose employment is classified by the Participating Company to which such individual is employed as an internship, or as “temporary,” “intermittent” or “seasonal,” all in accordance with uniformly applied personnel policies.</w:t>
      </w:r>
    </w:p>
    <w:p>
      <w:pPr>
        <w:spacing w:after="0" w:line="26" w:lineRule="exact"/>
        <w:rPr>
          <w:sz w:val="20"/>
          <w:szCs w:val="20"/>
          <w:color w:val="auto"/>
        </w:rPr>
      </w:pPr>
    </w:p>
    <w:p>
      <w:pPr>
        <w:ind w:left="1960" w:right="200"/>
        <w:spacing w:after="0" w:line="249" w:lineRule="auto"/>
        <w:rPr>
          <w:sz w:val="20"/>
          <w:szCs w:val="20"/>
          <w:color w:val="auto"/>
        </w:rPr>
      </w:pPr>
      <w:r>
        <w:rPr>
          <w:rFonts w:ascii="Arial" w:cs="Arial" w:eastAsia="Arial" w:hAnsi="Arial"/>
          <w:sz w:val="17"/>
          <w:szCs w:val="17"/>
          <w:color w:val="auto"/>
        </w:rPr>
        <w:t>For purposes of this Paragraph 2(r)(2), an employee is employed on a part-time basis if Universal Orlando has classified the Employee as a “Casual Employee.” For purposes of this Paragraph 2(q)(2) an Employee is employed on a full-time basis if Universal Orlando has classified the Employee as a Regular Employee.</w:t>
      </w:r>
    </w:p>
    <w:p>
      <w:pPr>
        <w:spacing w:after="0" w:line="26" w:lineRule="exact"/>
        <w:rPr>
          <w:sz w:val="20"/>
          <w:szCs w:val="20"/>
          <w:color w:val="auto"/>
        </w:rPr>
      </w:pPr>
    </w:p>
    <w:p>
      <w:pPr>
        <w:ind w:left="1420" w:hanging="386"/>
        <w:spacing w:after="0"/>
        <w:tabs>
          <w:tab w:leader="none" w:pos="14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NBCUniversal</w:t>
      </w:r>
      <w:r>
        <w:rPr>
          <w:rFonts w:ascii="Arial" w:cs="Arial" w:eastAsia="Arial" w:hAnsi="Arial"/>
          <w:sz w:val="17"/>
          <w:szCs w:val="17"/>
          <w:color w:val="auto"/>
        </w:rPr>
        <w:t>” means NBCUniversal, LLC, a Delaware limited liability company.</w:t>
      </w:r>
    </w:p>
    <w:p>
      <w:pPr>
        <w:spacing w:after="0" w:line="61" w:lineRule="exact"/>
        <w:rPr>
          <w:rFonts w:ascii="Arial" w:cs="Arial" w:eastAsia="Arial" w:hAnsi="Arial"/>
          <w:sz w:val="17"/>
          <w:szCs w:val="17"/>
          <w:color w:val="auto"/>
        </w:rPr>
      </w:pPr>
    </w:p>
    <w:p>
      <w:pPr>
        <w:ind w:left="1420" w:hanging="386"/>
        <w:spacing w:after="0"/>
        <w:tabs>
          <w:tab w:leader="none" w:pos="14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Offering</w:t>
      </w:r>
      <w:r>
        <w:rPr>
          <w:rFonts w:ascii="Arial" w:cs="Arial" w:eastAsia="Arial" w:hAnsi="Arial"/>
          <w:sz w:val="17"/>
          <w:szCs w:val="17"/>
          <w:color w:val="auto"/>
        </w:rPr>
        <w:t>” means an offering of Shares by the Company to Eligible Employees pursuant to the Plan.</w:t>
      </w:r>
    </w:p>
    <w:p>
      <w:pPr>
        <w:spacing w:after="0" w:line="61" w:lineRule="exact"/>
        <w:rPr>
          <w:rFonts w:ascii="Arial" w:cs="Arial" w:eastAsia="Arial" w:hAnsi="Arial"/>
          <w:sz w:val="17"/>
          <w:szCs w:val="17"/>
          <w:color w:val="auto"/>
        </w:rPr>
      </w:pPr>
    </w:p>
    <w:p>
      <w:pPr>
        <w:ind w:left="1420" w:right="100" w:hanging="386"/>
        <w:spacing w:after="0" w:line="267" w:lineRule="auto"/>
        <w:tabs>
          <w:tab w:leader="none" w:pos="14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Offering Commencement Date</w:t>
      </w:r>
      <w:r>
        <w:rPr>
          <w:rFonts w:ascii="Arial" w:cs="Arial" w:eastAsia="Arial" w:hAnsi="Arial"/>
          <w:sz w:val="17"/>
          <w:szCs w:val="17"/>
          <w:color w:val="auto"/>
        </w:rPr>
        <w:t>” means the first day of each January 1, April 1, July 1 and October 1 beginning on or after July 1, 2011 until the Plan Termination Date.</w:t>
      </w:r>
    </w:p>
    <w:p>
      <w:pPr>
        <w:spacing w:after="0" w:line="10" w:lineRule="exact"/>
        <w:rPr>
          <w:rFonts w:ascii="Arial" w:cs="Arial" w:eastAsia="Arial" w:hAnsi="Arial"/>
          <w:sz w:val="17"/>
          <w:szCs w:val="17"/>
          <w:color w:val="auto"/>
        </w:rPr>
      </w:pPr>
    </w:p>
    <w:p>
      <w:pPr>
        <w:ind w:left="1420" w:right="220" w:hanging="386"/>
        <w:spacing w:after="0" w:line="267" w:lineRule="auto"/>
        <w:tabs>
          <w:tab w:leader="none" w:pos="14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Offering Period</w:t>
      </w:r>
      <w:r>
        <w:rPr>
          <w:rFonts w:ascii="Arial" w:cs="Arial" w:eastAsia="Arial" w:hAnsi="Arial"/>
          <w:sz w:val="17"/>
          <w:szCs w:val="17"/>
          <w:color w:val="auto"/>
        </w:rPr>
        <w:t>” means the period extending from an Offering Commencement Date through the following Offering Termination Date.</w:t>
      </w:r>
    </w:p>
    <w:p>
      <w:pPr>
        <w:spacing w:after="0" w:line="10" w:lineRule="exact"/>
        <w:rPr>
          <w:rFonts w:ascii="Arial" w:cs="Arial" w:eastAsia="Arial" w:hAnsi="Arial"/>
          <w:sz w:val="17"/>
          <w:szCs w:val="17"/>
          <w:color w:val="auto"/>
        </w:rPr>
      </w:pPr>
    </w:p>
    <w:p>
      <w:pPr>
        <w:ind w:left="1420" w:right="1000" w:hanging="386"/>
        <w:spacing w:after="0" w:line="267" w:lineRule="auto"/>
        <w:tabs>
          <w:tab w:leader="none" w:pos="14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Offering Termination Date</w:t>
      </w:r>
      <w:r>
        <w:rPr>
          <w:rFonts w:ascii="Arial" w:cs="Arial" w:eastAsia="Arial" w:hAnsi="Arial"/>
          <w:sz w:val="17"/>
          <w:szCs w:val="17"/>
          <w:color w:val="auto"/>
        </w:rPr>
        <w:t>” means the last day of each March, June, September and December following an Offering Commencement Date, or such other Offering Termination Date established in connection with a Terminating Event.</w:t>
      </w:r>
    </w:p>
    <w:p>
      <w:pPr>
        <w:spacing w:after="0" w:line="10" w:lineRule="exact"/>
        <w:rPr>
          <w:rFonts w:ascii="Arial" w:cs="Arial" w:eastAsia="Arial" w:hAnsi="Arial"/>
          <w:sz w:val="17"/>
          <w:szCs w:val="17"/>
          <w:color w:val="auto"/>
        </w:rPr>
      </w:pPr>
    </w:p>
    <w:p>
      <w:pPr>
        <w:ind w:left="1420" w:right="640" w:hanging="386"/>
        <w:spacing w:after="0" w:line="267" w:lineRule="auto"/>
        <w:tabs>
          <w:tab w:leader="none" w:pos="14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an Eligible Employee who has timely delivered an Election Form to the Committee in accordance with procedures established by the Committee.</w:t>
      </w:r>
    </w:p>
    <w:p>
      <w:pPr>
        <w:spacing w:after="0" w:line="10" w:lineRule="exact"/>
        <w:rPr>
          <w:rFonts w:ascii="Arial" w:cs="Arial" w:eastAsia="Arial" w:hAnsi="Arial"/>
          <w:sz w:val="17"/>
          <w:szCs w:val="17"/>
          <w:color w:val="auto"/>
        </w:rPr>
      </w:pPr>
    </w:p>
    <w:p>
      <w:pPr>
        <w:ind w:left="1420" w:right="120" w:hanging="386"/>
        <w:spacing w:after="0" w:line="244" w:lineRule="auto"/>
        <w:tabs>
          <w:tab w:leader="none" w:pos="14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Participating Company</w:t>
      </w:r>
      <w:r>
        <w:rPr>
          <w:rFonts w:ascii="Arial" w:cs="Arial" w:eastAsia="Arial" w:hAnsi="Arial"/>
          <w:sz w:val="17"/>
          <w:szCs w:val="17"/>
          <w:color w:val="auto"/>
        </w:rPr>
        <w:t>” means all Eligible Employers except such Eligible Employers as may be designated for exclusion by the Board or the Committee from time to time. Notwithstanding the foregoing, the Board or the Committee may delegate its authority to exclude an Eligible Employer from being a Participating Company under this Paragraph 2(x) to an officer of the Company or committee of two or more officers of the Company.</w:t>
      </w:r>
    </w:p>
    <w:p>
      <w:pPr>
        <w:spacing w:after="0" w:line="28" w:lineRule="exact"/>
        <w:rPr>
          <w:rFonts w:ascii="Arial" w:cs="Arial" w:eastAsia="Arial" w:hAnsi="Arial"/>
          <w:sz w:val="17"/>
          <w:szCs w:val="17"/>
          <w:color w:val="auto"/>
        </w:rPr>
      </w:pPr>
    </w:p>
    <w:p>
      <w:pPr>
        <w:ind w:left="1420" w:right="40" w:hanging="386"/>
        <w:spacing w:after="0" w:line="267" w:lineRule="auto"/>
        <w:tabs>
          <w:tab w:leader="none" w:pos="14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Payroll Deductions</w:t>
      </w:r>
      <w:r>
        <w:rPr>
          <w:rFonts w:ascii="Arial" w:cs="Arial" w:eastAsia="Arial" w:hAnsi="Arial"/>
          <w:sz w:val="17"/>
          <w:szCs w:val="17"/>
          <w:color w:val="auto"/>
        </w:rPr>
        <w:t>” means amounts withheld from a Participant’s Compensation pursuant to the Plan, as described in Paragraph 5.</w:t>
      </w:r>
    </w:p>
    <w:p>
      <w:pPr>
        <w:spacing w:after="0" w:line="11" w:lineRule="exact"/>
        <w:rPr>
          <w:sz w:val="20"/>
          <w:szCs w:val="20"/>
          <w:color w:val="auto"/>
        </w:rPr>
      </w:pPr>
    </w:p>
    <w:p>
      <w:pPr>
        <w:ind w:left="1420" w:hanging="386"/>
        <w:spacing w:after="0"/>
        <w:tabs>
          <w:tab w:leader="none" w:pos="14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a corporation, a partnership, an association, a trust or any other entity or organization.</w:t>
      </w:r>
    </w:p>
    <w:p>
      <w:pPr>
        <w:spacing w:after="0" w:line="61" w:lineRule="exact"/>
        <w:rPr>
          <w:rFonts w:ascii="Arial" w:cs="Arial" w:eastAsia="Arial" w:hAnsi="Arial"/>
          <w:sz w:val="17"/>
          <w:szCs w:val="17"/>
          <w:color w:val="auto"/>
        </w:rPr>
      </w:pPr>
    </w:p>
    <w:p>
      <w:pPr>
        <w:ind w:left="1420" w:right="380" w:hanging="386"/>
        <w:spacing w:after="0" w:line="267" w:lineRule="auto"/>
        <w:tabs>
          <w:tab w:leader="none" w:pos="14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the Comcast-NBCUniversal 2011 Employee Stock Purchase Plan, as set forth in this document, and as may be amended from time to time.</w:t>
      </w:r>
    </w:p>
    <w:p>
      <w:pPr>
        <w:spacing w:after="0" w:line="10" w:lineRule="exact"/>
        <w:rPr>
          <w:rFonts w:ascii="Arial" w:cs="Arial" w:eastAsia="Arial" w:hAnsi="Arial"/>
          <w:sz w:val="17"/>
          <w:szCs w:val="17"/>
          <w:color w:val="auto"/>
        </w:rPr>
      </w:pPr>
    </w:p>
    <w:p>
      <w:pPr>
        <w:ind w:left="1420" w:hanging="386"/>
        <w:spacing w:after="0"/>
        <w:tabs>
          <w:tab w:leader="none" w:pos="14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Termination Date</w:t>
      </w:r>
      <w:r>
        <w:rPr>
          <w:rFonts w:ascii="Arial" w:cs="Arial" w:eastAsia="Arial" w:hAnsi="Arial"/>
          <w:sz w:val="17"/>
          <w:szCs w:val="17"/>
          <w:color w:val="auto"/>
        </w:rPr>
        <w:t>” means the earliest of:</w:t>
      </w:r>
    </w:p>
    <w:p>
      <w:pPr>
        <w:spacing w:after="0" w:line="61" w:lineRule="exact"/>
        <w:rPr>
          <w:rFonts w:ascii="Arial" w:cs="Arial" w:eastAsia="Arial" w:hAnsi="Arial"/>
          <w:sz w:val="17"/>
          <w:szCs w:val="17"/>
          <w:color w:val="auto"/>
        </w:rPr>
      </w:pPr>
    </w:p>
    <w:p>
      <w:pPr>
        <w:ind w:left="1960" w:right="420" w:hanging="404"/>
        <w:spacing w:after="0" w:line="267" w:lineRule="auto"/>
        <w:tabs>
          <w:tab w:leader="none" w:pos="196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Offering Termination Date for the Offering in which the maximum number of Shares specified in Paragraph 9 have been issued pursuant to the Plan; or</w:t>
      </w:r>
    </w:p>
    <w:p>
      <w:pPr>
        <w:spacing w:after="0" w:line="10" w:lineRule="exact"/>
        <w:rPr>
          <w:rFonts w:ascii="Arial" w:cs="Arial" w:eastAsia="Arial" w:hAnsi="Arial"/>
          <w:sz w:val="17"/>
          <w:szCs w:val="17"/>
          <w:color w:val="auto"/>
        </w:rPr>
      </w:pPr>
    </w:p>
    <w:p>
      <w:pPr>
        <w:ind w:left="1960" w:hanging="404"/>
        <w:spacing w:after="0"/>
        <w:tabs>
          <w:tab w:leader="none" w:pos="196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date as of which the Board or the Committee chooses to terminate the Plan as provided in Paragraph 14.</w:t>
      </w:r>
    </w:p>
    <w:p>
      <w:pPr>
        <w:spacing w:after="0" w:line="61" w:lineRule="exact"/>
        <w:rPr>
          <w:rFonts w:ascii="Arial" w:cs="Arial" w:eastAsia="Arial" w:hAnsi="Arial"/>
          <w:sz w:val="17"/>
          <w:szCs w:val="17"/>
          <w:color w:val="auto"/>
        </w:rPr>
      </w:pPr>
    </w:p>
    <w:p>
      <w:pPr>
        <w:ind w:left="1420" w:right="80" w:hanging="386"/>
        <w:spacing w:after="0" w:line="241" w:lineRule="auto"/>
        <w:tabs>
          <w:tab w:leader="none" w:pos="14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Price</w:t>
      </w:r>
      <w:r>
        <w:rPr>
          <w:rFonts w:ascii="Arial" w:cs="Arial" w:eastAsia="Arial" w:hAnsi="Arial"/>
          <w:sz w:val="17"/>
          <w:szCs w:val="17"/>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 (ee) “</w:t>
      </w:r>
      <w:r>
        <w:rPr>
          <w:rFonts w:ascii="Arial" w:cs="Arial" w:eastAsia="Arial" w:hAnsi="Arial"/>
          <w:sz w:val="17"/>
          <w:szCs w:val="17"/>
          <w:u w:val="single" w:color="auto"/>
          <w:color w:val="auto"/>
        </w:rPr>
        <w:t>Shares</w:t>
      </w:r>
      <w:r>
        <w:rPr>
          <w:rFonts w:ascii="Arial" w:cs="Arial" w:eastAsia="Arial" w:hAnsi="Arial"/>
          <w:sz w:val="17"/>
          <w:szCs w:val="17"/>
          <w:color w:val="auto"/>
        </w:rPr>
        <w:t>” means shares of Comcast Corporation Class A Common Stock, par value $0.01. (ff) “</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Affiliate of NBCUniversal that is controlled by NBCUniversal.</w:t>
      </w:r>
    </w:p>
    <w:p>
      <w:pPr>
        <w:spacing w:after="0" w:line="31" w:lineRule="exact"/>
        <w:rPr>
          <w:sz w:val="20"/>
          <w:szCs w:val="20"/>
          <w:color w:val="auto"/>
        </w:rPr>
      </w:pPr>
    </w:p>
    <w:p>
      <w:pPr>
        <w:ind w:left="1420" w:right="100" w:hanging="386"/>
        <w:spacing w:after="0" w:line="267" w:lineRule="auto"/>
        <w:tabs>
          <w:tab w:leader="none" w:pos="14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Successor-in-Interest</w:t>
      </w:r>
      <w:r>
        <w:rPr>
          <w:rFonts w:ascii="Arial" w:cs="Arial" w:eastAsia="Arial" w:hAnsi="Arial"/>
          <w:sz w:val="17"/>
          <w:szCs w:val="17"/>
          <w:color w:val="auto"/>
        </w:rPr>
        <w:t>” means the Participant’s executor or administrator, or such other person or entity to which the Participant’s rights under the Plan shall have passed by will or the laws of descent and distribution.</w:t>
      </w:r>
    </w:p>
    <w:p>
      <w:pPr>
        <w:spacing w:after="0" w:line="10" w:lineRule="exact"/>
        <w:rPr>
          <w:rFonts w:ascii="Arial" w:cs="Arial" w:eastAsia="Arial" w:hAnsi="Arial"/>
          <w:sz w:val="17"/>
          <w:szCs w:val="17"/>
          <w:color w:val="auto"/>
        </w:rPr>
      </w:pPr>
    </w:p>
    <w:p>
      <w:pPr>
        <w:ind w:left="1420" w:hanging="386"/>
        <w:spacing w:after="0"/>
        <w:tabs>
          <w:tab w:leader="none" w:pos="14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Terminating Event</w:t>
      </w:r>
      <w:r>
        <w:rPr>
          <w:rFonts w:ascii="Arial" w:cs="Arial" w:eastAsia="Arial" w:hAnsi="Arial"/>
          <w:sz w:val="17"/>
          <w:szCs w:val="17"/>
          <w:color w:val="auto"/>
        </w:rPr>
        <w:t>” means any of the following events:</w:t>
      </w:r>
    </w:p>
    <w:p>
      <w:pPr>
        <w:spacing w:after="0" w:line="61" w:lineRule="exact"/>
        <w:rPr>
          <w:rFonts w:ascii="Arial" w:cs="Arial" w:eastAsia="Arial" w:hAnsi="Arial"/>
          <w:sz w:val="17"/>
          <w:szCs w:val="17"/>
          <w:color w:val="auto"/>
        </w:rPr>
      </w:pPr>
    </w:p>
    <w:p>
      <w:pPr>
        <w:ind w:left="1960" w:hanging="404"/>
        <w:spacing w:after="0"/>
        <w:tabs>
          <w:tab w:leader="none" w:pos="196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the liquidation of the Company; or</w:t>
      </w:r>
    </w:p>
    <w:p>
      <w:pPr>
        <w:spacing w:after="0" w:line="61" w:lineRule="exact"/>
        <w:rPr>
          <w:rFonts w:ascii="Arial" w:cs="Arial" w:eastAsia="Arial" w:hAnsi="Arial"/>
          <w:sz w:val="17"/>
          <w:szCs w:val="17"/>
          <w:color w:val="auto"/>
        </w:rPr>
      </w:pPr>
    </w:p>
    <w:p>
      <w:pPr>
        <w:ind w:left="1960" w:hanging="404"/>
        <w:spacing w:after="0"/>
        <w:tabs>
          <w:tab w:leader="none" w:pos="196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a Change of Control.</w:t>
      </w:r>
    </w:p>
    <w:p>
      <w:pPr>
        <w:spacing w:after="0" w:line="61" w:lineRule="exact"/>
        <w:rPr>
          <w:sz w:val="20"/>
          <w:szCs w:val="20"/>
          <w:color w:val="auto"/>
        </w:rPr>
      </w:pPr>
    </w:p>
    <w:p>
      <w:pPr>
        <w:ind w:left="1420" w:right="220" w:hanging="386"/>
        <w:spacing w:after="0" w:line="267" w:lineRule="auto"/>
        <w:tabs>
          <w:tab w:leader="none" w:pos="14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Person, together with such Person’s Affiliates, provided that the term “Third Party” shall not include the Company or an Affiliate of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880" w:type="dxa"/>
            <w:vAlign w:val="bottom"/>
          </w:tcPr>
          <w:p>
            <w:pPr>
              <w:ind w:left="948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60" w:type="dxa"/>
            <w:vAlign w:val="bottom"/>
          </w:tcPr>
          <w:p>
            <w:pPr>
              <w:ind w:left="160"/>
              <w:spacing w:after="0"/>
              <w:rPr>
                <w:sz w:val="20"/>
                <w:szCs w:val="20"/>
                <w:color w:val="auto"/>
              </w:rPr>
            </w:pPr>
            <w:r>
              <w:rPr>
                <w:rFonts w:ascii="Arial" w:cs="Arial" w:eastAsia="Arial" w:hAnsi="Arial"/>
                <w:sz w:val="13"/>
                <w:szCs w:val="13"/>
                <w:b w:val="1"/>
                <w:bCs w:val="1"/>
                <w:color w:val="auto"/>
                <w:w w:val="85"/>
              </w:rPr>
              <w:t>B-3</w:t>
            </w:r>
          </w:p>
        </w:tc>
      </w:tr>
      <w:tr>
        <w:trPr>
          <w:trHeight w:val="231"/>
        </w:trPr>
        <w:tc>
          <w:tcPr>
            <w:tcW w:w="10880" w:type="dxa"/>
            <w:vAlign w:val="bottom"/>
            <w:tcBorders>
              <w:bottom w:val="single" w:sz="8" w:color="A1A1A1"/>
            </w:tcBorders>
          </w:tcPr>
          <w:p>
            <w:pPr>
              <w:spacing w:after="0"/>
              <w:rPr>
                <w:sz w:val="20"/>
                <w:szCs w:val="20"/>
                <w:color w:val="auto"/>
              </w:rPr>
            </w:pPr>
          </w:p>
        </w:tc>
        <w:tc>
          <w:tcPr>
            <w:tcW w:w="36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11" w:lineRule="exact"/>
        <w:rPr>
          <w:sz w:val="20"/>
          <w:szCs w:val="20"/>
          <w:color w:val="auto"/>
        </w:rPr>
      </w:pPr>
    </w:p>
    <w:p>
      <w:pPr>
        <w:ind w:left="1420" w:right="40" w:hanging="386"/>
        <w:spacing w:after="0" w:line="267" w:lineRule="auto"/>
        <w:tabs>
          <w:tab w:leader="none" w:pos="14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Form</w:t>
      </w:r>
      <w:r>
        <w:rPr>
          <w:rFonts w:ascii="Arial" w:cs="Arial" w:eastAsia="Arial" w:hAnsi="Arial"/>
          <w:sz w:val="17"/>
          <w:szCs w:val="17"/>
          <w:color w:val="auto"/>
        </w:rPr>
        <w:t>” means the written or electronic form acceptable to the Committee which an Employee shall use to discontinue participation during an Offering Period pursuant to Paragraph 7(b).</w:t>
      </w:r>
    </w:p>
    <w:p>
      <w:pPr>
        <w:spacing w:after="0" w:line="11" w:lineRule="exact"/>
        <w:rPr>
          <w:sz w:val="20"/>
          <w:szCs w:val="20"/>
          <w:color w:val="auto"/>
        </w:rPr>
      </w:pPr>
    </w:p>
    <w:p>
      <w:pPr>
        <w:ind w:left="1420" w:hanging="386"/>
        <w:spacing w:after="0"/>
        <w:tabs>
          <w:tab w:leader="none" w:pos="142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Universal Orlando</w:t>
      </w:r>
      <w:r>
        <w:rPr>
          <w:rFonts w:ascii="Arial" w:cs="Arial" w:eastAsia="Arial" w:hAnsi="Arial"/>
          <w:sz w:val="17"/>
          <w:szCs w:val="17"/>
          <w:color w:val="auto"/>
        </w:rPr>
        <w:t>” means Universal City Development Partners, Ltd. and its subsidiaries.</w:t>
      </w:r>
    </w:p>
    <w:p>
      <w:pPr>
        <w:spacing w:after="0" w:line="61" w:lineRule="exact"/>
        <w:rPr>
          <w:rFonts w:ascii="Arial" w:cs="Arial" w:eastAsia="Arial" w:hAnsi="Arial"/>
          <w:sz w:val="17"/>
          <w:szCs w:val="17"/>
          <w:color w:val="auto"/>
        </w:rPr>
      </w:pPr>
    </w:p>
    <w:p>
      <w:pPr>
        <w:ind w:left="760" w:hanging="374"/>
        <w:spacing w:after="0"/>
        <w:tabs>
          <w:tab w:leader="none" w:pos="760" w:val="left"/>
        </w:tabs>
        <w:numPr>
          <w:ilvl w:val="0"/>
          <w:numId w:val="135"/>
        </w:numPr>
        <w:rPr>
          <w:rFonts w:ascii="Arial" w:cs="Arial" w:eastAsia="Arial" w:hAnsi="Arial"/>
          <w:sz w:val="17"/>
          <w:szCs w:val="17"/>
          <w:color w:val="auto"/>
        </w:rPr>
      </w:pPr>
      <w:r>
        <w:rPr>
          <w:rFonts w:ascii="Arial" w:cs="Arial" w:eastAsia="Arial" w:hAnsi="Arial"/>
          <w:sz w:val="17"/>
          <w:szCs w:val="17"/>
          <w:b w:val="1"/>
          <w:bCs w:val="1"/>
          <w:u w:val="single" w:color="auto"/>
          <w:color w:val="auto"/>
        </w:rPr>
        <w:t>Eligibility and Participation</w:t>
      </w:r>
      <w:r>
        <w:rPr>
          <w:rFonts w:ascii="Arial" w:cs="Arial" w:eastAsia="Arial" w:hAnsi="Arial"/>
          <w:sz w:val="17"/>
          <w:szCs w:val="17"/>
          <w:b w:val="1"/>
          <w:bCs w:val="1"/>
          <w:color w:val="auto"/>
        </w:rPr>
        <w:t>.</w:t>
      </w:r>
    </w:p>
    <w:p>
      <w:pPr>
        <w:spacing w:after="0" w:line="61" w:lineRule="exact"/>
        <w:rPr>
          <w:rFonts w:ascii="Arial" w:cs="Arial" w:eastAsia="Arial" w:hAnsi="Arial"/>
          <w:sz w:val="17"/>
          <w:szCs w:val="17"/>
          <w:color w:val="auto"/>
        </w:rPr>
      </w:pPr>
    </w:p>
    <w:p>
      <w:pPr>
        <w:ind w:left="1420" w:right="720" w:hanging="386"/>
        <w:spacing w:after="0" w:line="267" w:lineRule="auto"/>
        <w:tabs>
          <w:tab w:leader="none" w:pos="1420" w:val="left"/>
        </w:tabs>
        <w:numPr>
          <w:ilvl w:val="1"/>
          <w:numId w:val="135"/>
        </w:numPr>
        <w:rPr>
          <w:rFonts w:ascii="Arial" w:cs="Arial" w:eastAsia="Arial" w:hAnsi="Arial"/>
          <w:sz w:val="17"/>
          <w:szCs w:val="17"/>
          <w:color w:val="auto"/>
        </w:rPr>
      </w:pPr>
      <w:r>
        <w:rPr>
          <w:rFonts w:ascii="Arial" w:cs="Arial" w:eastAsia="Arial" w:hAnsi="Arial"/>
          <w:sz w:val="17"/>
          <w:szCs w:val="17"/>
          <w:u w:val="single" w:color="auto"/>
          <w:color w:val="auto"/>
        </w:rPr>
        <w:t>Eligibility</w:t>
      </w:r>
      <w:r>
        <w:rPr>
          <w:rFonts w:ascii="Arial" w:cs="Arial" w:eastAsia="Arial" w:hAnsi="Arial"/>
          <w:sz w:val="17"/>
          <w:szCs w:val="17"/>
          <w:color w:val="auto"/>
        </w:rPr>
        <w:t>. Except to the extent participation is restricted under Paragraph 3(b), each Eligible Employee shall be eligible to participate in the Plan.</w:t>
      </w:r>
    </w:p>
    <w:p>
      <w:pPr>
        <w:spacing w:after="0" w:line="10" w:lineRule="exact"/>
        <w:rPr>
          <w:rFonts w:ascii="Arial" w:cs="Arial" w:eastAsia="Arial" w:hAnsi="Arial"/>
          <w:sz w:val="17"/>
          <w:szCs w:val="17"/>
          <w:color w:val="auto"/>
        </w:rPr>
      </w:pPr>
    </w:p>
    <w:p>
      <w:pPr>
        <w:ind w:left="1420" w:right="20" w:hanging="386"/>
        <w:spacing w:after="0" w:line="267" w:lineRule="auto"/>
        <w:tabs>
          <w:tab w:leader="none" w:pos="1420" w:val="left"/>
        </w:tabs>
        <w:numPr>
          <w:ilvl w:val="1"/>
          <w:numId w:val="135"/>
        </w:numPr>
        <w:rPr>
          <w:rFonts w:ascii="Arial" w:cs="Arial" w:eastAsia="Arial" w:hAnsi="Arial"/>
          <w:sz w:val="17"/>
          <w:szCs w:val="17"/>
          <w:color w:val="auto"/>
        </w:rPr>
      </w:pPr>
      <w:r>
        <w:rPr>
          <w:rFonts w:ascii="Arial" w:cs="Arial" w:eastAsia="Arial" w:hAnsi="Arial"/>
          <w:sz w:val="17"/>
          <w:szCs w:val="17"/>
          <w:u w:val="single" w:color="auto"/>
          <w:color w:val="auto"/>
        </w:rPr>
        <w:t>Restrictions on Participation</w:t>
      </w:r>
      <w:r>
        <w:rPr>
          <w:rFonts w:ascii="Arial" w:cs="Arial" w:eastAsia="Arial" w:hAnsi="Arial"/>
          <w:sz w:val="17"/>
          <w:szCs w:val="17"/>
          <w:color w:val="auto"/>
        </w:rPr>
        <w:t>. Notwithstanding any provisions of the Plan to the contrary, no Employee shall be eligible to purchase Shares in an Offering to the extent that:</w:t>
      </w:r>
    </w:p>
    <w:p>
      <w:pPr>
        <w:spacing w:after="0" w:line="10" w:lineRule="exact"/>
        <w:rPr>
          <w:rFonts w:ascii="Arial" w:cs="Arial" w:eastAsia="Arial" w:hAnsi="Arial"/>
          <w:sz w:val="17"/>
          <w:szCs w:val="17"/>
          <w:color w:val="auto"/>
        </w:rPr>
      </w:pPr>
    </w:p>
    <w:p>
      <w:pPr>
        <w:ind w:left="1960" w:hanging="404"/>
        <w:spacing w:after="0"/>
        <w:tabs>
          <w:tab w:leader="none" w:pos="1960" w:val="left"/>
        </w:tabs>
        <w:numPr>
          <w:ilvl w:val="2"/>
          <w:numId w:val="135"/>
        </w:numPr>
        <w:rPr>
          <w:rFonts w:ascii="Arial" w:cs="Arial" w:eastAsia="Arial" w:hAnsi="Arial"/>
          <w:sz w:val="17"/>
          <w:szCs w:val="17"/>
          <w:color w:val="auto"/>
        </w:rPr>
      </w:pPr>
      <w:r>
        <w:rPr>
          <w:rFonts w:ascii="Arial" w:cs="Arial" w:eastAsia="Arial" w:hAnsi="Arial"/>
          <w:sz w:val="17"/>
          <w:szCs w:val="17"/>
          <w:color w:val="auto"/>
        </w:rPr>
        <w:t>immediately after the purchase of Shares, such Employee would be a Five Percent owner; or</w:t>
      </w:r>
    </w:p>
    <w:p>
      <w:pPr>
        <w:spacing w:after="0" w:line="61" w:lineRule="exact"/>
        <w:rPr>
          <w:rFonts w:ascii="Arial" w:cs="Arial" w:eastAsia="Arial" w:hAnsi="Arial"/>
          <w:sz w:val="17"/>
          <w:szCs w:val="17"/>
          <w:color w:val="auto"/>
        </w:rPr>
      </w:pPr>
    </w:p>
    <w:p>
      <w:pPr>
        <w:ind w:left="1960" w:right="200" w:hanging="404"/>
        <w:spacing w:after="0" w:line="244" w:lineRule="auto"/>
        <w:tabs>
          <w:tab w:leader="none" w:pos="1960" w:val="left"/>
        </w:tabs>
        <w:numPr>
          <w:ilvl w:val="2"/>
          <w:numId w:val="135"/>
        </w:numPr>
        <w:rPr>
          <w:rFonts w:ascii="Arial" w:cs="Arial" w:eastAsia="Arial" w:hAnsi="Arial"/>
          <w:sz w:val="17"/>
          <w:szCs w:val="17"/>
          <w:color w:val="auto"/>
        </w:rPr>
      </w:pPr>
      <w:r>
        <w:rPr>
          <w:rFonts w:ascii="Arial" w:cs="Arial" w:eastAsia="Arial" w:hAnsi="Arial"/>
          <w:sz w:val="17"/>
          <w:szCs w:val="17"/>
          <w:color w:val="auto"/>
        </w:rPr>
        <w:t>a purchase of Shares would permit such Employee’s rights to purchase stock under this Plan, after taking into account such Employee’s purchases under the Comcast Corporation 2002 Employee Stock Purchase Plan, if any, to accrue at a rate which exceeds $25,000 in fair market value (as determined on the same basis as if this Plan were subject to section 423(b)(8) of the Code) for each calendar year in which such right to purchase Shares is outstanding.</w:t>
      </w:r>
    </w:p>
    <w:p>
      <w:pPr>
        <w:spacing w:after="0" w:line="28" w:lineRule="exact"/>
        <w:rPr>
          <w:rFonts w:ascii="Arial" w:cs="Arial" w:eastAsia="Arial" w:hAnsi="Arial"/>
          <w:sz w:val="17"/>
          <w:szCs w:val="17"/>
          <w:color w:val="auto"/>
        </w:rPr>
      </w:pPr>
    </w:p>
    <w:p>
      <w:pPr>
        <w:ind w:left="1420" w:right="40" w:hanging="386"/>
        <w:spacing w:after="0" w:line="241" w:lineRule="auto"/>
        <w:tabs>
          <w:tab w:leader="none" w:pos="1420" w:val="left"/>
        </w:tabs>
        <w:numPr>
          <w:ilvl w:val="1"/>
          <w:numId w:val="135"/>
        </w:numPr>
        <w:rPr>
          <w:rFonts w:ascii="Arial" w:cs="Arial" w:eastAsia="Arial" w:hAnsi="Arial"/>
          <w:sz w:val="17"/>
          <w:szCs w:val="17"/>
          <w:color w:val="auto"/>
        </w:rPr>
      </w:pPr>
      <w:r>
        <w:rPr>
          <w:rFonts w:ascii="Arial" w:cs="Arial" w:eastAsia="Arial" w:hAnsi="Arial"/>
          <w:sz w:val="17"/>
          <w:szCs w:val="17"/>
          <w:u w:val="single" w:color="auto"/>
          <w:color w:val="auto"/>
        </w:rPr>
        <w:t>Commencement of Participation</w:t>
      </w:r>
      <w:r>
        <w:rPr>
          <w:rFonts w:ascii="Arial" w:cs="Arial" w:eastAsia="Arial" w:hAnsi="Arial"/>
          <w:sz w:val="17"/>
          <w:szCs w:val="17"/>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the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31" w:lineRule="exact"/>
        <w:rPr>
          <w:rFonts w:ascii="Arial" w:cs="Arial" w:eastAsia="Arial" w:hAnsi="Arial"/>
          <w:sz w:val="17"/>
          <w:szCs w:val="17"/>
          <w:color w:val="auto"/>
        </w:rPr>
      </w:pPr>
    </w:p>
    <w:p>
      <w:pPr>
        <w:ind w:left="760" w:hanging="374"/>
        <w:spacing w:after="0"/>
        <w:tabs>
          <w:tab w:leader="none" w:pos="760" w:val="left"/>
        </w:tabs>
        <w:numPr>
          <w:ilvl w:val="0"/>
          <w:numId w:val="135"/>
        </w:numPr>
        <w:rPr>
          <w:rFonts w:ascii="Arial" w:cs="Arial" w:eastAsia="Arial" w:hAnsi="Arial"/>
          <w:sz w:val="17"/>
          <w:szCs w:val="17"/>
          <w:color w:val="auto"/>
        </w:rPr>
      </w:pPr>
      <w:r>
        <w:rPr>
          <w:rFonts w:ascii="Arial" w:cs="Arial" w:eastAsia="Arial" w:hAnsi="Arial"/>
          <w:sz w:val="17"/>
          <w:szCs w:val="17"/>
          <w:b w:val="1"/>
          <w:bCs w:val="1"/>
          <w:u w:val="single" w:color="auto"/>
          <w:color w:val="auto"/>
        </w:rPr>
        <w:t>Shares Per Offering</w:t>
      </w:r>
      <w:r>
        <w:rPr>
          <w:rFonts w:ascii="Arial" w:cs="Arial" w:eastAsia="Arial" w:hAnsi="Arial"/>
          <w:sz w:val="17"/>
          <w:szCs w:val="17"/>
          <w:b w:val="1"/>
          <w:bCs w:val="1"/>
          <w:color w:val="auto"/>
        </w:rPr>
        <w:t>.</w:t>
      </w:r>
    </w:p>
    <w:p>
      <w:pPr>
        <w:spacing w:after="0" w:line="61" w:lineRule="exact"/>
        <w:rPr>
          <w:sz w:val="20"/>
          <w:szCs w:val="20"/>
          <w:color w:val="auto"/>
        </w:rPr>
      </w:pPr>
    </w:p>
    <w:p>
      <w:pPr>
        <w:ind w:right="20" w:firstLine="846"/>
        <w:spacing w:after="0" w:line="236" w:lineRule="auto"/>
        <w:rPr>
          <w:sz w:val="20"/>
          <w:szCs w:val="20"/>
          <w:color w:val="auto"/>
        </w:rPr>
      </w:pPr>
      <w:r>
        <w:rPr>
          <w:rFonts w:ascii="Arial" w:cs="Arial" w:eastAsia="Arial" w:hAnsi="Arial"/>
          <w:sz w:val="17"/>
          <w:szCs w:val="17"/>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9(a), for all of the Offerings, less the actual number of Shares purchased by Participants pursuant to prior Offerings, provided that the maximum number of Shares subject to purchase by any Participant for any Offering Period shall not exceed 1,500.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35" w:lineRule="exact"/>
        <w:rPr>
          <w:sz w:val="20"/>
          <w:szCs w:val="20"/>
          <w:color w:val="auto"/>
        </w:rPr>
      </w:pPr>
    </w:p>
    <w:p>
      <w:pPr>
        <w:ind w:left="760" w:hanging="374"/>
        <w:spacing w:after="0"/>
        <w:tabs>
          <w:tab w:leader="none" w:pos="760" w:val="left"/>
        </w:tabs>
        <w:numPr>
          <w:ilvl w:val="0"/>
          <w:numId w:val="136"/>
        </w:numPr>
        <w:rPr>
          <w:rFonts w:ascii="Arial" w:cs="Arial" w:eastAsia="Arial" w:hAnsi="Arial"/>
          <w:sz w:val="17"/>
          <w:szCs w:val="17"/>
          <w:color w:val="auto"/>
        </w:rPr>
      </w:pPr>
      <w:r>
        <w:rPr>
          <w:rFonts w:ascii="Arial" w:cs="Arial" w:eastAsia="Arial" w:hAnsi="Arial"/>
          <w:sz w:val="17"/>
          <w:szCs w:val="17"/>
          <w:b w:val="1"/>
          <w:bCs w:val="1"/>
          <w:u w:val="single" w:color="auto"/>
          <w:color w:val="auto"/>
        </w:rPr>
        <w:t>Payroll Deductions</w:t>
      </w:r>
      <w:r>
        <w:rPr>
          <w:rFonts w:ascii="Arial" w:cs="Arial" w:eastAsia="Arial" w:hAnsi="Arial"/>
          <w:sz w:val="17"/>
          <w:szCs w:val="17"/>
          <w:b w:val="1"/>
          <w:bCs w:val="1"/>
          <w:color w:val="auto"/>
        </w:rPr>
        <w:t>.</w:t>
      </w:r>
    </w:p>
    <w:p>
      <w:pPr>
        <w:spacing w:after="0" w:line="61" w:lineRule="exact"/>
        <w:rPr>
          <w:rFonts w:ascii="Arial" w:cs="Arial" w:eastAsia="Arial" w:hAnsi="Arial"/>
          <w:sz w:val="17"/>
          <w:szCs w:val="17"/>
          <w:color w:val="auto"/>
        </w:rPr>
      </w:pPr>
    </w:p>
    <w:p>
      <w:pPr>
        <w:ind w:left="1420" w:hanging="386"/>
        <w:spacing w:after="0" w:line="239" w:lineRule="auto"/>
        <w:tabs>
          <w:tab w:leader="none" w:pos="1420" w:val="left"/>
        </w:tabs>
        <w:numPr>
          <w:ilvl w:val="1"/>
          <w:numId w:val="136"/>
        </w:numPr>
        <w:rPr>
          <w:rFonts w:ascii="Arial" w:cs="Arial" w:eastAsia="Arial" w:hAnsi="Arial"/>
          <w:sz w:val="17"/>
          <w:szCs w:val="17"/>
          <w:color w:val="auto"/>
        </w:rPr>
      </w:pPr>
      <w:r>
        <w:rPr>
          <w:rFonts w:ascii="Arial" w:cs="Arial" w:eastAsia="Arial" w:hAnsi="Arial"/>
          <w:sz w:val="17"/>
          <w:szCs w:val="17"/>
          <w:u w:val="single" w:color="auto"/>
          <w:color w:val="auto"/>
        </w:rPr>
        <w:t>Amount of Payroll Deductions</w:t>
      </w:r>
      <w:r>
        <w:rPr>
          <w:rFonts w:ascii="Arial" w:cs="Arial" w:eastAsia="Arial" w:hAnsi="Arial"/>
          <w:sz w:val="17"/>
          <w:szCs w:val="17"/>
          <w:color w:val="auto"/>
        </w:rPr>
        <w:t>. On the Election Form, an Eligible Employee may elect to have Payroll Deductions of not more than 10 percent of Compensation earned for each payroll period ending within the Offering Period, subject to the limitation that the maximum amount of Payroll Deductions for any Eligible Employee for any calendar year (including, for this purpose, any payroll deductions for such calendar year pursuant to the Comcast Corporation 2002 Employee Stock Purchase Plan, if any) shall not exceed $21,250, or, with respect to Participants whose compensation is denominated in currency other than United States dollars, if any, the equivalent amount as denominated in such local currency, as determined by the Committee.</w:t>
      </w:r>
    </w:p>
    <w:p>
      <w:pPr>
        <w:spacing w:after="0" w:line="33" w:lineRule="exact"/>
        <w:rPr>
          <w:rFonts w:ascii="Arial" w:cs="Arial" w:eastAsia="Arial" w:hAnsi="Arial"/>
          <w:sz w:val="17"/>
          <w:szCs w:val="17"/>
          <w:color w:val="auto"/>
        </w:rPr>
      </w:pPr>
    </w:p>
    <w:p>
      <w:pPr>
        <w:ind w:left="1420" w:right="380" w:hanging="386"/>
        <w:spacing w:after="0" w:line="267" w:lineRule="auto"/>
        <w:tabs>
          <w:tab w:leader="none" w:pos="1420" w:val="left"/>
        </w:tabs>
        <w:numPr>
          <w:ilvl w:val="1"/>
          <w:numId w:val="136"/>
        </w:numPr>
        <w:rPr>
          <w:rFonts w:ascii="Arial" w:cs="Arial" w:eastAsia="Arial" w:hAnsi="Arial"/>
          <w:sz w:val="17"/>
          <w:szCs w:val="17"/>
          <w:color w:val="auto"/>
        </w:rPr>
      </w:pPr>
      <w:r>
        <w:rPr>
          <w:rFonts w:ascii="Arial" w:cs="Arial" w:eastAsia="Arial" w:hAnsi="Arial"/>
          <w:sz w:val="17"/>
          <w:szCs w:val="17"/>
          <w:u w:val="single" w:color="auto"/>
          <w:color w:val="auto"/>
        </w:rPr>
        <w:t>Participants’ Accounts</w:t>
      </w:r>
      <w:r>
        <w:rPr>
          <w:rFonts w:ascii="Arial" w:cs="Arial" w:eastAsia="Arial" w:hAnsi="Arial"/>
          <w:sz w:val="17"/>
          <w:szCs w:val="17"/>
          <w:color w:val="auto"/>
        </w:rPr>
        <w:t>. All Payroll Deductions with respect to a Participant pursuant to Paragraph 5(a) shall be credited to the Participant’s Account under the Plan.</w:t>
      </w:r>
    </w:p>
    <w:p>
      <w:pPr>
        <w:spacing w:after="0" w:line="10" w:lineRule="exact"/>
        <w:rPr>
          <w:rFonts w:ascii="Arial" w:cs="Arial" w:eastAsia="Arial" w:hAnsi="Arial"/>
          <w:sz w:val="17"/>
          <w:szCs w:val="17"/>
          <w:color w:val="auto"/>
        </w:rPr>
      </w:pPr>
    </w:p>
    <w:p>
      <w:pPr>
        <w:ind w:left="1420" w:right="120" w:hanging="386"/>
        <w:spacing w:after="0" w:line="239" w:lineRule="auto"/>
        <w:tabs>
          <w:tab w:leader="none" w:pos="1420" w:val="left"/>
        </w:tabs>
        <w:numPr>
          <w:ilvl w:val="1"/>
          <w:numId w:val="136"/>
        </w:numPr>
        <w:rPr>
          <w:rFonts w:ascii="Arial" w:cs="Arial" w:eastAsia="Arial" w:hAnsi="Arial"/>
          <w:sz w:val="17"/>
          <w:szCs w:val="17"/>
          <w:color w:val="auto"/>
        </w:rPr>
      </w:pPr>
      <w:r>
        <w:rPr>
          <w:rFonts w:ascii="Arial" w:cs="Arial" w:eastAsia="Arial" w:hAnsi="Arial"/>
          <w:sz w:val="17"/>
          <w:szCs w:val="17"/>
          <w:u w:val="single" w:color="auto"/>
          <w:color w:val="auto"/>
        </w:rPr>
        <w:t>Changes in Payroll Deductions</w:t>
      </w:r>
      <w:r>
        <w:rPr>
          <w:rFonts w:ascii="Arial" w:cs="Arial" w:eastAsia="Arial" w:hAnsi="Arial"/>
          <w:sz w:val="17"/>
          <w:szCs w:val="17"/>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186"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b w:val="1"/>
          <w:bCs w:val="1"/>
          <w:color w:val="auto"/>
        </w:rPr>
        <w:t>B-4</w:t>
      </w:r>
      <w:r>
        <w:rPr>
          <w:sz w:val="20"/>
          <w:szCs w:val="20"/>
          <w:color w:val="auto"/>
        </w:rPr>
        <w:tab/>
      </w:r>
      <w:r>
        <w:rPr>
          <w:rFonts w:ascii="Arial" w:cs="Arial" w:eastAsia="Arial" w:hAnsi="Arial"/>
          <w:sz w:val="12"/>
          <w:szCs w:val="12"/>
          <w:b w:val="1"/>
          <w:bCs w:val="1"/>
          <w:color w:val="auto"/>
        </w:rPr>
        <w:t xml:space="preserve">2025 </w:t>
      </w:r>
      <w:r>
        <w:rPr>
          <w:rFonts w:ascii="Arial" w:cs="Arial" w:eastAsia="Arial" w:hAnsi="Arial"/>
          <w:sz w:val="12"/>
          <w:szCs w:val="12"/>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11" w:lineRule="exact"/>
        <w:rPr>
          <w:sz w:val="20"/>
          <w:szCs w:val="20"/>
          <w:color w:val="auto"/>
        </w:rPr>
      </w:pPr>
    </w:p>
    <w:p>
      <w:pPr>
        <w:ind w:left="760" w:hanging="374"/>
        <w:spacing w:after="0"/>
        <w:tabs>
          <w:tab w:leader="none" w:pos="760" w:val="left"/>
        </w:tabs>
        <w:numPr>
          <w:ilvl w:val="0"/>
          <w:numId w:val="137"/>
        </w:numPr>
        <w:rPr>
          <w:rFonts w:ascii="Arial" w:cs="Arial" w:eastAsia="Arial" w:hAnsi="Arial"/>
          <w:sz w:val="17"/>
          <w:szCs w:val="17"/>
          <w:color w:val="auto"/>
        </w:rPr>
      </w:pPr>
      <w:r>
        <w:rPr>
          <w:rFonts w:ascii="Arial" w:cs="Arial" w:eastAsia="Arial" w:hAnsi="Arial"/>
          <w:sz w:val="17"/>
          <w:szCs w:val="17"/>
          <w:b w:val="1"/>
          <w:bCs w:val="1"/>
          <w:u w:val="single" w:color="auto"/>
          <w:color w:val="auto"/>
        </w:rPr>
        <w:t>Purchase of Shares</w:t>
      </w:r>
      <w:r>
        <w:rPr>
          <w:rFonts w:ascii="Arial" w:cs="Arial" w:eastAsia="Arial" w:hAnsi="Arial"/>
          <w:sz w:val="17"/>
          <w:szCs w:val="17"/>
          <w:b w:val="1"/>
          <w:bCs w:val="1"/>
          <w:color w:val="auto"/>
        </w:rPr>
        <w:t>.</w:t>
      </w:r>
    </w:p>
    <w:p>
      <w:pPr>
        <w:spacing w:after="0" w:line="61" w:lineRule="exact"/>
        <w:rPr>
          <w:rFonts w:ascii="Arial" w:cs="Arial" w:eastAsia="Arial" w:hAnsi="Arial"/>
          <w:sz w:val="17"/>
          <w:szCs w:val="17"/>
          <w:color w:val="auto"/>
        </w:rPr>
      </w:pPr>
    </w:p>
    <w:p>
      <w:pPr>
        <w:ind w:left="1420" w:right="20" w:hanging="386"/>
        <w:spacing w:after="0" w:line="244" w:lineRule="auto"/>
        <w:tabs>
          <w:tab w:leader="none" w:pos="1420"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On each Offering Termination Date, each Participant shall be deemed to have purchased a number of Shares equal to the quotient obtained by dividing the balance credited to the Participant’s Account as of the Offering Termination Date, by the Purchase Price. Shares deemed purchased by a Participant under the Plan (net of Shares withheld under Paragraph 11) shall be credited to the Participant’s Brokerage Account as soon as practicable following the Offering Termination Date.</w:t>
      </w:r>
    </w:p>
    <w:p>
      <w:pPr>
        <w:spacing w:after="0" w:line="28" w:lineRule="exact"/>
        <w:rPr>
          <w:rFonts w:ascii="Arial" w:cs="Arial" w:eastAsia="Arial" w:hAnsi="Arial"/>
          <w:sz w:val="17"/>
          <w:szCs w:val="17"/>
          <w:color w:val="auto"/>
        </w:rPr>
      </w:pPr>
    </w:p>
    <w:p>
      <w:pPr>
        <w:ind w:left="1420" w:right="20" w:hanging="386"/>
        <w:spacing w:after="0" w:line="244" w:lineRule="auto"/>
        <w:tabs>
          <w:tab w:leader="none" w:pos="1420"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Terminating Events</w:t>
      </w:r>
      <w:r>
        <w:rPr>
          <w:rFonts w:ascii="Arial" w:cs="Arial" w:eastAsia="Arial" w:hAnsi="Arial"/>
          <w:sz w:val="17"/>
          <w:szCs w:val="17"/>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28" w:lineRule="exact"/>
        <w:rPr>
          <w:rFonts w:ascii="Arial" w:cs="Arial" w:eastAsia="Arial" w:hAnsi="Arial"/>
          <w:sz w:val="17"/>
          <w:szCs w:val="17"/>
          <w:color w:val="auto"/>
        </w:rPr>
      </w:pPr>
    </w:p>
    <w:p>
      <w:pPr>
        <w:ind w:left="1420" w:right="60" w:hanging="386"/>
        <w:spacing w:after="0" w:line="249" w:lineRule="auto"/>
        <w:tabs>
          <w:tab w:leader="none" w:pos="1420"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Transferability of Rights to Purchase Shares</w:t>
      </w:r>
      <w:r>
        <w:rPr>
          <w:rFonts w:ascii="Arial" w:cs="Arial" w:eastAsia="Arial" w:hAnsi="Arial"/>
          <w:sz w:val="17"/>
          <w:szCs w:val="17"/>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26" w:lineRule="exact"/>
        <w:rPr>
          <w:rFonts w:ascii="Arial" w:cs="Arial" w:eastAsia="Arial" w:hAnsi="Arial"/>
          <w:sz w:val="17"/>
          <w:szCs w:val="17"/>
          <w:color w:val="auto"/>
        </w:rPr>
      </w:pPr>
    </w:p>
    <w:p>
      <w:pPr>
        <w:ind w:left="760" w:hanging="374"/>
        <w:spacing w:after="0"/>
        <w:tabs>
          <w:tab w:leader="none" w:pos="760" w:val="left"/>
        </w:tabs>
        <w:numPr>
          <w:ilvl w:val="0"/>
          <w:numId w:val="137"/>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Participation</w:t>
      </w:r>
      <w:r>
        <w:rPr>
          <w:rFonts w:ascii="Arial" w:cs="Arial" w:eastAsia="Arial" w:hAnsi="Arial"/>
          <w:sz w:val="17"/>
          <w:szCs w:val="17"/>
          <w:b w:val="1"/>
          <w:bCs w:val="1"/>
          <w:color w:val="auto"/>
        </w:rPr>
        <w:t>.</w:t>
      </w:r>
    </w:p>
    <w:p>
      <w:pPr>
        <w:spacing w:after="0" w:line="61" w:lineRule="exact"/>
        <w:rPr>
          <w:rFonts w:ascii="Arial" w:cs="Arial" w:eastAsia="Arial" w:hAnsi="Arial"/>
          <w:sz w:val="17"/>
          <w:szCs w:val="17"/>
          <w:color w:val="auto"/>
        </w:rPr>
      </w:pPr>
    </w:p>
    <w:p>
      <w:pPr>
        <w:ind w:left="1420" w:right="300" w:hanging="386"/>
        <w:spacing w:after="0" w:line="267" w:lineRule="auto"/>
        <w:tabs>
          <w:tab w:leader="none" w:pos="1420"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Account</w:t>
      </w:r>
      <w:r>
        <w:rPr>
          <w:rFonts w:ascii="Arial" w:cs="Arial" w:eastAsia="Arial" w:hAnsi="Arial"/>
          <w:sz w:val="17"/>
          <w:szCs w:val="17"/>
          <w:color w:val="auto"/>
        </w:rPr>
        <w:t>. Except as provided in Paragraph 7(c), no amounts shall be distributed from Participants’ Accounts during an Offering Period.</w:t>
      </w:r>
    </w:p>
    <w:p>
      <w:pPr>
        <w:spacing w:after="0" w:line="10" w:lineRule="exact"/>
        <w:rPr>
          <w:rFonts w:ascii="Arial" w:cs="Arial" w:eastAsia="Arial" w:hAnsi="Arial"/>
          <w:sz w:val="17"/>
          <w:szCs w:val="17"/>
          <w:color w:val="auto"/>
        </w:rPr>
      </w:pPr>
    </w:p>
    <w:p>
      <w:pPr>
        <w:ind w:left="1420" w:right="40" w:hanging="386"/>
        <w:spacing w:after="0" w:line="235" w:lineRule="auto"/>
        <w:tabs>
          <w:tab w:leader="none" w:pos="1420"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Suspension of Participation</w:t>
      </w:r>
      <w:r>
        <w:rPr>
          <w:rFonts w:ascii="Arial" w:cs="Arial" w:eastAsia="Arial" w:hAnsi="Arial"/>
          <w:sz w:val="17"/>
          <w:szCs w:val="17"/>
          <w:color w:val="auto"/>
        </w:rPr>
        <w:t>. A Participant may discontinue Payroll Deductions during an Offering Period by providing a Termination Form to the Committee at any time before the Offering Termination Date applicable to any Offering, provided that a Participant’s Payroll Deductions shall be discontinued to the extent required in connection with a Participant’s hardship withdrawal under the rules of the NBCUniversal Capital Accumulation Plan, the Comcast Corporation Retirement-Investment Plan or any other plan, program or arrangement pursuant to which discontinuance of contributions to the Plan may be required in connection with a Participant’s hardship withdrawal. All amounts credited to such Participant’s Account shall be applied to the purchase of Shares pursuant to Paragraph 6. A Participant who discontinues Payroll Deductions during an Offering Period by providing a Termination Form shall be eligible to participate in the Offering next following the date on which the Participant delivers the Termination Form to the Committee. A Participant (other than a Participant whose payroll is administered by Universal Orlando) whose Payroll Deductions are suspended during an Offering Period because of a hardship withdrawal under the rules of the NBCUniversal Capital Accumulation Plan, the Comcast Corporation Retirement-Investment Plan or any other plan, program or arrangement pursuant to which discontinuance of contributions to the Plan may be required in connection with a Participant’s hardship withdrawal shall automatically resume Payroll Deductions at the rate in effect immediately before the suspension for the next Offering Period that commences after the conclusion of the suspension, unless the Participant elects otherwise.</w:t>
      </w:r>
    </w:p>
    <w:p>
      <w:pPr>
        <w:spacing w:after="0" w:line="33" w:lineRule="exact"/>
        <w:rPr>
          <w:rFonts w:ascii="Arial" w:cs="Arial" w:eastAsia="Arial" w:hAnsi="Arial"/>
          <w:sz w:val="17"/>
          <w:szCs w:val="17"/>
          <w:color w:val="auto"/>
        </w:rPr>
      </w:pPr>
    </w:p>
    <w:p>
      <w:pPr>
        <w:ind w:left="1420" w:right="260" w:hanging="386"/>
        <w:spacing w:after="0" w:line="249" w:lineRule="auto"/>
        <w:tabs>
          <w:tab w:leader="none" w:pos="1420"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26" w:lineRule="exact"/>
        <w:rPr>
          <w:rFonts w:ascii="Arial" w:cs="Arial" w:eastAsia="Arial" w:hAnsi="Arial"/>
          <w:sz w:val="17"/>
          <w:szCs w:val="17"/>
          <w:color w:val="auto"/>
        </w:rPr>
      </w:pPr>
    </w:p>
    <w:p>
      <w:pPr>
        <w:ind w:left="760" w:hanging="374"/>
        <w:spacing w:after="0"/>
        <w:tabs>
          <w:tab w:leader="none" w:pos="760" w:val="left"/>
        </w:tabs>
        <w:numPr>
          <w:ilvl w:val="0"/>
          <w:numId w:val="137"/>
        </w:numPr>
        <w:rPr>
          <w:rFonts w:ascii="Arial" w:cs="Arial" w:eastAsia="Arial" w:hAnsi="Arial"/>
          <w:sz w:val="17"/>
          <w:szCs w:val="17"/>
          <w:color w:val="auto"/>
        </w:rPr>
      </w:pPr>
      <w:r>
        <w:rPr>
          <w:rFonts w:ascii="Arial" w:cs="Arial" w:eastAsia="Arial" w:hAnsi="Arial"/>
          <w:sz w:val="17"/>
          <w:szCs w:val="17"/>
          <w:b w:val="1"/>
          <w:bCs w:val="1"/>
          <w:u w:val="single" w:color="auto"/>
          <w:color w:val="auto"/>
        </w:rPr>
        <w:t>Interest</w:t>
      </w:r>
      <w:r>
        <w:rPr>
          <w:rFonts w:ascii="Arial" w:cs="Arial" w:eastAsia="Arial" w:hAnsi="Arial"/>
          <w:sz w:val="17"/>
          <w:szCs w:val="17"/>
          <w:b w:val="1"/>
          <w:bCs w:val="1"/>
          <w:color w:val="auto"/>
        </w:rPr>
        <w:t>.</w:t>
      </w:r>
    </w:p>
    <w:p>
      <w:pPr>
        <w:spacing w:after="0" w:line="6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 interest shall be paid or allowed with respect to Payroll Deductions paid into the Plan or credited to any Participant’s Account.</w:t>
      </w:r>
    </w:p>
    <w:p>
      <w:pPr>
        <w:spacing w:after="0" w:line="61" w:lineRule="exact"/>
        <w:rPr>
          <w:sz w:val="20"/>
          <w:szCs w:val="20"/>
          <w:color w:val="auto"/>
        </w:rPr>
      </w:pPr>
    </w:p>
    <w:p>
      <w:pPr>
        <w:ind w:left="760" w:hanging="374"/>
        <w:spacing w:after="0"/>
        <w:tabs>
          <w:tab w:leader="none" w:pos="760" w:val="left"/>
        </w:tabs>
        <w:numPr>
          <w:ilvl w:val="0"/>
          <w:numId w:val="138"/>
        </w:numPr>
        <w:rPr>
          <w:rFonts w:ascii="Arial" w:cs="Arial" w:eastAsia="Arial" w:hAnsi="Arial"/>
          <w:sz w:val="17"/>
          <w:szCs w:val="17"/>
          <w:color w:val="auto"/>
        </w:rPr>
      </w:pPr>
      <w:r>
        <w:rPr>
          <w:rFonts w:ascii="Arial" w:cs="Arial" w:eastAsia="Arial" w:hAnsi="Arial"/>
          <w:sz w:val="17"/>
          <w:szCs w:val="17"/>
          <w:b w:val="1"/>
          <w:bCs w:val="1"/>
          <w:u w:val="single" w:color="auto"/>
          <w:color w:val="auto"/>
        </w:rPr>
        <w:t>Shares</w:t>
      </w:r>
      <w:r>
        <w:rPr>
          <w:rFonts w:ascii="Arial" w:cs="Arial" w:eastAsia="Arial" w:hAnsi="Arial"/>
          <w:sz w:val="17"/>
          <w:szCs w:val="17"/>
          <w:b w:val="1"/>
          <w:bCs w:val="1"/>
          <w:color w:val="auto"/>
        </w:rPr>
        <w:t>.</w:t>
      </w:r>
    </w:p>
    <w:p>
      <w:pPr>
        <w:spacing w:after="0" w:line="61" w:lineRule="exact"/>
        <w:rPr>
          <w:rFonts w:ascii="Arial" w:cs="Arial" w:eastAsia="Arial" w:hAnsi="Arial"/>
          <w:sz w:val="17"/>
          <w:szCs w:val="17"/>
          <w:color w:val="auto"/>
        </w:rPr>
      </w:pPr>
    </w:p>
    <w:p>
      <w:pPr>
        <w:ind w:left="1420" w:right="20" w:hanging="386"/>
        <w:spacing w:after="0" w:line="237" w:lineRule="auto"/>
        <w:tabs>
          <w:tab w:leader="none" w:pos="1420" w:val="left"/>
        </w:tabs>
        <w:numPr>
          <w:ilvl w:val="1"/>
          <w:numId w:val="138"/>
        </w:numPr>
        <w:rPr>
          <w:rFonts w:ascii="Arial" w:cs="Arial" w:eastAsia="Arial" w:hAnsi="Arial"/>
          <w:sz w:val="17"/>
          <w:szCs w:val="17"/>
          <w:color w:val="auto"/>
        </w:rPr>
      </w:pPr>
      <w:r>
        <w:rPr>
          <w:rFonts w:ascii="Arial" w:cs="Arial" w:eastAsia="Arial" w:hAnsi="Arial"/>
          <w:sz w:val="17"/>
          <w:szCs w:val="17"/>
          <w:u w:val="single" w:color="auto"/>
          <w:color w:val="auto"/>
        </w:rPr>
        <w:t>Maximum Number of Shares; Adjustments</w:t>
      </w:r>
      <w:r>
        <w:rPr>
          <w:rFonts w:ascii="Arial" w:cs="Arial" w:eastAsia="Arial" w:hAnsi="Arial"/>
          <w:sz w:val="17"/>
          <w:szCs w:val="17"/>
          <w:color w:val="auto"/>
        </w:rPr>
        <w:t>. Subject to adjustment as provided in this Paragraph 9, not more than 24,200,000 Shares in the aggregate may be issued pursuant to the Plan pursuant to Offerings under the Plan; provided that, subject to the approval of the Company’s shareholders at the Company’s Annual Meeting of Shareholders to be held in 2025, the number of Shares in the aggregate that may be issued under the Plan pursuant to the grant of Awards shall be increased from 24,200,000 to 34,200,000, subject to adjustment in accordance with this Paragraph 9.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880" w:type="dxa"/>
            <w:vAlign w:val="bottom"/>
          </w:tcPr>
          <w:p>
            <w:pPr>
              <w:ind w:left="948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60" w:type="dxa"/>
            <w:vAlign w:val="bottom"/>
          </w:tcPr>
          <w:p>
            <w:pPr>
              <w:ind w:left="160"/>
              <w:spacing w:after="0"/>
              <w:rPr>
                <w:sz w:val="20"/>
                <w:szCs w:val="20"/>
                <w:color w:val="auto"/>
              </w:rPr>
            </w:pPr>
            <w:r>
              <w:rPr>
                <w:rFonts w:ascii="Arial" w:cs="Arial" w:eastAsia="Arial" w:hAnsi="Arial"/>
                <w:sz w:val="13"/>
                <w:szCs w:val="13"/>
                <w:b w:val="1"/>
                <w:bCs w:val="1"/>
                <w:color w:val="auto"/>
                <w:w w:val="85"/>
              </w:rPr>
              <w:t>B-5</w:t>
            </w:r>
          </w:p>
        </w:tc>
      </w:tr>
      <w:tr>
        <w:trPr>
          <w:trHeight w:val="231"/>
        </w:trPr>
        <w:tc>
          <w:tcPr>
            <w:tcW w:w="10880" w:type="dxa"/>
            <w:vAlign w:val="bottom"/>
            <w:tcBorders>
              <w:bottom w:val="single" w:sz="8" w:color="A1A1A1"/>
            </w:tcBorders>
          </w:tcPr>
          <w:p>
            <w:pPr>
              <w:spacing w:after="0"/>
              <w:rPr>
                <w:sz w:val="20"/>
                <w:szCs w:val="20"/>
                <w:color w:val="auto"/>
              </w:rPr>
            </w:pPr>
          </w:p>
        </w:tc>
        <w:tc>
          <w:tcPr>
            <w:tcW w:w="36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11" w:lineRule="exact"/>
        <w:rPr>
          <w:sz w:val="20"/>
          <w:szCs w:val="20"/>
          <w:color w:val="auto"/>
        </w:rPr>
      </w:pPr>
    </w:p>
    <w:p>
      <w:pPr>
        <w:ind w:left="1420" w:right="160"/>
        <w:spacing w:after="0" w:line="238" w:lineRule="auto"/>
        <w:rPr>
          <w:sz w:val="20"/>
          <w:szCs w:val="20"/>
          <w:color w:val="auto"/>
        </w:rPr>
      </w:pPr>
      <w:r>
        <w:rPr>
          <w:rFonts w:ascii="Arial" w:cs="Arial" w:eastAsia="Arial" w:hAnsi="Arial"/>
          <w:sz w:val="17"/>
          <w:szCs w:val="17"/>
          <w:color w:val="auto"/>
        </w:rPr>
        <w:t>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34" w:lineRule="exact"/>
        <w:rPr>
          <w:sz w:val="20"/>
          <w:szCs w:val="20"/>
          <w:color w:val="auto"/>
        </w:rPr>
      </w:pPr>
    </w:p>
    <w:p>
      <w:pPr>
        <w:ind w:left="1420" w:right="200" w:hanging="386"/>
        <w:spacing w:after="0" w:line="267" w:lineRule="auto"/>
        <w:tabs>
          <w:tab w:leader="none" w:pos="1420" w:val="left"/>
        </w:tabs>
        <w:numPr>
          <w:ilvl w:val="1"/>
          <w:numId w:val="139"/>
        </w:numPr>
        <w:rPr>
          <w:rFonts w:ascii="Arial" w:cs="Arial" w:eastAsia="Arial" w:hAnsi="Arial"/>
          <w:sz w:val="17"/>
          <w:szCs w:val="17"/>
          <w:color w:val="auto"/>
        </w:rPr>
      </w:pPr>
      <w:r>
        <w:rPr>
          <w:rFonts w:ascii="Arial" w:cs="Arial" w:eastAsia="Arial" w:hAnsi="Arial"/>
          <w:sz w:val="17"/>
          <w:szCs w:val="17"/>
          <w:u w:val="single" w:color="auto"/>
          <w:color w:val="auto"/>
        </w:rPr>
        <w:t>Participant’s Interest in Shares</w:t>
      </w:r>
      <w:r>
        <w:rPr>
          <w:rFonts w:ascii="Arial" w:cs="Arial" w:eastAsia="Arial" w:hAnsi="Arial"/>
          <w:sz w:val="17"/>
          <w:szCs w:val="17"/>
          <w:color w:val="auto"/>
        </w:rPr>
        <w:t>. A Participant shall have no interest in Shares offered under the Plan until Shares are credited to the Participant’s Brokerage Account.</w:t>
      </w:r>
    </w:p>
    <w:p>
      <w:pPr>
        <w:spacing w:after="0" w:line="10" w:lineRule="exact"/>
        <w:rPr>
          <w:rFonts w:ascii="Arial" w:cs="Arial" w:eastAsia="Arial" w:hAnsi="Arial"/>
          <w:sz w:val="17"/>
          <w:szCs w:val="17"/>
          <w:color w:val="auto"/>
        </w:rPr>
      </w:pPr>
    </w:p>
    <w:p>
      <w:pPr>
        <w:ind w:left="1420" w:right="460" w:hanging="386"/>
        <w:spacing w:after="0" w:line="267" w:lineRule="auto"/>
        <w:tabs>
          <w:tab w:leader="none" w:pos="1420" w:val="left"/>
        </w:tabs>
        <w:numPr>
          <w:ilvl w:val="1"/>
          <w:numId w:val="139"/>
        </w:numPr>
        <w:rPr>
          <w:rFonts w:ascii="Arial" w:cs="Arial" w:eastAsia="Arial" w:hAnsi="Arial"/>
          <w:sz w:val="17"/>
          <w:szCs w:val="17"/>
          <w:color w:val="auto"/>
        </w:rPr>
      </w:pPr>
      <w:r>
        <w:rPr>
          <w:rFonts w:ascii="Arial" w:cs="Arial" w:eastAsia="Arial" w:hAnsi="Arial"/>
          <w:sz w:val="17"/>
          <w:szCs w:val="17"/>
          <w:u w:val="single" w:color="auto"/>
          <w:color w:val="auto"/>
        </w:rPr>
        <w:t>Crediting of Shares to Brokerage Account</w:t>
      </w:r>
      <w:r>
        <w:rPr>
          <w:rFonts w:ascii="Arial" w:cs="Arial" w:eastAsia="Arial" w:hAnsi="Arial"/>
          <w:sz w:val="17"/>
          <w:szCs w:val="17"/>
          <w:color w:val="auto"/>
        </w:rPr>
        <w:t>. Shares purchased under the Plan shall be credited to the Participant’s Brokerage Account as soon as practicable following the Offering Termination Date.</w:t>
      </w:r>
    </w:p>
    <w:p>
      <w:pPr>
        <w:spacing w:after="0" w:line="10" w:lineRule="exact"/>
        <w:rPr>
          <w:rFonts w:ascii="Arial" w:cs="Arial" w:eastAsia="Arial" w:hAnsi="Arial"/>
          <w:sz w:val="17"/>
          <w:szCs w:val="17"/>
          <w:color w:val="auto"/>
        </w:rPr>
      </w:pPr>
    </w:p>
    <w:p>
      <w:pPr>
        <w:ind w:left="1420" w:hanging="386"/>
        <w:spacing w:after="0" w:line="249" w:lineRule="auto"/>
        <w:tabs>
          <w:tab w:leader="none" w:pos="1420" w:val="left"/>
        </w:tabs>
        <w:numPr>
          <w:ilvl w:val="1"/>
          <w:numId w:val="139"/>
        </w:numPr>
        <w:rPr>
          <w:rFonts w:ascii="Arial" w:cs="Arial" w:eastAsia="Arial" w:hAnsi="Arial"/>
          <w:sz w:val="17"/>
          <w:szCs w:val="17"/>
          <w:color w:val="auto"/>
        </w:rPr>
      </w:pPr>
      <w:r>
        <w:rPr>
          <w:rFonts w:ascii="Arial" w:cs="Arial" w:eastAsia="Arial" w:hAnsi="Arial"/>
          <w:sz w:val="17"/>
          <w:szCs w:val="17"/>
          <w:u w:val="single" w:color="auto"/>
          <w:color w:val="auto"/>
        </w:rPr>
        <w:t>Restrictions on Purchase</w:t>
      </w:r>
      <w:r>
        <w:rPr>
          <w:rFonts w:ascii="Arial" w:cs="Arial" w:eastAsia="Arial" w:hAnsi="Arial"/>
          <w:sz w:val="17"/>
          <w:szCs w:val="17"/>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26" w:lineRule="exact"/>
        <w:rPr>
          <w:rFonts w:ascii="Arial" w:cs="Arial" w:eastAsia="Arial" w:hAnsi="Arial"/>
          <w:sz w:val="17"/>
          <w:szCs w:val="17"/>
          <w:color w:val="auto"/>
        </w:rPr>
      </w:pPr>
    </w:p>
    <w:p>
      <w:pPr>
        <w:ind w:left="1420" w:right="80" w:hanging="386"/>
        <w:spacing w:after="0" w:line="238" w:lineRule="auto"/>
        <w:tabs>
          <w:tab w:leader="none" w:pos="1420" w:val="left"/>
        </w:tabs>
        <w:numPr>
          <w:ilvl w:val="1"/>
          <w:numId w:val="139"/>
        </w:numPr>
        <w:rPr>
          <w:rFonts w:ascii="Arial" w:cs="Arial" w:eastAsia="Arial" w:hAnsi="Arial"/>
          <w:sz w:val="17"/>
          <w:szCs w:val="17"/>
          <w:color w:val="auto"/>
        </w:rPr>
      </w:pPr>
      <w:r>
        <w:rPr>
          <w:rFonts w:ascii="Arial" w:cs="Arial" w:eastAsia="Arial" w:hAnsi="Arial"/>
          <w:sz w:val="17"/>
          <w:szCs w:val="17"/>
          <w:u w:val="single" w:color="auto"/>
          <w:color w:val="auto"/>
        </w:rPr>
        <w:t>Restrictions on Sale of Shares</w:t>
      </w:r>
      <w:r>
        <w:rPr>
          <w:rFonts w:ascii="Arial" w:cs="Arial" w:eastAsia="Arial" w:hAnsi="Arial"/>
          <w:sz w:val="17"/>
          <w:szCs w:val="17"/>
          <w:color w:val="auto"/>
        </w:rPr>
        <w:t>. The Board or the Committee may, in its discretion, require as conditions to the sale of any Shares credited to Participants’ Brokerage Accounts under the Plan (i) such conditions as it may deem necessary to assure that such sale of Shares is in compliance with applicable securities laws and (ii) a minimum holding period (not to exceed one year) following the purchase of Shares before Shares credited to Participants’ Brokerage Accounts may be sold or otherwise transferred, provided that such holding period, if any, shall not apply to Shares applied to pay withholding taxes pursuant to Paragraph 11 or to Shares credited to the Brokerage Account of a Participant who has terminated employment on account of death or disability.</w:t>
      </w:r>
    </w:p>
    <w:p>
      <w:pPr>
        <w:spacing w:after="0" w:line="33" w:lineRule="exact"/>
        <w:rPr>
          <w:rFonts w:ascii="Arial" w:cs="Arial" w:eastAsia="Arial" w:hAnsi="Arial"/>
          <w:sz w:val="17"/>
          <w:szCs w:val="17"/>
          <w:color w:val="auto"/>
        </w:rPr>
      </w:pPr>
    </w:p>
    <w:p>
      <w:pPr>
        <w:ind w:left="760" w:hanging="374"/>
        <w:spacing w:after="0"/>
        <w:tabs>
          <w:tab w:leader="none" w:pos="760" w:val="left"/>
        </w:tabs>
        <w:numPr>
          <w:ilvl w:val="0"/>
          <w:numId w:val="140"/>
        </w:numPr>
        <w:rPr>
          <w:rFonts w:ascii="Arial" w:cs="Arial" w:eastAsia="Arial" w:hAnsi="Arial"/>
          <w:sz w:val="17"/>
          <w:szCs w:val="17"/>
          <w:color w:val="auto"/>
        </w:rPr>
      </w:pPr>
      <w:r>
        <w:rPr>
          <w:rFonts w:ascii="Arial" w:cs="Arial" w:eastAsia="Arial" w:hAnsi="Arial"/>
          <w:sz w:val="17"/>
          <w:szCs w:val="17"/>
          <w:b w:val="1"/>
          <w:bCs w:val="1"/>
          <w:u w:val="single" w:color="auto"/>
          <w:color w:val="auto"/>
        </w:rPr>
        <w:t>Expenses</w:t>
      </w:r>
      <w:r>
        <w:rPr>
          <w:rFonts w:ascii="Arial" w:cs="Arial" w:eastAsia="Arial" w:hAnsi="Arial"/>
          <w:sz w:val="17"/>
          <w:szCs w:val="17"/>
          <w:b w:val="1"/>
          <w:bCs w:val="1"/>
          <w:color w:val="auto"/>
        </w:rPr>
        <w:t>.</w:t>
      </w:r>
    </w:p>
    <w:p>
      <w:pPr>
        <w:spacing w:after="0" w:line="61" w:lineRule="exact"/>
        <w:rPr>
          <w:sz w:val="20"/>
          <w:szCs w:val="20"/>
          <w:color w:val="auto"/>
        </w:rPr>
      </w:pPr>
    </w:p>
    <w:p>
      <w:pPr>
        <w:ind w:right="40" w:firstLine="846"/>
        <w:spacing w:after="0" w:line="249" w:lineRule="auto"/>
        <w:rPr>
          <w:sz w:val="20"/>
          <w:szCs w:val="20"/>
          <w:color w:val="auto"/>
        </w:rPr>
      </w:pPr>
      <w:r>
        <w:rPr>
          <w:rFonts w:ascii="Arial" w:cs="Arial" w:eastAsia="Arial" w:hAnsi="Arial"/>
          <w:sz w:val="17"/>
          <w:szCs w:val="17"/>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26" w:lineRule="exact"/>
        <w:rPr>
          <w:sz w:val="20"/>
          <w:szCs w:val="20"/>
          <w:color w:val="auto"/>
        </w:rPr>
      </w:pPr>
    </w:p>
    <w:p>
      <w:pPr>
        <w:ind w:left="760" w:hanging="374"/>
        <w:spacing w:after="0"/>
        <w:tabs>
          <w:tab w:leader="none" w:pos="760" w:val="left"/>
        </w:tabs>
        <w:numPr>
          <w:ilvl w:val="0"/>
          <w:numId w:val="141"/>
        </w:numPr>
        <w:rPr>
          <w:rFonts w:ascii="Arial" w:cs="Arial" w:eastAsia="Arial" w:hAnsi="Arial"/>
          <w:sz w:val="17"/>
          <w:szCs w:val="17"/>
          <w:color w:val="auto"/>
        </w:rPr>
      </w:pPr>
      <w:r>
        <w:rPr>
          <w:rFonts w:ascii="Arial" w:cs="Arial" w:eastAsia="Arial" w:hAnsi="Arial"/>
          <w:sz w:val="17"/>
          <w:szCs w:val="17"/>
          <w:b w:val="1"/>
          <w:bCs w:val="1"/>
          <w:u w:val="single" w:color="auto"/>
          <w:color w:val="auto"/>
        </w:rPr>
        <w:t>Taxes</w:t>
      </w:r>
      <w:r>
        <w:rPr>
          <w:rFonts w:ascii="Arial" w:cs="Arial" w:eastAsia="Arial" w:hAnsi="Arial"/>
          <w:sz w:val="17"/>
          <w:szCs w:val="17"/>
          <w:b w:val="1"/>
          <w:bCs w:val="1"/>
          <w:color w:val="auto"/>
        </w:rPr>
        <w:t>.</w:t>
      </w:r>
    </w:p>
    <w:p>
      <w:pPr>
        <w:spacing w:after="0" w:line="61" w:lineRule="exact"/>
        <w:rPr>
          <w:sz w:val="20"/>
          <w:szCs w:val="20"/>
          <w:color w:val="auto"/>
        </w:rPr>
      </w:pPr>
    </w:p>
    <w:p>
      <w:pPr>
        <w:ind w:right="100" w:firstLine="846"/>
        <w:spacing w:after="0" w:line="244" w:lineRule="auto"/>
        <w:rPr>
          <w:sz w:val="20"/>
          <w:szCs w:val="20"/>
          <w:color w:val="auto"/>
        </w:rPr>
      </w:pPr>
      <w:r>
        <w:rPr>
          <w:rFonts w:ascii="Arial" w:cs="Arial" w:eastAsia="Arial" w:hAnsi="Arial"/>
          <w:sz w:val="17"/>
          <w:szCs w:val="17"/>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The Company’s obligation to make any delivery or transfer of Shares shall be conditioned on the Participant’s compliance, to the Company’s satisfaction, with any withholding requirement.</w:t>
      </w:r>
    </w:p>
    <w:p>
      <w:pPr>
        <w:spacing w:after="0" w:line="69"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Any tax liabilities incurred in connection with a Participant’s participation in the Plan may, to the extent such liabilities cannot be satisfied in full by withholding cash payable in connection with a taxable event, be satisfied by withholding a portion of the Shares otherwise creditable under the Plan having a Fair Market Value approximately equal to the minimum amount of taxes required to be withheld under applicable law.</w:t>
      </w:r>
    </w:p>
    <w:p>
      <w:pPr>
        <w:spacing w:after="0" w:line="26" w:lineRule="exact"/>
        <w:rPr>
          <w:sz w:val="20"/>
          <w:szCs w:val="20"/>
          <w:color w:val="auto"/>
        </w:rPr>
      </w:pPr>
    </w:p>
    <w:p>
      <w:pPr>
        <w:ind w:left="760" w:hanging="374"/>
        <w:spacing w:after="0"/>
        <w:tabs>
          <w:tab w:leader="none" w:pos="760" w:val="left"/>
        </w:tabs>
        <w:numPr>
          <w:ilvl w:val="0"/>
          <w:numId w:val="142"/>
        </w:numPr>
        <w:rPr>
          <w:rFonts w:ascii="Arial" w:cs="Arial" w:eastAsia="Arial" w:hAnsi="Arial"/>
          <w:sz w:val="17"/>
          <w:szCs w:val="17"/>
          <w:color w:val="auto"/>
        </w:rPr>
      </w:pPr>
      <w:r>
        <w:rPr>
          <w:rFonts w:ascii="Arial" w:cs="Arial" w:eastAsia="Arial" w:hAnsi="Arial"/>
          <w:sz w:val="17"/>
          <w:szCs w:val="17"/>
          <w:b w:val="1"/>
          <w:bCs w:val="1"/>
          <w:u w:val="single" w:color="auto"/>
          <w:color w:val="auto"/>
        </w:rPr>
        <w:t>Plan and Contributions Not to Affect Employment</w:t>
      </w:r>
      <w:r>
        <w:rPr>
          <w:rFonts w:ascii="Arial" w:cs="Arial" w:eastAsia="Arial" w:hAnsi="Arial"/>
          <w:sz w:val="17"/>
          <w:szCs w:val="17"/>
          <w:b w:val="1"/>
          <w:bCs w:val="1"/>
          <w:color w:val="auto"/>
        </w:rPr>
        <w:t>.</w:t>
      </w:r>
    </w:p>
    <w:p>
      <w:pPr>
        <w:spacing w:after="0" w:line="6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Plan shall not confer upon any Eligible Employee any right to continue in the employ of the Participating Companies.</w:t>
      </w:r>
    </w:p>
    <w:p>
      <w:pPr>
        <w:spacing w:after="0" w:line="61" w:lineRule="exact"/>
        <w:rPr>
          <w:sz w:val="20"/>
          <w:szCs w:val="20"/>
          <w:color w:val="auto"/>
        </w:rPr>
      </w:pPr>
    </w:p>
    <w:p>
      <w:pPr>
        <w:ind w:left="760" w:hanging="374"/>
        <w:spacing w:after="0"/>
        <w:tabs>
          <w:tab w:leader="none" w:pos="760" w:val="left"/>
        </w:tabs>
        <w:numPr>
          <w:ilvl w:val="0"/>
          <w:numId w:val="143"/>
        </w:numPr>
        <w:rPr>
          <w:rFonts w:ascii="Arial" w:cs="Arial" w:eastAsia="Arial" w:hAnsi="Arial"/>
          <w:sz w:val="17"/>
          <w:szCs w:val="17"/>
          <w:color w:val="auto"/>
        </w:rPr>
      </w:pPr>
      <w:r>
        <w:rPr>
          <w:rFonts w:ascii="Arial" w:cs="Arial" w:eastAsia="Arial" w:hAnsi="Arial"/>
          <w:sz w:val="17"/>
          <w:szCs w:val="17"/>
          <w:b w:val="1"/>
          <w:bCs w:val="1"/>
          <w:u w:val="single" w:color="auto"/>
          <w:color w:val="auto"/>
        </w:rPr>
        <w:t>Administration</w:t>
      </w:r>
      <w:r>
        <w:rPr>
          <w:rFonts w:ascii="Arial" w:cs="Arial" w:eastAsia="Arial" w:hAnsi="Arial"/>
          <w:sz w:val="17"/>
          <w:szCs w:val="17"/>
          <w:b w:val="1"/>
          <w:bCs w:val="1"/>
          <w:color w:val="auto"/>
        </w:rPr>
        <w:t>.</w:t>
      </w:r>
    </w:p>
    <w:p>
      <w:pPr>
        <w:spacing w:after="0" w:line="61" w:lineRule="exact"/>
        <w:rPr>
          <w:sz w:val="20"/>
          <w:szCs w:val="20"/>
          <w:color w:val="auto"/>
        </w:rPr>
      </w:pPr>
    </w:p>
    <w:p>
      <w:pPr>
        <w:ind w:right="180" w:firstLine="846"/>
        <w:spacing w:after="0" w:line="241" w:lineRule="auto"/>
        <w:rPr>
          <w:sz w:val="20"/>
          <w:szCs w:val="20"/>
          <w:color w:val="auto"/>
        </w:rPr>
      </w:pPr>
      <w:r>
        <w:rPr>
          <w:rFonts w:ascii="Arial" w:cs="Arial" w:eastAsia="Arial" w:hAnsi="Arial"/>
          <w:sz w:val="17"/>
          <w:szCs w:val="17"/>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31" w:lineRule="exact"/>
        <w:rPr>
          <w:sz w:val="20"/>
          <w:szCs w:val="20"/>
          <w:color w:val="auto"/>
        </w:rPr>
      </w:pPr>
    </w:p>
    <w:p>
      <w:pPr>
        <w:ind w:left="760" w:hanging="374"/>
        <w:spacing w:after="0"/>
        <w:tabs>
          <w:tab w:leader="none" w:pos="760" w:val="left"/>
        </w:tabs>
        <w:numPr>
          <w:ilvl w:val="0"/>
          <w:numId w:val="144"/>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 and Termination</w:t>
      </w:r>
      <w:r>
        <w:rPr>
          <w:rFonts w:ascii="Arial" w:cs="Arial" w:eastAsia="Arial" w:hAnsi="Arial"/>
          <w:sz w:val="17"/>
          <w:szCs w:val="17"/>
          <w:b w:val="1"/>
          <w:bCs w:val="1"/>
          <w:color w:val="auto"/>
        </w:rPr>
        <w:t>.</w:t>
      </w:r>
    </w:p>
    <w:p>
      <w:pPr>
        <w:spacing w:after="0" w:line="61" w:lineRule="exact"/>
        <w:rPr>
          <w:sz w:val="20"/>
          <w:szCs w:val="20"/>
          <w:color w:val="auto"/>
        </w:rPr>
      </w:pPr>
    </w:p>
    <w:p>
      <w:pPr>
        <w:ind w:right="140" w:firstLine="846"/>
        <w:spacing w:after="0" w:line="249" w:lineRule="auto"/>
        <w:rPr>
          <w:sz w:val="20"/>
          <w:szCs w:val="20"/>
          <w:color w:val="auto"/>
        </w:rPr>
      </w:pPr>
      <w:r>
        <w:rPr>
          <w:rFonts w:ascii="Arial" w:cs="Arial" w:eastAsia="Arial" w:hAnsi="Arial"/>
          <w:sz w:val="17"/>
          <w:szCs w:val="17"/>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w:t>
      </w:r>
    </w:p>
    <w:p>
      <w:pPr>
        <w:spacing w:after="0" w:line="246"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b w:val="1"/>
          <w:bCs w:val="1"/>
          <w:color w:val="auto"/>
        </w:rPr>
        <w:t>B-6</w:t>
      </w:r>
      <w:r>
        <w:rPr>
          <w:sz w:val="20"/>
          <w:szCs w:val="20"/>
          <w:color w:val="auto"/>
        </w:rPr>
        <w:tab/>
      </w:r>
      <w:r>
        <w:rPr>
          <w:rFonts w:ascii="Arial" w:cs="Arial" w:eastAsia="Arial" w:hAnsi="Arial"/>
          <w:sz w:val="12"/>
          <w:szCs w:val="12"/>
          <w:b w:val="1"/>
          <w:bCs w:val="1"/>
          <w:color w:val="auto"/>
        </w:rPr>
        <w:t xml:space="preserve">2025 </w:t>
      </w:r>
      <w:r>
        <w:rPr>
          <w:rFonts w:ascii="Arial" w:cs="Arial" w:eastAsia="Arial" w:hAnsi="Arial"/>
          <w:sz w:val="12"/>
          <w:szCs w:val="12"/>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11"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no amendment to the Plan shall affect the right of any Participant to receive his or her proportionate interest in the Shares or his or her Payroll Deductions (to the extent not yet applied to the purchase of Shares) under the Plan, provided further that the Company may seek shareholder approval of the Plan or any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 and provided further that the Board or the Committee may condition the effectiveness of any Election Form on such shareholder approval.</w:t>
      </w:r>
    </w:p>
    <w:p>
      <w:pPr>
        <w:spacing w:after="0" w:line="34" w:lineRule="exact"/>
        <w:rPr>
          <w:sz w:val="20"/>
          <w:szCs w:val="20"/>
          <w:color w:val="auto"/>
        </w:rPr>
      </w:pPr>
    </w:p>
    <w:p>
      <w:pPr>
        <w:ind w:left="760" w:hanging="374"/>
        <w:spacing w:after="0"/>
        <w:tabs>
          <w:tab w:leader="none" w:pos="760" w:val="left"/>
        </w:tabs>
        <w:numPr>
          <w:ilvl w:val="0"/>
          <w:numId w:val="145"/>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 Date</w:t>
      </w:r>
      <w:r>
        <w:rPr>
          <w:rFonts w:ascii="Arial" w:cs="Arial" w:eastAsia="Arial" w:hAnsi="Arial"/>
          <w:sz w:val="17"/>
          <w:szCs w:val="17"/>
          <w:b w:val="1"/>
          <w:bCs w:val="1"/>
          <w:color w:val="auto"/>
        </w:rPr>
        <w:t>.</w:t>
      </w:r>
    </w:p>
    <w:p>
      <w:pPr>
        <w:spacing w:after="0" w:line="61" w:lineRule="exact"/>
        <w:rPr>
          <w:sz w:val="20"/>
          <w:szCs w:val="20"/>
          <w:color w:val="auto"/>
        </w:rPr>
      </w:pPr>
    </w:p>
    <w:p>
      <w:pPr>
        <w:ind w:right="40" w:firstLine="846"/>
        <w:spacing w:after="0" w:line="267" w:lineRule="auto"/>
        <w:rPr>
          <w:sz w:val="20"/>
          <w:szCs w:val="20"/>
          <w:color w:val="auto"/>
        </w:rPr>
      </w:pPr>
      <w:r>
        <w:rPr>
          <w:rFonts w:ascii="Arial" w:cs="Arial" w:eastAsia="Arial" w:hAnsi="Arial"/>
          <w:sz w:val="17"/>
          <w:szCs w:val="17"/>
          <w:color w:val="auto"/>
        </w:rPr>
        <w:t>The Plan was originally adopted on January 29, 2011. The first Offering Period under the Plan commenced on July 1, 2011. The Effective Date of this amendment and restatement of the Plan is June 18, 2025, subject to approval by the shareholders of the Company.</w:t>
      </w:r>
    </w:p>
    <w:p>
      <w:pPr>
        <w:spacing w:after="0" w:line="11" w:lineRule="exact"/>
        <w:rPr>
          <w:sz w:val="20"/>
          <w:szCs w:val="20"/>
          <w:color w:val="auto"/>
        </w:rPr>
      </w:pPr>
    </w:p>
    <w:p>
      <w:pPr>
        <w:ind w:left="760" w:hanging="374"/>
        <w:spacing w:after="0"/>
        <w:tabs>
          <w:tab w:leader="none" w:pos="760" w:val="left"/>
        </w:tabs>
        <w:numPr>
          <w:ilvl w:val="0"/>
          <w:numId w:val="146"/>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Government and Other Regulations</w:t>
      </w:r>
      <w:r>
        <w:rPr>
          <w:rFonts w:ascii="Arial" w:cs="Arial" w:eastAsia="Arial" w:hAnsi="Arial"/>
          <w:sz w:val="17"/>
          <w:szCs w:val="17"/>
          <w:b w:val="1"/>
          <w:bCs w:val="1"/>
          <w:color w:val="auto"/>
        </w:rPr>
        <w:t>.</w:t>
      </w:r>
    </w:p>
    <w:p>
      <w:pPr>
        <w:spacing w:after="0" w:line="61" w:lineRule="exact"/>
        <w:rPr>
          <w:rFonts w:ascii="Arial" w:cs="Arial" w:eastAsia="Arial" w:hAnsi="Arial"/>
          <w:sz w:val="17"/>
          <w:szCs w:val="17"/>
          <w:color w:val="auto"/>
        </w:rPr>
      </w:pPr>
    </w:p>
    <w:p>
      <w:pPr>
        <w:ind w:left="1420" w:right="460" w:hanging="386"/>
        <w:spacing w:after="0" w:line="267" w:lineRule="auto"/>
        <w:tabs>
          <w:tab w:leader="none" w:pos="1420" w:val="left"/>
        </w:tabs>
        <w:numPr>
          <w:ilvl w:val="1"/>
          <w:numId w:val="146"/>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The purchase of Shares under the Plan shall be subject to all applicable laws, rules and regulations, and to such approvals by any governmental agencies as may be required.</w:t>
      </w:r>
    </w:p>
    <w:p>
      <w:pPr>
        <w:spacing w:after="0" w:line="10" w:lineRule="exact"/>
        <w:rPr>
          <w:rFonts w:ascii="Arial" w:cs="Arial" w:eastAsia="Arial" w:hAnsi="Arial"/>
          <w:sz w:val="17"/>
          <w:szCs w:val="17"/>
          <w:color w:val="auto"/>
        </w:rPr>
      </w:pPr>
    </w:p>
    <w:p>
      <w:pPr>
        <w:ind w:left="1420" w:right="20" w:hanging="386"/>
        <w:spacing w:after="0" w:line="244" w:lineRule="auto"/>
        <w:tabs>
          <w:tab w:leader="none" w:pos="1420" w:val="left"/>
        </w:tabs>
        <w:numPr>
          <w:ilvl w:val="1"/>
          <w:numId w:val="146"/>
        </w:numPr>
        <w:rPr>
          <w:rFonts w:ascii="Arial" w:cs="Arial" w:eastAsia="Arial" w:hAnsi="Arial"/>
          <w:sz w:val="17"/>
          <w:szCs w:val="17"/>
          <w:color w:val="auto"/>
        </w:rPr>
      </w:pPr>
      <w:r>
        <w:rPr>
          <w:rFonts w:ascii="Arial" w:cs="Arial" w:eastAsia="Arial" w:hAnsi="Arial"/>
          <w:sz w:val="17"/>
          <w:szCs w:val="17"/>
          <w:u w:val="single" w:color="auto"/>
          <w:color w:val="auto"/>
        </w:rPr>
        <w:t>Securities Law</w:t>
      </w:r>
      <w:r>
        <w:rPr>
          <w:rFonts w:ascii="Arial" w:cs="Arial" w:eastAsia="Arial" w:hAnsi="Arial"/>
          <w:sz w:val="17"/>
          <w:szCs w:val="17"/>
          <w:color w:val="auto"/>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28" w:lineRule="exact"/>
        <w:rPr>
          <w:rFonts w:ascii="Arial" w:cs="Arial" w:eastAsia="Arial" w:hAnsi="Arial"/>
          <w:sz w:val="17"/>
          <w:szCs w:val="17"/>
          <w:color w:val="auto"/>
        </w:rPr>
      </w:pPr>
    </w:p>
    <w:p>
      <w:pPr>
        <w:ind w:left="760" w:hanging="374"/>
        <w:spacing w:after="0"/>
        <w:tabs>
          <w:tab w:leader="none" w:pos="760" w:val="left"/>
        </w:tabs>
        <w:numPr>
          <w:ilvl w:val="0"/>
          <w:numId w:val="146"/>
        </w:numPr>
        <w:rPr>
          <w:rFonts w:ascii="Arial" w:cs="Arial" w:eastAsia="Arial" w:hAnsi="Arial"/>
          <w:sz w:val="17"/>
          <w:szCs w:val="17"/>
          <w:color w:val="auto"/>
        </w:rPr>
      </w:pPr>
      <w:r>
        <w:rPr>
          <w:rFonts w:ascii="Arial" w:cs="Arial" w:eastAsia="Arial" w:hAnsi="Arial"/>
          <w:sz w:val="17"/>
          <w:szCs w:val="17"/>
          <w:b w:val="1"/>
          <w:bCs w:val="1"/>
          <w:u w:val="single" w:color="auto"/>
          <w:color w:val="auto"/>
        </w:rPr>
        <w:t>Non-Alienation</w:t>
      </w:r>
      <w:r>
        <w:rPr>
          <w:rFonts w:ascii="Arial" w:cs="Arial" w:eastAsia="Arial" w:hAnsi="Arial"/>
          <w:sz w:val="17"/>
          <w:szCs w:val="17"/>
          <w:b w:val="1"/>
          <w:bCs w:val="1"/>
          <w:color w:val="auto"/>
        </w:rPr>
        <w:t>.</w:t>
      </w:r>
    </w:p>
    <w:p>
      <w:pPr>
        <w:spacing w:after="0" w:line="61" w:lineRule="exact"/>
        <w:rPr>
          <w:sz w:val="20"/>
          <w:szCs w:val="20"/>
          <w:color w:val="auto"/>
        </w:rPr>
      </w:pPr>
    </w:p>
    <w:p>
      <w:pPr>
        <w:ind w:right="140" w:firstLine="846"/>
        <w:spacing w:after="0" w:line="249" w:lineRule="auto"/>
        <w:rPr>
          <w:sz w:val="20"/>
          <w:szCs w:val="20"/>
          <w:color w:val="auto"/>
        </w:rPr>
      </w:pPr>
      <w:r>
        <w:rPr>
          <w:rFonts w:ascii="Arial" w:cs="Arial" w:eastAsia="Arial" w:hAnsi="Arial"/>
          <w:sz w:val="17"/>
          <w:szCs w:val="17"/>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26" w:lineRule="exact"/>
        <w:rPr>
          <w:sz w:val="20"/>
          <w:szCs w:val="20"/>
          <w:color w:val="auto"/>
        </w:rPr>
      </w:pPr>
    </w:p>
    <w:p>
      <w:pPr>
        <w:ind w:left="760" w:hanging="374"/>
        <w:spacing w:after="0"/>
        <w:tabs>
          <w:tab w:leader="none" w:pos="760" w:val="left"/>
        </w:tabs>
        <w:numPr>
          <w:ilvl w:val="0"/>
          <w:numId w:val="147"/>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w:t>
      </w:r>
    </w:p>
    <w:p>
      <w:pPr>
        <w:spacing w:after="0" w:line="61" w:lineRule="exact"/>
        <w:rPr>
          <w:sz w:val="20"/>
          <w:szCs w:val="20"/>
          <w:color w:val="auto"/>
        </w:rPr>
      </w:pPr>
    </w:p>
    <w:p>
      <w:pPr>
        <w:ind w:right="260" w:firstLine="846"/>
        <w:spacing w:after="0" w:line="267" w:lineRule="auto"/>
        <w:rPr>
          <w:sz w:val="20"/>
          <w:szCs w:val="20"/>
          <w:color w:val="auto"/>
        </w:rPr>
      </w:pPr>
      <w:r>
        <w:rPr>
          <w:rFonts w:ascii="Arial" w:cs="Arial" w:eastAsia="Arial" w:hAnsi="Arial"/>
          <w:sz w:val="17"/>
          <w:szCs w:val="17"/>
          <w:color w:val="auto"/>
        </w:rPr>
        <w:t>Any notice required or permitted hereunder shall be sufficiently given only if delivered personally, telecopied, or sent by first class mail, postage prepaid, and addressed:</w:t>
      </w:r>
    </w:p>
    <w:p>
      <w:pPr>
        <w:spacing w:after="0" w:line="11" w:lineRule="exact"/>
        <w:rPr>
          <w:sz w:val="20"/>
          <w:szCs w:val="20"/>
          <w:color w:val="auto"/>
        </w:rPr>
      </w:pPr>
    </w:p>
    <w:p>
      <w:pPr>
        <w:ind w:left="1420"/>
        <w:spacing w:after="0"/>
        <w:rPr>
          <w:sz w:val="20"/>
          <w:szCs w:val="20"/>
          <w:color w:val="auto"/>
        </w:rPr>
      </w:pPr>
      <w:r>
        <w:rPr>
          <w:rFonts w:ascii="Arial" w:cs="Arial" w:eastAsia="Arial" w:hAnsi="Arial"/>
          <w:sz w:val="17"/>
          <w:szCs w:val="17"/>
          <w:u w:val="single" w:color="auto"/>
          <w:color w:val="auto"/>
        </w:rPr>
        <w:t>If to the Company</w:t>
      </w:r>
      <w:r>
        <w:rPr>
          <w:rFonts w:ascii="Arial" w:cs="Arial" w:eastAsia="Arial" w:hAnsi="Arial"/>
          <w:sz w:val="17"/>
          <w:szCs w:val="17"/>
          <w:color w:val="auto"/>
        </w:rPr>
        <w:t>:</w:t>
      </w:r>
    </w:p>
    <w:p>
      <w:pPr>
        <w:spacing w:after="0" w:line="61"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Comcast Corporation One Comcast Center</w:t>
      </w:r>
    </w:p>
    <w:p>
      <w:pPr>
        <w:spacing w:after="0" w:line="75"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1701 JFK Boulevard</w:t>
      </w:r>
    </w:p>
    <w:p>
      <w:pPr>
        <w:spacing w:after="0" w:line="61"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Philadelphia, PA 19103</w:t>
      </w:r>
    </w:p>
    <w:p>
      <w:pPr>
        <w:spacing w:after="0" w:line="61"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Fax: 215-286-7794 Attention: General Counsel</w:t>
      </w:r>
    </w:p>
    <w:p>
      <w:pPr>
        <w:spacing w:after="0" w:line="75"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Or any other address provided pursuant to notice provided by the Committee.</w:t>
      </w:r>
    </w:p>
    <w:p>
      <w:pPr>
        <w:spacing w:after="0" w:line="61" w:lineRule="exact"/>
        <w:rPr>
          <w:sz w:val="20"/>
          <w:szCs w:val="20"/>
          <w:color w:val="auto"/>
        </w:rPr>
      </w:pPr>
    </w:p>
    <w:p>
      <w:pPr>
        <w:ind w:left="1420"/>
        <w:spacing w:after="0"/>
        <w:rPr>
          <w:sz w:val="20"/>
          <w:szCs w:val="20"/>
          <w:color w:val="auto"/>
        </w:rPr>
      </w:pPr>
      <w:r>
        <w:rPr>
          <w:rFonts w:ascii="Arial" w:cs="Arial" w:eastAsia="Arial" w:hAnsi="Arial"/>
          <w:sz w:val="17"/>
          <w:szCs w:val="17"/>
          <w:u w:val="single" w:color="auto"/>
          <w:color w:val="auto"/>
        </w:rPr>
        <w:t>If to the Participant</w:t>
      </w:r>
      <w:r>
        <w:rPr>
          <w:rFonts w:ascii="Arial" w:cs="Arial" w:eastAsia="Arial" w:hAnsi="Arial"/>
          <w:sz w:val="17"/>
          <w:szCs w:val="17"/>
          <w:color w:val="auto"/>
        </w:rPr>
        <w:t>:</w:t>
      </w:r>
    </w:p>
    <w:p>
      <w:pPr>
        <w:spacing w:after="0" w:line="61" w:lineRule="exact"/>
        <w:rPr>
          <w:sz w:val="20"/>
          <w:szCs w:val="20"/>
          <w:color w:val="auto"/>
        </w:rPr>
      </w:pPr>
    </w:p>
    <w:p>
      <w:pPr>
        <w:ind w:left="1420"/>
        <w:spacing w:after="0" w:line="249" w:lineRule="auto"/>
        <w:rPr>
          <w:sz w:val="20"/>
          <w:szCs w:val="20"/>
          <w:color w:val="auto"/>
        </w:rPr>
      </w:pPr>
      <w:r>
        <w:rPr>
          <w:rFonts w:ascii="Arial" w:cs="Arial" w:eastAsia="Arial" w:hAnsi="Arial"/>
          <w:sz w:val="17"/>
          <w:szCs w:val="17"/>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26" w:lineRule="exact"/>
        <w:rPr>
          <w:sz w:val="20"/>
          <w:szCs w:val="20"/>
          <w:color w:val="auto"/>
        </w:rPr>
      </w:pPr>
    </w:p>
    <w:p>
      <w:pPr>
        <w:ind w:left="760" w:hanging="374"/>
        <w:spacing w:after="0"/>
        <w:tabs>
          <w:tab w:leader="none" w:pos="760" w:val="left"/>
        </w:tabs>
        <w:numPr>
          <w:ilvl w:val="0"/>
          <w:numId w:val="148"/>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Successors</w:t>
      </w:r>
      <w:r>
        <w:rPr>
          <w:rFonts w:ascii="Arial" w:cs="Arial" w:eastAsia="Arial" w:hAnsi="Arial"/>
          <w:sz w:val="17"/>
          <w:szCs w:val="17"/>
          <w:b w:val="1"/>
          <w:bCs w:val="1"/>
          <w:color w:val="auto"/>
        </w:rPr>
        <w:t>.</w:t>
      </w:r>
    </w:p>
    <w:p>
      <w:pPr>
        <w:spacing w:after="0" w:line="6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Plan shall be binding upon and inure to the benefit of any successors or assigns of the Company.</w:t>
      </w:r>
    </w:p>
    <w:p>
      <w:pPr>
        <w:spacing w:after="0" w:line="61" w:lineRule="exact"/>
        <w:rPr>
          <w:sz w:val="20"/>
          <w:szCs w:val="20"/>
          <w:color w:val="auto"/>
        </w:rPr>
      </w:pPr>
    </w:p>
    <w:p>
      <w:pPr>
        <w:ind w:left="760" w:hanging="374"/>
        <w:spacing w:after="0"/>
        <w:tabs>
          <w:tab w:leader="none" w:pos="760" w:val="left"/>
        </w:tabs>
        <w:numPr>
          <w:ilvl w:val="0"/>
          <w:numId w:val="149"/>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w:t>
      </w:r>
    </w:p>
    <w:p>
      <w:pPr>
        <w:spacing w:after="0" w:line="61" w:lineRule="exact"/>
        <w:rPr>
          <w:sz w:val="20"/>
          <w:szCs w:val="20"/>
          <w:color w:val="auto"/>
        </w:rPr>
      </w:pPr>
    </w:p>
    <w:p>
      <w:pPr>
        <w:ind w:right="320" w:firstLine="846"/>
        <w:spacing w:after="0" w:line="267" w:lineRule="auto"/>
        <w:rPr>
          <w:sz w:val="20"/>
          <w:szCs w:val="20"/>
          <w:color w:val="auto"/>
        </w:rPr>
      </w:pPr>
      <w:r>
        <w:rPr>
          <w:rFonts w:ascii="Arial" w:cs="Arial" w:eastAsia="Arial" w:hAnsi="Arial"/>
          <w:sz w:val="17"/>
          <w:szCs w:val="17"/>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1" w:lineRule="exact"/>
        <w:rPr>
          <w:sz w:val="20"/>
          <w:szCs w:val="20"/>
          <w:color w:val="auto"/>
        </w:rPr>
      </w:pPr>
    </w:p>
    <w:p>
      <w:pPr>
        <w:ind w:left="760" w:hanging="374"/>
        <w:spacing w:after="0"/>
        <w:tabs>
          <w:tab w:leader="none" w:pos="760" w:val="left"/>
        </w:tabs>
        <w:numPr>
          <w:ilvl w:val="0"/>
          <w:numId w:val="150"/>
        </w:numPr>
        <w:rPr>
          <w:rFonts w:ascii="Arial" w:cs="Arial" w:eastAsia="Arial" w:hAnsi="Arial"/>
          <w:sz w:val="17"/>
          <w:szCs w:val="17"/>
          <w:color w:val="auto"/>
        </w:rPr>
      </w:pPr>
      <w:r>
        <w:rPr>
          <w:rFonts w:ascii="Arial" w:cs="Arial" w:eastAsia="Arial" w:hAnsi="Arial"/>
          <w:sz w:val="17"/>
          <w:szCs w:val="17"/>
          <w:b w:val="1"/>
          <w:bCs w:val="1"/>
          <w:u w:val="single" w:color="auto"/>
          <w:color w:val="auto"/>
        </w:rPr>
        <w:t>Acceptance</w:t>
      </w:r>
      <w:r>
        <w:rPr>
          <w:rFonts w:ascii="Arial" w:cs="Arial" w:eastAsia="Arial" w:hAnsi="Arial"/>
          <w:sz w:val="17"/>
          <w:szCs w:val="17"/>
          <w:b w:val="1"/>
          <w:bCs w:val="1"/>
          <w:color w:val="auto"/>
        </w:rPr>
        <w:t>.</w:t>
      </w:r>
    </w:p>
    <w:p>
      <w:pPr>
        <w:spacing w:after="0" w:line="61" w:lineRule="exact"/>
        <w:rPr>
          <w:sz w:val="20"/>
          <w:szCs w:val="20"/>
          <w:color w:val="auto"/>
        </w:rPr>
      </w:pPr>
    </w:p>
    <w:p>
      <w:pPr>
        <w:ind w:right="140" w:firstLine="846"/>
        <w:spacing w:after="0" w:line="267" w:lineRule="auto"/>
        <w:rPr>
          <w:sz w:val="20"/>
          <w:szCs w:val="20"/>
          <w:color w:val="auto"/>
        </w:rPr>
      </w:pPr>
      <w:r>
        <w:rPr>
          <w:rFonts w:ascii="Arial" w:cs="Arial" w:eastAsia="Arial" w:hAnsi="Arial"/>
          <w:sz w:val="17"/>
          <w:szCs w:val="17"/>
          <w:color w:val="auto"/>
        </w:rPr>
        <w:t>The election by any Eligible Employee to participate in this Plan constitutes his or her acceptance of the terms of the Plan and his or her agreement to be bound hereby.</w:t>
      </w:r>
    </w:p>
    <w:p>
      <w:pPr>
        <w:spacing w:after="0" w:line="11" w:lineRule="exact"/>
        <w:rPr>
          <w:sz w:val="20"/>
          <w:szCs w:val="20"/>
          <w:color w:val="auto"/>
        </w:rPr>
      </w:pPr>
    </w:p>
    <w:p>
      <w:pPr>
        <w:ind w:left="760" w:hanging="374"/>
        <w:spacing w:after="0"/>
        <w:tabs>
          <w:tab w:leader="none" w:pos="760" w:val="left"/>
        </w:tabs>
        <w:numPr>
          <w:ilvl w:val="0"/>
          <w:numId w:val="151"/>
        </w:numPr>
        <w:rPr>
          <w:rFonts w:ascii="Arial" w:cs="Arial" w:eastAsia="Arial" w:hAnsi="Arial"/>
          <w:sz w:val="17"/>
          <w:szCs w:val="17"/>
          <w:color w:val="auto"/>
        </w:rPr>
      </w:pPr>
      <w:r>
        <w:rPr>
          <w:rFonts w:ascii="Arial" w:cs="Arial" w:eastAsia="Arial" w:hAnsi="Arial"/>
          <w:sz w:val="17"/>
          <w:szCs w:val="17"/>
          <w:b w:val="1"/>
          <w:bCs w:val="1"/>
          <w:u w:val="single" w:color="auto"/>
          <w:color w:val="auto"/>
        </w:rPr>
        <w:t>Applicable Law</w:t>
      </w:r>
      <w:r>
        <w:rPr>
          <w:rFonts w:ascii="Arial" w:cs="Arial" w:eastAsia="Arial" w:hAnsi="Arial"/>
          <w:sz w:val="17"/>
          <w:szCs w:val="17"/>
          <w:b w:val="1"/>
          <w:bCs w:val="1"/>
          <w:color w:val="auto"/>
        </w:rPr>
        <w:t>.</w:t>
      </w:r>
    </w:p>
    <w:p>
      <w:pPr>
        <w:spacing w:after="0" w:line="61" w:lineRule="exact"/>
        <w:rPr>
          <w:sz w:val="20"/>
          <w:szCs w:val="20"/>
          <w:color w:val="auto"/>
        </w:rPr>
      </w:pPr>
    </w:p>
    <w:p>
      <w:pPr>
        <w:ind w:right="720" w:firstLine="846"/>
        <w:spacing w:after="0" w:line="267" w:lineRule="auto"/>
        <w:rPr>
          <w:sz w:val="20"/>
          <w:szCs w:val="20"/>
          <w:color w:val="auto"/>
        </w:rPr>
      </w:pPr>
      <w:r>
        <w:rPr>
          <w:rFonts w:ascii="Arial" w:cs="Arial" w:eastAsia="Arial" w:hAnsi="Arial"/>
          <w:sz w:val="17"/>
          <w:szCs w:val="17"/>
          <w:color w:val="auto"/>
        </w:rPr>
        <w:t>This Plan shall be construed in accordance with the laws of the Commonwealth of Pennsylvania, to the extent not preempted by applicable Federal law.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880" w:type="dxa"/>
            <w:vAlign w:val="bottom"/>
          </w:tcPr>
          <w:p>
            <w:pPr>
              <w:ind w:left="9480"/>
              <w:spacing w:after="0"/>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3"/>
                <w:szCs w:val="13"/>
                <w:color w:val="auto"/>
              </w:rPr>
              <w:t>Proxy Statement</w:t>
            </w:r>
          </w:p>
        </w:tc>
        <w:tc>
          <w:tcPr>
            <w:tcW w:w="360" w:type="dxa"/>
            <w:vAlign w:val="bottom"/>
          </w:tcPr>
          <w:p>
            <w:pPr>
              <w:ind w:left="160"/>
              <w:spacing w:after="0"/>
              <w:rPr>
                <w:sz w:val="20"/>
                <w:szCs w:val="20"/>
                <w:color w:val="auto"/>
              </w:rPr>
            </w:pPr>
            <w:r>
              <w:rPr>
                <w:rFonts w:ascii="Arial" w:cs="Arial" w:eastAsia="Arial" w:hAnsi="Arial"/>
                <w:sz w:val="13"/>
                <w:szCs w:val="13"/>
                <w:b w:val="1"/>
                <w:bCs w:val="1"/>
                <w:color w:val="auto"/>
                <w:w w:val="85"/>
              </w:rPr>
              <w:t>B-7</w:t>
            </w:r>
          </w:p>
        </w:tc>
      </w:tr>
      <w:tr>
        <w:trPr>
          <w:trHeight w:val="231"/>
        </w:trPr>
        <w:tc>
          <w:tcPr>
            <w:tcW w:w="10880" w:type="dxa"/>
            <w:vAlign w:val="bottom"/>
            <w:tcBorders>
              <w:bottom w:val="single" w:sz="8" w:color="A1A1A1"/>
            </w:tcBorders>
          </w:tcPr>
          <w:p>
            <w:pPr>
              <w:spacing w:after="0"/>
              <w:rPr>
                <w:sz w:val="20"/>
                <w:szCs w:val="20"/>
                <w:color w:val="auto"/>
              </w:rPr>
            </w:pPr>
          </w:p>
        </w:tc>
        <w:tc>
          <w:tcPr>
            <w:tcW w:w="360" w:type="dxa"/>
            <w:vAlign w:val="bottom"/>
            <w:tcBorders>
              <w:bottom w:val="single" w:sz="8" w:color="A1A1A1"/>
            </w:tcBorders>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1013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10133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73" w:name="page74"/>
    <w:bookmarkEnd w:id="7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1499870" cy="5575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9987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ONE COMCAST CENTER</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PHILADELPHIA, PA 19103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jc w:val="center"/>
        <w:ind w:right="3200"/>
        <w:spacing w:after="0"/>
        <w:rPr>
          <w:sz w:val="20"/>
          <w:szCs w:val="20"/>
          <w:color w:val="auto"/>
        </w:rPr>
      </w:pPr>
      <w:r>
        <w:rPr>
          <w:rFonts w:ascii="Arial" w:cs="Arial" w:eastAsia="Arial" w:hAnsi="Arial"/>
          <w:sz w:val="27"/>
          <w:szCs w:val="27"/>
          <w:b w:val="1"/>
          <w:bCs w:val="1"/>
          <w:color w:val="auto"/>
        </w:rPr>
        <w:t>SCAN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-272415</wp:posOffset>
            </wp:positionV>
            <wp:extent cx="325755" cy="4889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5755" cy="488950"/>
                    </a:xfrm>
                    <a:prstGeom prst="rect">
                      <a:avLst/>
                    </a:prstGeom>
                    <a:noFill/>
                  </pic:spPr>
                </pic:pic>
              </a:graphicData>
            </a:graphic>
          </wp:anchor>
        </w:drawing>
        <w:drawing>
          <wp:anchor simplePos="0" relativeHeight="251657728" behindDoc="1" locked="0" layoutInCell="0" allowOverlap="1">
            <wp:simplePos x="0" y="0"/>
            <wp:positionH relativeFrom="column">
              <wp:posOffset>1688465</wp:posOffset>
            </wp:positionH>
            <wp:positionV relativeFrom="paragraph">
              <wp:posOffset>-194945</wp:posOffset>
            </wp:positionV>
            <wp:extent cx="266065" cy="3257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6065" cy="325755"/>
                    </a:xfrm>
                    <a:prstGeom prst="rect">
                      <a:avLst/>
                    </a:prstGeom>
                    <a:noFill/>
                  </pic:spPr>
                </pic:pic>
              </a:graphicData>
            </a:graphic>
          </wp:anchor>
        </w:drawing>
      </w:r>
    </w:p>
    <w:p>
      <w:pPr>
        <w:spacing w:after="0" w:line="9" w:lineRule="exact"/>
        <w:rPr>
          <w:sz w:val="20"/>
          <w:szCs w:val="20"/>
          <w:color w:val="auto"/>
        </w:rPr>
      </w:pPr>
    </w:p>
    <w:p>
      <w:pPr>
        <w:jc w:val="center"/>
        <w:ind w:right="3200"/>
        <w:spacing w:after="0"/>
        <w:rPr>
          <w:sz w:val="20"/>
          <w:szCs w:val="20"/>
          <w:color w:val="auto"/>
        </w:rPr>
      </w:pPr>
      <w:r>
        <w:rPr>
          <w:rFonts w:ascii="Arial" w:cs="Arial" w:eastAsia="Arial" w:hAnsi="Arial"/>
          <w:sz w:val="13"/>
          <w:szCs w:val="13"/>
          <w:b w:val="1"/>
          <w:bCs w:val="1"/>
          <w:color w:val="auto"/>
        </w:rPr>
        <w:t>VIEW MATERIALS &amp; VOTE</w:t>
      </w: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INTERNET</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Before The Meeting </w:t>
      </w:r>
      <w:r>
        <w:rPr>
          <w:rFonts w:ascii="Arial" w:cs="Arial" w:eastAsia="Arial" w:hAnsi="Arial"/>
          <w:sz w:val="13"/>
          <w:szCs w:val="13"/>
          <w:color w:val="auto"/>
        </w:rPr>
        <w:t>- Go to www.proxyvote.com or scan the QR Barcode above</w:t>
      </w:r>
    </w:p>
    <w:p>
      <w:pPr>
        <w:spacing w:after="0" w:line="134" w:lineRule="exact"/>
        <w:rPr>
          <w:sz w:val="20"/>
          <w:szCs w:val="20"/>
          <w:color w:val="auto"/>
        </w:rPr>
      </w:pPr>
    </w:p>
    <w:p>
      <w:pPr>
        <w:jc w:val="both"/>
        <w:spacing w:after="0" w:line="368" w:lineRule="auto"/>
        <w:rPr>
          <w:sz w:val="20"/>
          <w:szCs w:val="20"/>
          <w:color w:val="auto"/>
        </w:rPr>
      </w:pPr>
      <w:r>
        <w:rPr>
          <w:rFonts w:ascii="Arial" w:cs="Arial" w:eastAsia="Arial" w:hAnsi="Arial"/>
          <w:sz w:val="13"/>
          <w:szCs w:val="13"/>
          <w:color w:val="auto"/>
        </w:rPr>
        <w:t>Use the Internet to transmit your voting instructions up until 11:59 P.M. Eastern Time on June 17, 2025. Please have your proxy card in hand when you access the website and follow the instructions to obtain your records and create an electronic voting instruction form.</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During The Meeting </w:t>
      </w:r>
      <w:r>
        <w:rPr>
          <w:rFonts w:ascii="Arial" w:cs="Arial" w:eastAsia="Arial" w:hAnsi="Arial"/>
          <w:sz w:val="13"/>
          <w:szCs w:val="13"/>
          <w:color w:val="auto"/>
        </w:rPr>
        <w:t>- Go to comcast.onlineshareholdermeeting.com</w:t>
      </w:r>
    </w:p>
    <w:p>
      <w:pPr>
        <w:spacing w:after="0" w:line="134" w:lineRule="exact"/>
        <w:rPr>
          <w:sz w:val="20"/>
          <w:szCs w:val="20"/>
          <w:color w:val="auto"/>
        </w:rPr>
      </w:pPr>
    </w:p>
    <w:p>
      <w:pPr>
        <w:jc w:val="both"/>
        <w:spacing w:after="0" w:line="346" w:lineRule="auto"/>
        <w:rPr>
          <w:sz w:val="20"/>
          <w:szCs w:val="20"/>
          <w:color w:val="auto"/>
        </w:rPr>
      </w:pPr>
      <w:r>
        <w:rPr>
          <w:rFonts w:ascii="Arial" w:cs="Arial" w:eastAsia="Arial" w:hAnsi="Arial"/>
          <w:sz w:val="13"/>
          <w:szCs w:val="13"/>
          <w:color w:val="auto"/>
        </w:rPr>
        <w:t>You may attend the Meeting and vote during the Meeting when the polls are open via the Internet. We recommend, however, that you vote before the Meeting even if you plan to participate in the Meeting, since you can change your vote during the Meeting by voting when the polls are open. Have the information that is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printed in the box marked by the arrow </w:t>
      </w:r>
      <w:r>
        <w:rPr>
          <w:sz w:val="1"/>
          <w:szCs w:val="1"/>
          <w:color w:val="auto"/>
        </w:rPr>
        <w:drawing>
          <wp:inline distT="0" distB="0" distL="0" distR="0">
            <wp:extent cx="977265" cy="7747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77265" cy="77470"/>
                    </a:xfrm>
                    <a:prstGeom prst="rect">
                      <a:avLst/>
                    </a:prstGeom>
                    <a:noFill/>
                    <a:ln>
                      <a:noFill/>
                    </a:ln>
                  </pic:spPr>
                </pic:pic>
              </a:graphicData>
            </a:graphic>
          </wp:inline>
        </w:drawing>
      </w:r>
      <w:r>
        <w:rPr>
          <w:rFonts w:ascii="Arial" w:cs="Arial" w:eastAsia="Arial" w:hAnsi="Arial"/>
          <w:sz w:val="13"/>
          <w:szCs w:val="13"/>
          <w:color w:val="auto"/>
        </w:rPr>
        <w:t xml:space="preserve"> available and follow the instructions.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136" w:lineRule="exact"/>
        <w:rPr>
          <w:sz w:val="20"/>
          <w:szCs w:val="20"/>
          <w:color w:val="auto"/>
        </w:rPr>
      </w:pPr>
    </w:p>
    <w:p>
      <w:pPr>
        <w:jc w:val="both"/>
        <w:spacing w:after="0" w:line="389" w:lineRule="auto"/>
        <w:rPr>
          <w:sz w:val="20"/>
          <w:szCs w:val="20"/>
          <w:color w:val="auto"/>
        </w:rPr>
      </w:pPr>
      <w:r>
        <w:rPr>
          <w:rFonts w:ascii="Arial" w:cs="Arial" w:eastAsia="Arial" w:hAnsi="Arial"/>
          <w:sz w:val="13"/>
          <w:szCs w:val="13"/>
          <w:color w:val="auto"/>
        </w:rPr>
        <w:t>Use any touch-tone telephone to transmit your voting instructions up until 11:59 P.M. Eastern Time on June 17, 2025. Please have your proxy card in hand when you call and then follow the instructions.</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136" w:lineRule="exact"/>
        <w:rPr>
          <w:sz w:val="20"/>
          <w:szCs w:val="20"/>
          <w:color w:val="auto"/>
        </w:rPr>
      </w:pPr>
    </w:p>
    <w:p>
      <w:pPr>
        <w:jc w:val="both"/>
        <w:spacing w:after="0" w:line="368"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Comcast Corporation, c/o Broadridge Financial Solutions, 51 Mercedes Way, Edgewood, NY 11717.</w:t>
      </w:r>
    </w:p>
    <w:p>
      <w:pPr>
        <w:spacing w:after="0" w:line="176" w:lineRule="exact"/>
        <w:rPr>
          <w:sz w:val="20"/>
          <w:szCs w:val="20"/>
          <w:color w:val="auto"/>
        </w:rPr>
      </w:pPr>
    </w:p>
    <w:p>
      <w:pPr>
        <w:sectPr>
          <w:pgSz w:w="11900" w:h="16838" w:orient="portrait"/>
          <w:cols w:equalWidth="0" w:num="2">
            <w:col w:w="4000" w:space="720"/>
            <w:col w:w="6520"/>
          </w:cols>
          <w:pgMar w:left="320" w:top="122" w:right="339" w:bottom="1440" w:gutter="0" w:footer="0" w:header="0"/>
        </w:sectPr>
      </w:pPr>
    </w:p>
    <w:tbl>
      <w:tblPr>
        <w:tblLayout w:type="fixed"/>
        <w:tblInd w:w="0" w:type="dxa"/>
        <w:tblCellMar>
          <w:top w:w="0" w:type="dxa"/>
          <w:left w:w="0" w:type="dxa"/>
          <w:bottom w:w="0" w:type="dxa"/>
          <w:right w:w="0" w:type="dxa"/>
        </w:tblCellMar>
      </w:tblPr>
      <w:tr>
        <w:trPr>
          <w:trHeight w:val="176"/>
        </w:trPr>
        <w:tc>
          <w:tcPr>
            <w:tcW w:w="4700" w:type="dxa"/>
            <w:vAlign w:val="bottom"/>
            <w:gridSpan w:val="11"/>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gridSpan w:val="3"/>
          </w:tcPr>
          <w:p>
            <w:pPr>
              <w:ind w:left="160"/>
              <w:spacing w:after="0"/>
              <w:rPr>
                <w:sz w:val="20"/>
                <w:szCs w:val="20"/>
                <w:color w:val="auto"/>
              </w:rPr>
            </w:pPr>
            <w:r>
              <w:rPr>
                <w:rFonts w:ascii="Arial" w:cs="Arial" w:eastAsia="Arial" w:hAnsi="Arial"/>
                <w:sz w:val="13"/>
                <w:szCs w:val="13"/>
                <w:color w:val="auto"/>
              </w:rPr>
              <w:t>V63628-P27453</w:t>
            </w:r>
          </w:p>
        </w:tc>
        <w:tc>
          <w:tcPr>
            <w:tcW w:w="440" w:type="dxa"/>
            <w:vAlign w:val="bottom"/>
          </w:tcPr>
          <w:p>
            <w:pPr>
              <w:spacing w:after="0"/>
              <w:rPr>
                <w:sz w:val="17"/>
                <w:szCs w:val="17"/>
                <w:color w:val="auto"/>
              </w:rPr>
            </w:pPr>
          </w:p>
        </w:tc>
        <w:tc>
          <w:tcPr>
            <w:tcW w:w="2840" w:type="dxa"/>
            <w:vAlign w:val="bottom"/>
            <w:gridSpan w:val="8"/>
          </w:tcPr>
          <w:p>
            <w:pPr>
              <w:jc w:val="center"/>
              <w:spacing w:after="0"/>
              <w:rPr>
                <w:sz w:val="20"/>
                <w:szCs w:val="20"/>
                <w:color w:val="auto"/>
              </w:rPr>
            </w:pPr>
            <w:r>
              <w:rPr>
                <w:rFonts w:ascii="Arial" w:cs="Arial" w:eastAsia="Arial" w:hAnsi="Arial"/>
                <w:sz w:val="13"/>
                <w:szCs w:val="13"/>
                <w:color w:val="auto"/>
              </w:rPr>
              <w:t>KEEP THIS PORTION FOR YOUR RECORDS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gridSpan w:val="8"/>
          </w:tcPr>
          <w:p>
            <w:pPr>
              <w:jc w:val="center"/>
              <w:spacing w:after="0"/>
              <w:rPr>
                <w:sz w:val="20"/>
                <w:szCs w:val="20"/>
                <w:color w:val="auto"/>
              </w:rPr>
            </w:pPr>
            <w:r>
              <w:rPr>
                <w:rFonts w:ascii="Arial" w:cs="Arial" w:eastAsia="Arial" w:hAnsi="Arial"/>
                <w:sz w:val="13"/>
                <w:szCs w:val="13"/>
                <w:color w:val="auto"/>
              </w:rPr>
              <w:t>DETACH AND RETURN THIS PORTION ONLY</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420" w:type="dxa"/>
            <w:vAlign w:val="bottom"/>
            <w:tcBorders>
              <w:bottom w:val="single" w:sz="8" w:color="auto"/>
            </w:tcBorders>
            <w:gridSpan w:val="9"/>
          </w:tcPr>
          <w:p>
            <w:pPr>
              <w:ind w:left="40"/>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tcPr>
          <w:p>
            <w:pPr>
              <w:spacing w:after="0"/>
              <w:rPr>
                <w:sz w:val="18"/>
                <w:szCs w:val="18"/>
                <w:color w:val="auto"/>
              </w:rPr>
            </w:pPr>
          </w:p>
        </w:tc>
        <w:tc>
          <w:tcPr>
            <w:tcW w:w="2040" w:type="dxa"/>
            <w:vAlign w:val="bottom"/>
            <w:gridSpan w:val="4"/>
          </w:tcPr>
          <w:p>
            <w:pPr>
              <w:ind w:left="80"/>
              <w:spacing w:after="0"/>
              <w:rPr>
                <w:sz w:val="20"/>
                <w:szCs w:val="20"/>
                <w:color w:val="auto"/>
              </w:rPr>
            </w:pPr>
            <w:r>
              <w:rPr>
                <w:rFonts w:ascii="Arial" w:cs="Arial" w:eastAsia="Arial" w:hAnsi="Arial"/>
                <w:sz w:val="13"/>
                <w:szCs w:val="13"/>
                <w:b w:val="1"/>
                <w:bCs w:val="1"/>
                <w:color w:val="auto"/>
              </w:rPr>
              <w:t>COMCAST CORPORATION</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3"/>
                <w:szCs w:val="13"/>
                <w:b w:val="1"/>
                <w:bCs w:val="1"/>
                <w:color w:val="auto"/>
              </w:rPr>
              <w:t>For</w:t>
            </w:r>
          </w:p>
        </w:tc>
        <w:tc>
          <w:tcPr>
            <w:tcW w:w="1580" w:type="dxa"/>
            <w:vAlign w:val="bottom"/>
            <w:gridSpan w:val="3"/>
          </w:tcPr>
          <w:p>
            <w:pPr>
              <w:ind w:left="20"/>
              <w:spacing w:after="0"/>
              <w:rPr>
                <w:sz w:val="20"/>
                <w:szCs w:val="20"/>
                <w:color w:val="auto"/>
              </w:rPr>
            </w:pPr>
            <w:r>
              <w:rPr>
                <w:rFonts w:ascii="Arial" w:cs="Arial" w:eastAsia="Arial" w:hAnsi="Arial"/>
                <w:sz w:val="13"/>
                <w:szCs w:val="13"/>
                <w:b w:val="1"/>
                <w:bCs w:val="1"/>
                <w:color w:val="auto"/>
              </w:rPr>
              <w:t>Withhold For All</w:t>
            </w:r>
          </w:p>
        </w:tc>
        <w:tc>
          <w:tcPr>
            <w:tcW w:w="1360" w:type="dxa"/>
            <w:vAlign w:val="bottom"/>
            <w:gridSpan w:val="3"/>
          </w:tcPr>
          <w:p>
            <w:pPr>
              <w:ind w:left="20"/>
              <w:spacing w:after="0"/>
              <w:rPr>
                <w:sz w:val="20"/>
                <w:szCs w:val="20"/>
                <w:color w:val="auto"/>
              </w:rPr>
            </w:pPr>
            <w:r>
              <w:rPr>
                <w:rFonts w:ascii="Arial" w:cs="Arial" w:eastAsia="Arial" w:hAnsi="Arial"/>
                <w:sz w:val="13"/>
                <w:szCs w:val="13"/>
                <w:color w:val="auto"/>
              </w:rPr>
              <w:t>To withhold authority</w:t>
            </w:r>
          </w:p>
        </w:tc>
        <w:tc>
          <w:tcPr>
            <w:tcW w:w="1720" w:type="dxa"/>
            <w:vAlign w:val="bottom"/>
            <w:gridSpan w:val="4"/>
          </w:tcPr>
          <w:p>
            <w:pPr>
              <w:ind w:left="40"/>
              <w:spacing w:after="0"/>
              <w:rPr>
                <w:sz w:val="20"/>
                <w:szCs w:val="20"/>
                <w:color w:val="auto"/>
              </w:rPr>
            </w:pPr>
            <w:r>
              <w:rPr>
                <w:rFonts w:ascii="Arial" w:cs="Arial" w:eastAsia="Arial" w:hAnsi="Arial"/>
                <w:sz w:val="13"/>
                <w:szCs w:val="13"/>
                <w:color w:val="auto"/>
              </w:rPr>
              <w:t>to vote for any individual</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Company  Proposals</w:t>
            </w:r>
          </w:p>
        </w:tc>
        <w:tc>
          <w:tcPr>
            <w:tcW w:w="4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w:t>
            </w:r>
          </w:p>
        </w:tc>
        <w:tc>
          <w:tcPr>
            <w:tcW w:w="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The</w:t>
            </w:r>
          </w:p>
        </w:tc>
        <w:tc>
          <w:tcPr>
            <w:tcW w:w="9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Board  of</w:t>
            </w:r>
          </w:p>
        </w:tc>
        <w:tc>
          <w:tcPr>
            <w:tcW w:w="900" w:type="dxa"/>
            <w:vAlign w:val="bottom"/>
            <w:vMerge w:val="restart"/>
          </w:tcPr>
          <w:p>
            <w:pPr>
              <w:jc w:val="center"/>
              <w:ind w:right="193"/>
              <w:spacing w:after="0"/>
              <w:rPr>
                <w:sz w:val="20"/>
                <w:szCs w:val="20"/>
                <w:color w:val="auto"/>
              </w:rPr>
            </w:pPr>
            <w:r>
              <w:rPr>
                <w:rFonts w:ascii="Arial" w:cs="Arial" w:eastAsia="Arial" w:hAnsi="Arial"/>
                <w:sz w:val="13"/>
                <w:szCs w:val="13"/>
                <w:b w:val="1"/>
                <w:bCs w:val="1"/>
                <w:color w:val="auto"/>
              </w:rPr>
              <w:t>Directors</w:t>
            </w:r>
          </w:p>
        </w:tc>
        <w:tc>
          <w:tcPr>
            <w:tcW w:w="32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6"/>
              </w:rPr>
              <w:t>All</w:t>
            </w:r>
          </w:p>
        </w:tc>
        <w:tc>
          <w:tcPr>
            <w:tcW w:w="500" w:type="dxa"/>
            <w:vAlign w:val="bottom"/>
          </w:tcPr>
          <w:p>
            <w:pPr>
              <w:ind w:left="220"/>
              <w:spacing w:after="0" w:line="116" w:lineRule="exact"/>
              <w:rPr>
                <w:sz w:val="20"/>
                <w:szCs w:val="20"/>
                <w:color w:val="auto"/>
              </w:rPr>
            </w:pPr>
            <w:r>
              <w:rPr>
                <w:rFonts w:ascii="Arial" w:cs="Arial" w:eastAsia="Arial" w:hAnsi="Arial"/>
                <w:sz w:val="13"/>
                <w:szCs w:val="13"/>
                <w:b w:val="1"/>
                <w:bCs w:val="1"/>
                <w:color w:val="auto"/>
              </w:rPr>
              <w:t>All</w:t>
            </w:r>
          </w:p>
        </w:tc>
        <w:tc>
          <w:tcPr>
            <w:tcW w:w="120" w:type="dxa"/>
            <w:vAlign w:val="bottom"/>
          </w:tcPr>
          <w:p>
            <w:pPr>
              <w:spacing w:after="0"/>
              <w:rPr>
                <w:sz w:val="12"/>
                <w:szCs w:val="12"/>
                <w:color w:val="auto"/>
              </w:rPr>
            </w:pPr>
          </w:p>
        </w:tc>
        <w:tc>
          <w:tcPr>
            <w:tcW w:w="960" w:type="dxa"/>
            <w:vAlign w:val="bottom"/>
          </w:tcPr>
          <w:p>
            <w:pPr>
              <w:jc w:val="center"/>
              <w:ind w:right="318"/>
              <w:spacing w:after="0" w:line="116" w:lineRule="exact"/>
              <w:rPr>
                <w:sz w:val="20"/>
                <w:szCs w:val="20"/>
                <w:color w:val="auto"/>
              </w:rPr>
            </w:pPr>
            <w:r>
              <w:rPr>
                <w:rFonts w:ascii="Arial" w:cs="Arial" w:eastAsia="Arial" w:hAnsi="Arial"/>
                <w:sz w:val="13"/>
                <w:szCs w:val="13"/>
                <w:b w:val="1"/>
                <w:bCs w:val="1"/>
                <w:color w:val="auto"/>
              </w:rPr>
              <w:t>Except</w:t>
            </w:r>
          </w:p>
        </w:tc>
        <w:tc>
          <w:tcPr>
            <w:tcW w:w="3080" w:type="dxa"/>
            <w:vAlign w:val="bottom"/>
            <w:gridSpan w:val="7"/>
          </w:tcPr>
          <w:p>
            <w:pPr>
              <w:ind w:left="20"/>
              <w:spacing w:after="0" w:line="116" w:lineRule="exact"/>
              <w:rPr>
                <w:sz w:val="20"/>
                <w:szCs w:val="20"/>
                <w:color w:val="auto"/>
              </w:rPr>
            </w:pPr>
            <w:r>
              <w:rPr>
                <w:rFonts w:ascii="Arial" w:cs="Arial" w:eastAsia="Arial" w:hAnsi="Arial"/>
                <w:sz w:val="13"/>
                <w:szCs w:val="13"/>
                <w:color w:val="auto"/>
              </w:rPr>
              <w:t>nominee(s), mark "For All Except" and write the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 w:type="dxa"/>
            <w:vAlign w:val="bottom"/>
            <w:tcBorders>
              <w:right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60" w:type="dxa"/>
            <w:vAlign w:val="bottom"/>
            <w:vMerge w:val="restart"/>
            <w:shd w:val="clear" w:color="auto" w:fill="000000"/>
          </w:tcPr>
          <w:p>
            <w:pPr>
              <w:ind w:left="60"/>
              <w:spacing w:after="0"/>
              <w:rPr>
                <w:sz w:val="20"/>
                <w:szCs w:val="20"/>
                <w:color w:val="auto"/>
              </w:rPr>
            </w:pPr>
            <w:r>
              <w:rPr>
                <w:rFonts w:ascii="Arial" w:cs="Arial" w:eastAsia="Arial" w:hAnsi="Arial"/>
                <w:sz w:val="22"/>
                <w:szCs w:val="22"/>
                <w:b w:val="1"/>
                <w:bCs w:val="1"/>
                <w:color w:val="FFFFFF"/>
              </w:rPr>
              <w:t>A</w:t>
            </w:r>
          </w:p>
        </w:tc>
        <w:tc>
          <w:tcPr>
            <w:tcW w:w="20" w:type="dxa"/>
            <w:vAlign w:val="bottom"/>
            <w:shd w:val="clear" w:color="auto" w:fill="000000"/>
          </w:tcPr>
          <w:p>
            <w:pPr>
              <w:spacing w:after="0"/>
              <w:rPr>
                <w:sz w:val="11"/>
                <w:szCs w:val="11"/>
                <w:color w:val="auto"/>
              </w:rPr>
            </w:pPr>
          </w:p>
        </w:tc>
        <w:tc>
          <w:tcPr>
            <w:tcW w:w="152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3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Pr>
          <w:p>
            <w:pPr>
              <w:spacing w:after="0"/>
              <w:rPr>
                <w:sz w:val="11"/>
                <w:szCs w:val="11"/>
                <w:color w:val="auto"/>
              </w:rPr>
            </w:pPr>
          </w:p>
        </w:tc>
        <w:tc>
          <w:tcPr>
            <w:tcW w:w="960" w:type="dxa"/>
            <w:vAlign w:val="bottom"/>
            <w:vMerge w:val="restart"/>
          </w:tcPr>
          <w:p>
            <w:pPr>
              <w:jc w:val="center"/>
              <w:ind w:right="318"/>
              <w:spacing w:after="0" w:line="181" w:lineRule="exact"/>
              <w:rPr>
                <w:sz w:val="20"/>
                <w:szCs w:val="20"/>
                <w:color w:val="auto"/>
              </w:rPr>
            </w:pPr>
            <w:r>
              <w:rPr>
                <w:rFonts w:ascii="MS PGothic" w:cs="MS PGothic" w:eastAsia="MS PGothic" w:hAnsi="MS PGothic"/>
                <w:sz w:val="18"/>
                <w:szCs w:val="18"/>
                <w:color w:val="auto"/>
                <w:w w:val="88"/>
              </w:rPr>
              <w:t>☐</w:t>
            </w:r>
          </w:p>
        </w:tc>
        <w:tc>
          <w:tcPr>
            <w:tcW w:w="3080" w:type="dxa"/>
            <w:vAlign w:val="bottom"/>
            <w:gridSpan w:val="7"/>
          </w:tcPr>
          <w:p>
            <w:pPr>
              <w:ind w:left="20"/>
              <w:spacing w:after="0" w:line="134" w:lineRule="exact"/>
              <w:rPr>
                <w:sz w:val="20"/>
                <w:szCs w:val="20"/>
                <w:color w:val="auto"/>
              </w:rPr>
            </w:pPr>
            <w:r>
              <w:rPr>
                <w:rFonts w:ascii="Arial" w:cs="Arial" w:eastAsia="Arial" w:hAnsi="Arial"/>
                <w:sz w:val="13"/>
                <w:szCs w:val="13"/>
                <w:color w:val="auto"/>
              </w:rPr>
              <w:t>number(s) of the nominee(s) on the line below.</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60" w:type="dxa"/>
            <w:vAlign w:val="bottom"/>
            <w:vMerge w:val="continue"/>
            <w:shd w:val="clear" w:color="auto" w:fill="000000"/>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520" w:type="dxa"/>
            <w:vAlign w:val="bottom"/>
          </w:tcPr>
          <w:p>
            <w:pPr>
              <w:ind w:left="80"/>
              <w:spacing w:after="0"/>
              <w:rPr>
                <w:sz w:val="20"/>
                <w:szCs w:val="20"/>
                <w:color w:val="auto"/>
              </w:rPr>
            </w:pPr>
            <w:r>
              <w:rPr>
                <w:rFonts w:ascii="Arial" w:cs="Arial" w:eastAsia="Arial" w:hAnsi="Arial"/>
                <w:sz w:val="13"/>
                <w:szCs w:val="13"/>
                <w:b w:val="1"/>
                <w:bCs w:val="1"/>
                <w:color w:val="auto"/>
              </w:rPr>
              <w:t>recommends a vote</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rPr>
              <w:t>"FOR"</w:t>
            </w:r>
          </w:p>
        </w:tc>
        <w:tc>
          <w:tcPr>
            <w:tcW w:w="280" w:type="dxa"/>
            <w:vAlign w:val="bottom"/>
          </w:tcPr>
          <w:p>
            <w:pPr>
              <w:ind w:left="60"/>
              <w:spacing w:after="0"/>
              <w:rPr>
                <w:sz w:val="20"/>
                <w:szCs w:val="20"/>
                <w:color w:val="auto"/>
              </w:rPr>
            </w:pPr>
            <w:r>
              <w:rPr>
                <w:rFonts w:ascii="Arial" w:cs="Arial" w:eastAsia="Arial" w:hAnsi="Arial"/>
                <w:sz w:val="13"/>
                <w:szCs w:val="13"/>
                <w:b w:val="1"/>
                <w:bCs w:val="1"/>
                <w:color w:val="auto"/>
              </w:rPr>
              <w:t>all</w:t>
            </w:r>
          </w:p>
        </w:tc>
        <w:tc>
          <w:tcPr>
            <w:tcW w:w="980" w:type="dxa"/>
            <w:vAlign w:val="bottom"/>
            <w:gridSpan w:val="3"/>
          </w:tcPr>
          <w:p>
            <w:pPr>
              <w:jc w:val="center"/>
              <w:spacing w:after="0"/>
              <w:rPr>
                <w:sz w:val="20"/>
                <w:szCs w:val="20"/>
                <w:color w:val="auto"/>
              </w:rPr>
            </w:pPr>
            <w:r>
              <w:rPr>
                <w:rFonts w:ascii="Arial" w:cs="Arial" w:eastAsia="Arial" w:hAnsi="Arial"/>
                <w:sz w:val="13"/>
                <w:szCs w:val="13"/>
                <w:b w:val="1"/>
                <w:bCs w:val="1"/>
                <w:color w:val="auto"/>
              </w:rPr>
              <w:t>the nominees</w:t>
            </w:r>
          </w:p>
        </w:tc>
        <w:tc>
          <w:tcPr>
            <w:tcW w:w="900" w:type="dxa"/>
            <w:vAlign w:val="bottom"/>
          </w:tcPr>
          <w:p>
            <w:pPr>
              <w:jc w:val="center"/>
              <w:ind w:right="153"/>
              <w:spacing w:after="0"/>
              <w:rPr>
                <w:sz w:val="20"/>
                <w:szCs w:val="20"/>
                <w:color w:val="auto"/>
              </w:rPr>
            </w:pPr>
            <w:r>
              <w:rPr>
                <w:rFonts w:ascii="Arial" w:cs="Arial" w:eastAsia="Arial" w:hAnsi="Arial"/>
                <w:sz w:val="13"/>
                <w:szCs w:val="13"/>
                <w:b w:val="1"/>
                <w:bCs w:val="1"/>
                <w:color w:val="auto"/>
              </w:rPr>
              <w:t>listed in</w:t>
            </w:r>
          </w:p>
        </w:tc>
        <w:tc>
          <w:tcPr>
            <w:tcW w:w="32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60" w:type="dxa"/>
            <w:vAlign w:val="bottom"/>
            <w:shd w:val="clear" w:color="auto" w:fill="000000"/>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5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Proposal 1:</w:t>
            </w: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20"/>
                <w:szCs w:val="20"/>
                <w:color w:val="auto"/>
              </w:rPr>
            </w:pPr>
          </w:p>
        </w:tc>
        <w:tc>
          <w:tcPr>
            <w:tcW w:w="1520" w:type="dxa"/>
            <w:vAlign w:val="bottom"/>
          </w:tcPr>
          <w:p>
            <w:pPr>
              <w:ind w:left="80"/>
              <w:spacing w:after="0"/>
              <w:rPr>
                <w:sz w:val="20"/>
                <w:szCs w:val="20"/>
                <w:color w:val="auto"/>
              </w:rPr>
            </w:pPr>
            <w:r>
              <w:rPr>
                <w:rFonts w:ascii="Arial" w:cs="Arial" w:eastAsia="Arial" w:hAnsi="Arial"/>
                <w:sz w:val="13"/>
                <w:szCs w:val="13"/>
                <w:color w:val="auto"/>
              </w:rPr>
              <w:t>Election of Directors</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ind w:left="80"/>
              <w:spacing w:after="0"/>
              <w:rPr>
                <w:sz w:val="20"/>
                <w:szCs w:val="20"/>
                <w:color w:val="auto"/>
              </w:rPr>
            </w:pPr>
            <w:r>
              <w:rPr>
                <w:rFonts w:ascii="Arial" w:cs="Arial" w:eastAsia="Arial" w:hAnsi="Arial"/>
                <w:sz w:val="13"/>
                <w:szCs w:val="13"/>
                <w:color w:val="auto"/>
              </w:rPr>
              <w:t>01 - Kenneth J. Bacon</w:t>
            </w:r>
          </w:p>
        </w:tc>
        <w:tc>
          <w:tcPr>
            <w:tcW w:w="460" w:type="dxa"/>
            <w:vAlign w:val="bottom"/>
          </w:tcPr>
          <w:p>
            <w:pPr>
              <w:spacing w:after="0"/>
              <w:rPr>
                <w:sz w:val="18"/>
                <w:szCs w:val="18"/>
                <w:color w:val="auto"/>
              </w:rPr>
            </w:pPr>
          </w:p>
        </w:tc>
        <w:tc>
          <w:tcPr>
            <w:tcW w:w="2160" w:type="dxa"/>
            <w:vAlign w:val="bottom"/>
            <w:gridSpan w:val="5"/>
          </w:tcPr>
          <w:p>
            <w:pPr>
              <w:ind w:left="60"/>
              <w:spacing w:after="0"/>
              <w:rPr>
                <w:sz w:val="20"/>
                <w:szCs w:val="20"/>
                <w:color w:val="auto"/>
              </w:rPr>
            </w:pPr>
            <w:r>
              <w:rPr>
                <w:rFonts w:ascii="Arial" w:cs="Arial" w:eastAsia="Arial" w:hAnsi="Arial"/>
                <w:sz w:val="13"/>
                <w:szCs w:val="13"/>
                <w:color w:val="auto"/>
              </w:rPr>
              <w:t>06 - Jeffrey A. Honickman</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4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980" w:type="dxa"/>
            <w:vAlign w:val="bottom"/>
            <w:gridSpan w:val="2"/>
            <w:vMerge w:val="restart"/>
          </w:tcPr>
          <w:p>
            <w:pPr>
              <w:ind w:left="80"/>
              <w:spacing w:after="0"/>
              <w:rPr>
                <w:sz w:val="20"/>
                <w:szCs w:val="20"/>
                <w:color w:val="auto"/>
              </w:rPr>
            </w:pPr>
            <w:r>
              <w:rPr>
                <w:rFonts w:ascii="Arial" w:cs="Arial" w:eastAsia="Arial" w:hAnsi="Arial"/>
                <w:sz w:val="13"/>
                <w:szCs w:val="13"/>
                <w:color w:val="auto"/>
              </w:rPr>
              <w:t>02 - Thomas J. Baltimore, Jr.</w:t>
            </w:r>
          </w:p>
        </w:tc>
        <w:tc>
          <w:tcPr>
            <w:tcW w:w="1260" w:type="dxa"/>
            <w:vAlign w:val="bottom"/>
            <w:gridSpan w:val="4"/>
            <w:vMerge w:val="restart"/>
          </w:tcPr>
          <w:p>
            <w:pPr>
              <w:ind w:left="60"/>
              <w:spacing w:after="0"/>
              <w:rPr>
                <w:sz w:val="20"/>
                <w:szCs w:val="20"/>
                <w:color w:val="auto"/>
              </w:rPr>
            </w:pPr>
            <w:r>
              <w:rPr>
                <w:rFonts w:ascii="Arial" w:cs="Arial" w:eastAsia="Arial" w:hAnsi="Arial"/>
                <w:sz w:val="13"/>
                <w:szCs w:val="13"/>
                <w:color w:val="auto"/>
                <w:w w:val="97"/>
              </w:rPr>
              <w:t>07 - Wonya Y. Lucas</w:t>
            </w: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Shareholder</w:t>
            </w:r>
          </w:p>
        </w:tc>
        <w:tc>
          <w:tcPr>
            <w:tcW w:w="1720" w:type="dxa"/>
            <w:vAlign w:val="bottom"/>
            <w:gridSpan w:val="4"/>
            <w:vMerge w:val="restart"/>
          </w:tcPr>
          <w:p>
            <w:pPr>
              <w:ind w:left="100"/>
              <w:spacing w:after="0"/>
              <w:rPr>
                <w:sz w:val="20"/>
                <w:szCs w:val="20"/>
                <w:color w:val="auto"/>
              </w:rPr>
            </w:pPr>
            <w:r>
              <w:rPr>
                <w:rFonts w:ascii="Arial" w:cs="Arial" w:eastAsia="Arial" w:hAnsi="Arial"/>
                <w:sz w:val="13"/>
                <w:szCs w:val="13"/>
                <w:b w:val="1"/>
                <w:bCs w:val="1"/>
                <w:color w:val="auto"/>
              </w:rPr>
              <w:t>Proposals  —  The</w:t>
            </w:r>
          </w:p>
        </w:tc>
        <w:tc>
          <w:tcPr>
            <w:tcW w:w="3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For</w:t>
            </w:r>
          </w:p>
        </w:tc>
        <w:tc>
          <w:tcPr>
            <w:tcW w:w="1240" w:type="dxa"/>
            <w:vAlign w:val="bottom"/>
            <w:tcBorders>
              <w:right w:val="single" w:sz="8" w:color="auto"/>
            </w:tcBorders>
            <w:gridSpan w:val="4"/>
            <w:vMerge w:val="restart"/>
          </w:tcPr>
          <w:p>
            <w:pPr>
              <w:ind w:left="60"/>
              <w:spacing w:after="0"/>
              <w:rPr>
                <w:sz w:val="20"/>
                <w:szCs w:val="20"/>
                <w:color w:val="auto"/>
              </w:rPr>
            </w:pPr>
            <w:r>
              <w:rPr>
                <w:rFonts w:ascii="Arial" w:cs="Arial" w:eastAsia="Arial" w:hAnsi="Arial"/>
                <w:sz w:val="13"/>
                <w:szCs w:val="13"/>
                <w:b w:val="1"/>
                <w:bCs w:val="1"/>
                <w:color w:val="auto"/>
              </w:rPr>
              <w:t>Against Abstain</w:t>
            </w:r>
          </w:p>
        </w:tc>
        <w:tc>
          <w:tcPr>
            <w:tcW w:w="0" w:type="dxa"/>
            <w:vAlign w:val="bottom"/>
          </w:tcPr>
          <w:p>
            <w:pPr>
              <w:spacing w:after="0"/>
              <w:rPr>
                <w:sz w:val="1"/>
                <w:szCs w:val="1"/>
                <w:color w:val="auto"/>
              </w:rPr>
            </w:pPr>
          </w:p>
        </w:tc>
      </w:tr>
      <w:tr>
        <w:trPr>
          <w:trHeight w:val="121"/>
        </w:trPr>
        <w:tc>
          <w:tcPr>
            <w:tcW w:w="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1260" w:type="dxa"/>
            <w:vAlign w:val="bottom"/>
            <w:gridSpan w:val="4"/>
            <w:vMerge w:val="continue"/>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vMerge w:val="restart"/>
            <w:shd w:val="clear" w:color="auto" w:fill="000000"/>
          </w:tcPr>
          <w:p>
            <w:pPr>
              <w:ind w:left="40"/>
              <w:spacing w:after="0"/>
              <w:rPr>
                <w:sz w:val="20"/>
                <w:szCs w:val="20"/>
                <w:color w:val="auto"/>
              </w:rPr>
            </w:pPr>
            <w:r>
              <w:rPr>
                <w:rFonts w:ascii="Arial" w:cs="Arial" w:eastAsia="Arial" w:hAnsi="Arial"/>
                <w:sz w:val="22"/>
                <w:szCs w:val="22"/>
                <w:b w:val="1"/>
                <w:bCs w:val="1"/>
                <w:color w:val="FFFFFF"/>
              </w:rPr>
              <w:t>B</w:t>
            </w:r>
          </w:p>
        </w:tc>
        <w:tc>
          <w:tcPr>
            <w:tcW w:w="920" w:type="dxa"/>
            <w:vAlign w:val="bottom"/>
            <w:vMerge w:val="continue"/>
          </w:tcPr>
          <w:p>
            <w:pPr>
              <w:spacing w:after="0"/>
              <w:rPr>
                <w:sz w:val="10"/>
                <w:szCs w:val="10"/>
                <w:color w:val="auto"/>
              </w:rPr>
            </w:pPr>
          </w:p>
        </w:tc>
        <w:tc>
          <w:tcPr>
            <w:tcW w:w="1720" w:type="dxa"/>
            <w:vAlign w:val="bottom"/>
            <w:gridSpan w:val="4"/>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40" w:type="dxa"/>
            <w:vAlign w:val="bottom"/>
            <w:tcBorders>
              <w:right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tcPr>
          <w:p>
            <w:pPr>
              <w:ind w:left="80"/>
              <w:spacing w:after="0" w:line="104" w:lineRule="exact"/>
              <w:rPr>
                <w:sz w:val="20"/>
                <w:szCs w:val="20"/>
                <w:color w:val="auto"/>
              </w:rPr>
            </w:pPr>
            <w:r>
              <w:rPr>
                <w:rFonts w:ascii="Arial" w:cs="Arial" w:eastAsia="Arial" w:hAnsi="Arial"/>
                <w:sz w:val="12"/>
                <w:szCs w:val="12"/>
                <w:color w:val="auto"/>
              </w:rPr>
              <w:t>03 - Madeline S. Bell</w:t>
            </w:r>
          </w:p>
        </w:tc>
        <w:tc>
          <w:tcPr>
            <w:tcW w:w="460" w:type="dxa"/>
            <w:vAlign w:val="bottom"/>
          </w:tcPr>
          <w:p>
            <w:pPr>
              <w:spacing w:after="0"/>
              <w:rPr>
                <w:sz w:val="9"/>
                <w:szCs w:val="9"/>
                <w:color w:val="auto"/>
              </w:rPr>
            </w:pPr>
          </w:p>
        </w:tc>
        <w:tc>
          <w:tcPr>
            <w:tcW w:w="1260" w:type="dxa"/>
            <w:vAlign w:val="bottom"/>
            <w:gridSpan w:val="4"/>
          </w:tcPr>
          <w:p>
            <w:pPr>
              <w:ind w:left="60"/>
              <w:spacing w:after="0" w:line="104" w:lineRule="exact"/>
              <w:rPr>
                <w:sz w:val="20"/>
                <w:szCs w:val="20"/>
                <w:color w:val="auto"/>
              </w:rPr>
            </w:pPr>
            <w:r>
              <w:rPr>
                <w:rFonts w:ascii="Arial" w:cs="Arial" w:eastAsia="Arial" w:hAnsi="Arial"/>
                <w:sz w:val="12"/>
                <w:szCs w:val="12"/>
                <w:color w:val="auto"/>
              </w:rPr>
              <w:t>08 - Asuka Nakahara</w:t>
            </w: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vMerge w:val="continue"/>
            <w:shd w:val="clear" w:color="auto" w:fill="000000"/>
          </w:tcPr>
          <w:p>
            <w:pPr>
              <w:spacing w:after="0"/>
              <w:rPr>
                <w:sz w:val="9"/>
                <w:szCs w:val="9"/>
                <w:color w:val="auto"/>
              </w:rPr>
            </w:pPr>
          </w:p>
        </w:tc>
        <w:tc>
          <w:tcPr>
            <w:tcW w:w="2640" w:type="dxa"/>
            <w:vAlign w:val="bottom"/>
            <w:gridSpan w:val="5"/>
            <w:vMerge w:val="restart"/>
          </w:tcPr>
          <w:p>
            <w:pPr>
              <w:ind w:left="80"/>
              <w:spacing w:after="0"/>
              <w:rPr>
                <w:sz w:val="20"/>
                <w:szCs w:val="20"/>
                <w:color w:val="auto"/>
              </w:rPr>
            </w:pPr>
            <w:r>
              <w:rPr>
                <w:rFonts w:ascii="Arial" w:cs="Arial" w:eastAsia="Arial" w:hAnsi="Arial"/>
                <w:sz w:val="13"/>
                <w:szCs w:val="13"/>
                <w:b w:val="1"/>
                <w:bCs w:val="1"/>
                <w:color w:val="auto"/>
              </w:rPr>
              <w:t>Board of Directors recommends a</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tcPr>
          <w:p>
            <w:pPr>
              <w:ind w:left="80"/>
              <w:spacing w:after="0" w:line="126" w:lineRule="exact"/>
              <w:rPr>
                <w:sz w:val="20"/>
                <w:szCs w:val="20"/>
                <w:color w:val="auto"/>
              </w:rPr>
            </w:pPr>
            <w:r>
              <w:rPr>
                <w:rFonts w:ascii="Arial" w:cs="Arial" w:eastAsia="Arial" w:hAnsi="Arial"/>
                <w:sz w:val="13"/>
                <w:szCs w:val="13"/>
                <w:color w:val="auto"/>
              </w:rPr>
              <w:t>04 - Louise F. Brady</w:t>
            </w:r>
          </w:p>
        </w:tc>
        <w:tc>
          <w:tcPr>
            <w:tcW w:w="460" w:type="dxa"/>
            <w:vAlign w:val="bottom"/>
          </w:tcPr>
          <w:p>
            <w:pPr>
              <w:spacing w:after="0"/>
              <w:rPr>
                <w:sz w:val="10"/>
                <w:szCs w:val="10"/>
                <w:color w:val="auto"/>
              </w:rPr>
            </w:pPr>
          </w:p>
        </w:tc>
        <w:tc>
          <w:tcPr>
            <w:tcW w:w="1260" w:type="dxa"/>
            <w:vAlign w:val="bottom"/>
            <w:gridSpan w:val="4"/>
          </w:tcPr>
          <w:p>
            <w:pPr>
              <w:ind w:left="60"/>
              <w:spacing w:after="0" w:line="126" w:lineRule="exact"/>
              <w:rPr>
                <w:sz w:val="20"/>
                <w:szCs w:val="20"/>
                <w:color w:val="auto"/>
              </w:rPr>
            </w:pPr>
            <w:r>
              <w:rPr>
                <w:rFonts w:ascii="Arial" w:cs="Arial" w:eastAsia="Arial" w:hAnsi="Arial"/>
                <w:sz w:val="13"/>
                <w:szCs w:val="13"/>
                <w:color w:val="auto"/>
              </w:rPr>
              <w:t>09 - David C. Novak</w:t>
            </w: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vMerge w:val="continue"/>
            <w:shd w:val="clear" w:color="auto" w:fill="000000"/>
          </w:tcPr>
          <w:p>
            <w:pPr>
              <w:spacing w:after="0"/>
              <w:rPr>
                <w:sz w:val="10"/>
                <w:szCs w:val="10"/>
                <w:color w:val="auto"/>
              </w:rPr>
            </w:pPr>
          </w:p>
        </w:tc>
        <w:tc>
          <w:tcPr>
            <w:tcW w:w="2640" w:type="dxa"/>
            <w:vAlign w:val="bottom"/>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vMerge w:val="restart"/>
          </w:tcPr>
          <w:p>
            <w:pPr>
              <w:ind w:left="80"/>
              <w:spacing w:after="0"/>
              <w:rPr>
                <w:sz w:val="20"/>
                <w:szCs w:val="20"/>
                <w:color w:val="auto"/>
              </w:rPr>
            </w:pPr>
            <w:r>
              <w:rPr>
                <w:rFonts w:ascii="Arial" w:cs="Arial" w:eastAsia="Arial" w:hAnsi="Arial"/>
                <w:sz w:val="13"/>
                <w:szCs w:val="13"/>
                <w:color w:val="auto"/>
              </w:rPr>
              <w:t>05 - Edward D. Breen</w:t>
            </w:r>
          </w:p>
        </w:tc>
        <w:tc>
          <w:tcPr>
            <w:tcW w:w="460" w:type="dxa"/>
            <w:vAlign w:val="bottom"/>
          </w:tcPr>
          <w:p>
            <w:pPr>
              <w:spacing w:after="0"/>
              <w:rPr>
                <w:sz w:val="8"/>
                <w:szCs w:val="8"/>
                <w:color w:val="auto"/>
              </w:rPr>
            </w:pPr>
          </w:p>
        </w:tc>
        <w:tc>
          <w:tcPr>
            <w:tcW w:w="1260" w:type="dxa"/>
            <w:vAlign w:val="bottom"/>
            <w:gridSpan w:val="4"/>
            <w:vMerge w:val="restart"/>
          </w:tcPr>
          <w:p>
            <w:pPr>
              <w:ind w:left="60"/>
              <w:spacing w:after="0"/>
              <w:rPr>
                <w:sz w:val="20"/>
                <w:szCs w:val="20"/>
                <w:color w:val="auto"/>
              </w:rPr>
            </w:pPr>
            <w:r>
              <w:rPr>
                <w:rFonts w:ascii="Arial" w:cs="Arial" w:eastAsia="Arial" w:hAnsi="Arial"/>
                <w:sz w:val="13"/>
                <w:szCs w:val="13"/>
                <w:color w:val="auto"/>
                <w:w w:val="98"/>
              </w:rPr>
              <w:t>10 - Brian L. Roberts</w:t>
            </w: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shd w:val="clear" w:color="auto" w:fill="000000"/>
          </w:tcPr>
          <w:p>
            <w:pPr>
              <w:spacing w:after="0"/>
              <w:rPr>
                <w:sz w:val="8"/>
                <w:szCs w:val="8"/>
                <w:color w:val="auto"/>
              </w:rPr>
            </w:pPr>
          </w:p>
        </w:tc>
        <w:tc>
          <w:tcPr>
            <w:tcW w:w="2640" w:type="dxa"/>
            <w:vAlign w:val="bottom"/>
            <w:gridSpan w:val="5"/>
          </w:tcPr>
          <w:p>
            <w:pPr>
              <w:ind w:left="80"/>
              <w:spacing w:after="0" w:line="80" w:lineRule="exact"/>
              <w:rPr>
                <w:sz w:val="20"/>
                <w:szCs w:val="20"/>
                <w:color w:val="auto"/>
              </w:rPr>
            </w:pPr>
            <w:r>
              <w:rPr>
                <w:rFonts w:ascii="Arial" w:cs="Arial" w:eastAsia="Arial" w:hAnsi="Arial"/>
                <w:sz w:val="9"/>
                <w:szCs w:val="9"/>
                <w:b w:val="1"/>
                <w:bCs w:val="1"/>
                <w:color w:val="auto"/>
              </w:rPr>
              <w:t>vote "AGAINST" Proposals 5 and 6</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40" w:type="dxa"/>
            <w:vAlign w:val="bottom"/>
            <w:gridSpan w:val="5"/>
            <w:vMerge w:val="restart"/>
          </w:tcPr>
          <w:p>
            <w:pPr>
              <w:ind w:left="80"/>
              <w:spacing w:after="0" w:line="134" w:lineRule="exact"/>
              <w:rPr>
                <w:sz w:val="20"/>
                <w:szCs w:val="20"/>
                <w:color w:val="auto"/>
              </w:rPr>
            </w:pPr>
            <w:r>
              <w:rPr>
                <w:rFonts w:ascii="Arial" w:cs="Arial" w:eastAsia="Arial" w:hAnsi="Arial"/>
                <w:sz w:val="13"/>
                <w:szCs w:val="13"/>
                <w:b w:val="1"/>
                <w:bCs w:val="1"/>
                <w:color w:val="auto"/>
              </w:rPr>
              <w:t>if properly presented at the Annual</w:t>
            </w: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4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4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gridSpan w:val="9"/>
            <w:vMerge w:val="restart"/>
          </w:tcPr>
          <w:p>
            <w:pPr>
              <w:spacing w:after="0"/>
              <w:rPr>
                <w:sz w:val="20"/>
                <w:szCs w:val="20"/>
                <w:color w:val="auto"/>
              </w:rPr>
            </w:pPr>
            <w:r>
              <w:rPr>
                <w:rFonts w:ascii="Arial" w:cs="Arial" w:eastAsia="Arial" w:hAnsi="Arial"/>
                <w:sz w:val="13"/>
                <w:szCs w:val="13"/>
                <w:b w:val="1"/>
                <w:bCs w:val="1"/>
                <w:color w:val="auto"/>
              </w:rPr>
              <w:t>The Board of Directors recommends a vote "FOR" Proposals 2,</w:t>
            </w:r>
          </w:p>
        </w:tc>
        <w:tc>
          <w:tcPr>
            <w:tcW w:w="3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For</w:t>
            </w:r>
          </w:p>
        </w:tc>
        <w:tc>
          <w:tcPr>
            <w:tcW w:w="15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Against Abstain</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ind w:left="80"/>
              <w:spacing w:after="0"/>
              <w:rPr>
                <w:sz w:val="20"/>
                <w:szCs w:val="20"/>
                <w:color w:val="auto"/>
              </w:rPr>
            </w:pPr>
            <w:r>
              <w:rPr>
                <w:rFonts w:ascii="Arial" w:cs="Arial" w:eastAsia="Arial" w:hAnsi="Arial"/>
                <w:sz w:val="13"/>
                <w:szCs w:val="13"/>
                <w:b w:val="1"/>
                <w:bCs w:val="1"/>
                <w:color w:val="auto"/>
              </w:rPr>
              <w:t>Meeting:</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420" w:type="dxa"/>
            <w:vAlign w:val="bottom"/>
            <w:gridSpan w:val="9"/>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2900" w:type="dxa"/>
            <w:vAlign w:val="bottom"/>
            <w:gridSpan w:val="6"/>
            <w:vMerge w:val="restart"/>
          </w:tcPr>
          <w:p>
            <w:pPr>
              <w:spacing w:after="0"/>
              <w:rPr>
                <w:sz w:val="20"/>
                <w:szCs w:val="20"/>
                <w:color w:val="auto"/>
              </w:rPr>
            </w:pPr>
            <w:r>
              <w:rPr>
                <w:rFonts w:ascii="Arial" w:cs="Arial" w:eastAsia="Arial" w:hAnsi="Arial"/>
                <w:sz w:val="13"/>
                <w:szCs w:val="13"/>
                <w:color w:val="auto"/>
              </w:rPr>
              <w:t>5.   Consider "CEO pay ratio factor" in</w:t>
            </w:r>
          </w:p>
        </w:tc>
        <w:tc>
          <w:tcPr>
            <w:tcW w:w="3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gridSpan w:val="2"/>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right w:val="single" w:sz="8" w:color="auto"/>
            </w:tcBorders>
            <w:gridSpan w:val="2"/>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0" w:type="dxa"/>
            <w:vAlign w:val="bottom"/>
            <w:gridSpan w:val="3"/>
          </w:tcPr>
          <w:p>
            <w:pPr>
              <w:spacing w:after="0" w:line="109" w:lineRule="exact"/>
              <w:rPr>
                <w:sz w:val="20"/>
                <w:szCs w:val="20"/>
                <w:color w:val="auto"/>
              </w:rPr>
            </w:pPr>
            <w:r>
              <w:rPr>
                <w:rFonts w:ascii="Arial" w:cs="Arial" w:eastAsia="Arial" w:hAnsi="Arial"/>
                <w:sz w:val="12"/>
                <w:szCs w:val="12"/>
                <w:b w:val="1"/>
                <w:bCs w:val="1"/>
                <w:color w:val="auto"/>
              </w:rPr>
              <w:t>3 and 4:</w:t>
            </w: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00" w:type="dxa"/>
            <w:vAlign w:val="bottom"/>
            <w:gridSpan w:val="6"/>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2.   Ratify appointment of our independent auditors</w:t>
            </w:r>
          </w:p>
        </w:tc>
        <w:tc>
          <w:tcPr>
            <w:tcW w:w="900" w:type="dxa"/>
            <w:vAlign w:val="bottom"/>
          </w:tcPr>
          <w:p>
            <w:pPr>
              <w:spacing w:after="0"/>
              <w:rPr>
                <w:sz w:val="15"/>
                <w:szCs w:val="15"/>
                <w:color w:val="auto"/>
              </w:rPr>
            </w:pPr>
          </w:p>
        </w:tc>
        <w:tc>
          <w:tcPr>
            <w:tcW w:w="3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Pr>
          <w:p>
            <w:pPr>
              <w:spacing w:after="0"/>
              <w:rPr>
                <w:sz w:val="15"/>
                <w:szCs w:val="15"/>
                <w:color w:val="auto"/>
              </w:rPr>
            </w:pPr>
          </w:p>
        </w:tc>
        <w:tc>
          <w:tcPr>
            <w:tcW w:w="960" w:type="dxa"/>
            <w:vAlign w:val="bottom"/>
            <w:vMerge w:val="restart"/>
          </w:tcPr>
          <w:p>
            <w:pPr>
              <w:jc w:val="center"/>
              <w:ind w:right="318"/>
              <w:spacing w:after="0" w:line="181" w:lineRule="exact"/>
              <w:rPr>
                <w:sz w:val="20"/>
                <w:szCs w:val="20"/>
                <w:color w:val="auto"/>
              </w:rPr>
            </w:pPr>
            <w:r>
              <w:rPr>
                <w:rFonts w:ascii="MS PGothic" w:cs="MS PGothic" w:eastAsia="MS PGothic" w:hAnsi="MS PGothic"/>
                <w:sz w:val="18"/>
                <w:szCs w:val="18"/>
                <w:color w:val="auto"/>
                <w:w w:val="88"/>
              </w:rPr>
              <w:t>☐</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gridSpan w:val="5"/>
          </w:tcPr>
          <w:p>
            <w:pPr>
              <w:ind w:left="80"/>
              <w:spacing w:after="0"/>
              <w:rPr>
                <w:sz w:val="20"/>
                <w:szCs w:val="20"/>
                <w:color w:val="auto"/>
              </w:rPr>
            </w:pPr>
            <w:r>
              <w:rPr>
                <w:rFonts w:ascii="Arial" w:cs="Arial" w:eastAsia="Arial" w:hAnsi="Arial"/>
                <w:sz w:val="13"/>
                <w:szCs w:val="13"/>
                <w:color w:val="auto"/>
              </w:rPr>
              <w:t>executive compensation</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gridSpan w:val="8"/>
            <w:vMerge w:val="continue"/>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6"/>
            <w:vMerge w:val="restart"/>
          </w:tcPr>
          <w:p>
            <w:pPr>
              <w:spacing w:after="0"/>
              <w:rPr>
                <w:sz w:val="20"/>
                <w:szCs w:val="20"/>
                <w:color w:val="auto"/>
              </w:rPr>
            </w:pPr>
            <w:r>
              <w:rPr>
                <w:rFonts w:ascii="Arial" w:cs="Arial" w:eastAsia="Arial" w:hAnsi="Arial"/>
                <w:sz w:val="13"/>
                <w:szCs w:val="13"/>
                <w:color w:val="auto"/>
              </w:rPr>
              <w:t>6.   Adopt policy for an independent chair</w:t>
            </w:r>
          </w:p>
        </w:tc>
        <w:tc>
          <w:tcPr>
            <w:tcW w:w="3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gridSpan w:val="2"/>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right w:val="single" w:sz="8" w:color="auto"/>
            </w:tcBorders>
            <w:gridSpan w:val="2"/>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420" w:type="dxa"/>
            <w:vAlign w:val="bottom"/>
            <w:gridSpan w:val="9"/>
            <w:vMerge w:val="restart"/>
          </w:tcPr>
          <w:p>
            <w:pPr>
              <w:spacing w:after="0"/>
              <w:rPr>
                <w:sz w:val="20"/>
                <w:szCs w:val="20"/>
                <w:color w:val="auto"/>
              </w:rPr>
            </w:pPr>
            <w:r>
              <w:rPr>
                <w:rFonts w:ascii="Arial" w:cs="Arial" w:eastAsia="Arial" w:hAnsi="Arial"/>
                <w:sz w:val="13"/>
                <w:szCs w:val="13"/>
                <w:color w:val="auto"/>
              </w:rPr>
              <w:t>3.   Increase share authorization under Comcast-NBCUniversal</w:t>
            </w:r>
          </w:p>
        </w:tc>
        <w:tc>
          <w:tcPr>
            <w:tcW w:w="3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Pr>
          <w:p>
            <w:pPr>
              <w:spacing w:after="0"/>
              <w:rPr>
                <w:sz w:val="17"/>
                <w:szCs w:val="17"/>
                <w:color w:val="auto"/>
              </w:rPr>
            </w:pPr>
          </w:p>
        </w:tc>
        <w:tc>
          <w:tcPr>
            <w:tcW w:w="960" w:type="dxa"/>
            <w:vAlign w:val="bottom"/>
            <w:vMerge w:val="restart"/>
          </w:tcPr>
          <w:p>
            <w:pPr>
              <w:jc w:val="center"/>
              <w:ind w:right="318"/>
              <w:spacing w:after="0" w:line="181" w:lineRule="exact"/>
              <w:rPr>
                <w:sz w:val="20"/>
                <w:szCs w:val="20"/>
                <w:color w:val="auto"/>
              </w:rPr>
            </w:pPr>
            <w:r>
              <w:rPr>
                <w:rFonts w:ascii="MS PGothic" w:cs="MS PGothic" w:eastAsia="MS PGothic" w:hAnsi="MS PGothic"/>
                <w:sz w:val="18"/>
                <w:szCs w:val="18"/>
                <w:color w:val="auto"/>
                <w:w w:val="88"/>
              </w:rPr>
              <w:t>☐</w:t>
            </w:r>
          </w:p>
        </w:tc>
        <w:tc>
          <w:tcPr>
            <w:tcW w:w="180" w:type="dxa"/>
            <w:vAlign w:val="bottom"/>
          </w:tcPr>
          <w:p>
            <w:pPr>
              <w:spacing w:after="0"/>
              <w:rPr>
                <w:sz w:val="17"/>
                <w:szCs w:val="17"/>
                <w:color w:val="auto"/>
              </w:rPr>
            </w:pPr>
          </w:p>
        </w:tc>
        <w:tc>
          <w:tcPr>
            <w:tcW w:w="2900" w:type="dxa"/>
            <w:vAlign w:val="bottom"/>
            <w:gridSpan w:val="6"/>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66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20" w:type="dxa"/>
            <w:vAlign w:val="bottom"/>
            <w:gridSpan w:val="9"/>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3"/>
          </w:tcPr>
          <w:p>
            <w:pPr>
              <w:jc w:val="right"/>
              <w:spacing w:after="0"/>
              <w:rPr>
                <w:sz w:val="20"/>
                <w:szCs w:val="20"/>
                <w:color w:val="auto"/>
              </w:rPr>
            </w:pPr>
            <w:r>
              <w:rPr>
                <w:rFonts w:ascii="Arial" w:cs="Arial" w:eastAsia="Arial" w:hAnsi="Arial"/>
                <w:sz w:val="13"/>
                <w:szCs w:val="13"/>
                <w:color w:val="auto"/>
              </w:rPr>
              <w:t>2011 Employee Stock Purchase Plan</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520" w:type="dxa"/>
            <w:vAlign w:val="bottom"/>
            <w:gridSpan w:val="8"/>
          </w:tcPr>
          <w:p>
            <w:pPr>
              <w:spacing w:after="0"/>
              <w:rPr>
                <w:sz w:val="20"/>
                <w:szCs w:val="20"/>
                <w:color w:val="auto"/>
              </w:rPr>
            </w:pPr>
            <w:r>
              <w:rPr>
                <w:rFonts w:ascii="Arial" w:cs="Arial" w:eastAsia="Arial" w:hAnsi="Arial"/>
                <w:sz w:val="13"/>
                <w:szCs w:val="13"/>
                <w:color w:val="auto"/>
              </w:rPr>
              <w:t>4.   Advisory vote on executive compensation</w:t>
            </w:r>
          </w:p>
        </w:tc>
        <w:tc>
          <w:tcPr>
            <w:tcW w:w="900" w:type="dxa"/>
            <w:vAlign w:val="bottom"/>
          </w:tcPr>
          <w:p>
            <w:pPr>
              <w:spacing w:after="0"/>
              <w:rPr>
                <w:sz w:val="24"/>
                <w:szCs w:val="24"/>
                <w:color w:val="auto"/>
              </w:rPr>
            </w:pPr>
          </w:p>
        </w:tc>
        <w:tc>
          <w:tcPr>
            <w:tcW w:w="3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Pr>
          <w:p>
            <w:pPr>
              <w:spacing w:after="0"/>
              <w:rPr>
                <w:sz w:val="24"/>
                <w:szCs w:val="24"/>
                <w:color w:val="auto"/>
              </w:rPr>
            </w:pPr>
          </w:p>
        </w:tc>
        <w:tc>
          <w:tcPr>
            <w:tcW w:w="960" w:type="dxa"/>
            <w:vAlign w:val="bottom"/>
          </w:tcPr>
          <w:p>
            <w:pPr>
              <w:jc w:val="center"/>
              <w:ind w:right="318"/>
              <w:spacing w:after="0" w:line="181" w:lineRule="exact"/>
              <w:rPr>
                <w:sz w:val="20"/>
                <w:szCs w:val="20"/>
                <w:color w:val="auto"/>
              </w:rPr>
            </w:pPr>
            <w:r>
              <w:rPr>
                <w:rFonts w:ascii="MS PGothic" w:cs="MS PGothic" w:eastAsia="MS PGothic" w:hAnsi="MS PGothic"/>
                <w:sz w:val="18"/>
                <w:szCs w:val="18"/>
                <w:color w:val="auto"/>
                <w:w w:val="88"/>
              </w:rPr>
              <w:t>☐</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7"/>
        </w:trPr>
        <w:tc>
          <w:tcPr>
            <w:tcW w:w="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2460" w:type="dxa"/>
            <w:vAlign w:val="bottom"/>
            <w:gridSpan w:val="4"/>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gridSpan w:val="5"/>
          </w:tcPr>
          <w:p>
            <w:pPr>
              <w:spacing w:after="0"/>
              <w:rPr>
                <w:sz w:val="24"/>
                <w:szCs w:val="24"/>
                <w:color w:val="auto"/>
              </w:rPr>
            </w:pPr>
          </w:p>
        </w:tc>
        <w:tc>
          <w:tcPr>
            <w:tcW w:w="114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60" w:type="dxa"/>
            <w:vAlign w:val="bottom"/>
            <w:tcBorders>
              <w:bottom w:val="single" w:sz="8" w:color="auto"/>
            </w:tcBorders>
            <w:shd w:val="clear" w:color="auto" w:fill="000000"/>
          </w:tcPr>
          <w:p>
            <w:pPr>
              <w:ind w:left="40"/>
              <w:spacing w:after="0"/>
              <w:rPr>
                <w:sz w:val="20"/>
                <w:szCs w:val="20"/>
                <w:color w:val="auto"/>
              </w:rPr>
            </w:pPr>
            <w:r>
              <w:rPr>
                <w:rFonts w:ascii="Arial" w:cs="Arial" w:eastAsia="Arial" w:hAnsi="Arial"/>
                <w:sz w:val="22"/>
                <w:szCs w:val="22"/>
                <w:b w:val="1"/>
                <w:bCs w:val="1"/>
                <w:color w:val="FFFFFF"/>
              </w:rPr>
              <w:t>C</w:t>
            </w:r>
          </w:p>
        </w:tc>
        <w:tc>
          <w:tcPr>
            <w:tcW w:w="20" w:type="dxa"/>
            <w:vAlign w:val="bottom"/>
          </w:tcPr>
          <w:p>
            <w:pPr>
              <w:spacing w:after="0"/>
              <w:rPr>
                <w:sz w:val="24"/>
                <w:szCs w:val="24"/>
                <w:color w:val="auto"/>
              </w:rPr>
            </w:pPr>
          </w:p>
        </w:tc>
        <w:tc>
          <w:tcPr>
            <w:tcW w:w="9120" w:type="dxa"/>
            <w:vAlign w:val="bottom"/>
            <w:gridSpan w:val="18"/>
          </w:tcPr>
          <w:p>
            <w:pPr>
              <w:ind w:left="40"/>
              <w:spacing w:after="0"/>
              <w:rPr>
                <w:sz w:val="20"/>
                <w:szCs w:val="20"/>
                <w:color w:val="auto"/>
              </w:rPr>
            </w:pPr>
            <w:r>
              <w:rPr>
                <w:rFonts w:ascii="Arial" w:cs="Arial" w:eastAsia="Arial" w:hAnsi="Arial"/>
                <w:sz w:val="13"/>
                <w:szCs w:val="13"/>
                <w:b w:val="1"/>
                <w:bCs w:val="1"/>
                <w:color w:val="auto"/>
              </w:rPr>
              <w:t>Authorized Signatures — This section must be completed for your vote to be counted — Date and Sign Within the Box Below</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11200" w:type="dxa"/>
            <w:vAlign w:val="bottom"/>
            <w:tcBorders>
              <w:right w:val="single" w:sz="8" w:color="auto"/>
            </w:tcBorders>
            <w:gridSpan w:val="26"/>
          </w:tcPr>
          <w:p>
            <w:pPr>
              <w:ind w:left="220"/>
              <w:spacing w:after="0"/>
              <w:rPr>
                <w:sz w:val="20"/>
                <w:szCs w:val="20"/>
                <w:color w:val="auto"/>
              </w:rPr>
            </w:pPr>
            <w:r>
              <w:rPr>
                <w:rFonts w:ascii="Arial" w:cs="Arial" w:eastAsia="Arial" w:hAnsi="Arial"/>
                <w:sz w:val="13"/>
                <w:szCs w:val="13"/>
                <w:color w:val="auto"/>
              </w:rPr>
              <w:t>Please sign as name(s) appear(s) hereon. Give full title if you are signing for a corporation, partnership or other entity, or as an attorney, administrator, executor, guardian, trustee or</w:t>
            </w: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2500" w:type="dxa"/>
            <w:vAlign w:val="bottom"/>
            <w:gridSpan w:val="5"/>
          </w:tcPr>
          <w:p>
            <w:pPr>
              <w:ind w:left="220"/>
              <w:spacing w:after="0"/>
              <w:rPr>
                <w:sz w:val="20"/>
                <w:szCs w:val="20"/>
                <w:color w:val="auto"/>
              </w:rPr>
            </w:pPr>
            <w:r>
              <w:rPr>
                <w:rFonts w:ascii="Arial" w:cs="Arial" w:eastAsia="Arial" w:hAnsi="Arial"/>
                <w:sz w:val="13"/>
                <w:szCs w:val="13"/>
                <w:color w:val="auto"/>
              </w:rPr>
              <w:t>in any other representative capacity.</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gridSpan w:val="2"/>
          </w:tcPr>
          <w:p>
            <w:pPr>
              <w:spacing w:after="0"/>
              <w:rPr>
                <w:sz w:val="19"/>
                <w:szCs w:val="19"/>
                <w:color w:val="auto"/>
              </w:rPr>
            </w:pPr>
          </w:p>
        </w:tc>
        <w:tc>
          <w:tcPr>
            <w:tcW w:w="2260" w:type="dxa"/>
            <w:vAlign w:val="bottom"/>
            <w:tcBorders>
              <w:bottom w:val="single" w:sz="8" w:color="auto"/>
            </w:tcBorders>
            <w:gridSpan w:val="3"/>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gridSpan w:val="2"/>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4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80" w:type="dxa"/>
            <w:vAlign w:val="bottom"/>
            <w:tcBorders>
              <w:bottom w:val="single" w:sz="8" w:color="auto"/>
            </w:tcBorders>
            <w:gridSpan w:val="2"/>
          </w:tcPr>
          <w:p>
            <w:pPr>
              <w:spacing w:after="0"/>
              <w:rPr>
                <w:sz w:val="24"/>
                <w:szCs w:val="24"/>
                <w:color w:val="auto"/>
              </w:rPr>
            </w:pPr>
          </w:p>
        </w:tc>
        <w:tc>
          <w:tcPr>
            <w:tcW w:w="2260" w:type="dxa"/>
            <w:vAlign w:val="bottom"/>
            <w:tcBorders>
              <w:bottom w:val="single" w:sz="8" w:color="auto"/>
            </w:tcBorders>
            <w:gridSpan w:val="3"/>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5"/>
          </w:tcPr>
          <w:p>
            <w:pPr>
              <w:spacing w:after="0"/>
              <w:rPr>
                <w:sz w:val="20"/>
                <w:szCs w:val="20"/>
                <w:color w:val="auto"/>
              </w:rPr>
            </w:pPr>
            <w:r>
              <w:rPr>
                <w:rFonts w:ascii="Arial" w:cs="Arial" w:eastAsia="Arial" w:hAnsi="Arial"/>
                <w:sz w:val="13"/>
                <w:szCs w:val="13"/>
                <w:color w:val="auto"/>
              </w:rPr>
              <w:t>Signature [PLEASE SIGN WITHIN BOX]</w:t>
            </w:r>
          </w:p>
        </w:tc>
        <w:tc>
          <w:tcPr>
            <w:tcW w:w="20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4"/>
          </w:tcPr>
          <w:p>
            <w:pPr>
              <w:spacing w:after="0"/>
              <w:rPr>
                <w:sz w:val="20"/>
                <w:szCs w:val="20"/>
                <w:color w:val="auto"/>
              </w:rPr>
            </w:pPr>
            <w:r>
              <w:rPr>
                <w:rFonts w:ascii="Arial" w:cs="Arial" w:eastAsia="Arial" w:hAnsi="Arial"/>
                <w:sz w:val="13"/>
                <w:szCs w:val="13"/>
                <w:color w:val="auto"/>
              </w:rPr>
              <w:t>Signature (Joint Owners)</w:t>
            </w:r>
          </w:p>
        </w:tc>
        <w:tc>
          <w:tcPr>
            <w:tcW w:w="44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Arial" w:cs="Arial" w:eastAsia="Arial" w:hAnsi="Arial"/>
                <w:sz w:val="13"/>
                <w:szCs w:val="13"/>
                <w:color w:val="auto"/>
              </w:rPr>
              <w:t>Date</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89"/>
        </w:trPr>
        <w:tc>
          <w:tcPr>
            <w:tcW w:w="40" w:type="dxa"/>
            <w:vAlign w:val="bottom"/>
            <w:tcBorders>
              <w:bottom w:val="single" w:sz="8" w:color="A1A1A1"/>
            </w:tcBorders>
          </w:tcPr>
          <w:p>
            <w:pPr>
              <w:spacing w:after="0"/>
              <w:rPr>
                <w:sz w:val="24"/>
                <w:szCs w:val="24"/>
                <w:color w:val="auto"/>
              </w:rPr>
            </w:pPr>
          </w:p>
        </w:tc>
        <w:tc>
          <w:tcPr>
            <w:tcW w:w="240" w:type="dxa"/>
            <w:vAlign w:val="bottom"/>
            <w:tcBorders>
              <w:bottom w:val="single" w:sz="8" w:color="A1A1A1"/>
            </w:tcBorders>
          </w:tcPr>
          <w:p>
            <w:pPr>
              <w:spacing w:after="0"/>
              <w:rPr>
                <w:sz w:val="24"/>
                <w:szCs w:val="24"/>
                <w:color w:val="auto"/>
              </w:rPr>
            </w:pPr>
          </w:p>
        </w:tc>
        <w:tc>
          <w:tcPr>
            <w:tcW w:w="260" w:type="dxa"/>
            <w:vAlign w:val="bottom"/>
            <w:tcBorders>
              <w:bottom w:val="single" w:sz="8" w:color="A1A1A1"/>
            </w:tcBorders>
          </w:tcPr>
          <w:p>
            <w:pPr>
              <w:spacing w:after="0"/>
              <w:rPr>
                <w:sz w:val="24"/>
                <w:szCs w:val="24"/>
                <w:color w:val="auto"/>
              </w:rPr>
            </w:pPr>
          </w:p>
        </w:tc>
        <w:tc>
          <w:tcPr>
            <w:tcW w:w="20" w:type="dxa"/>
            <w:vAlign w:val="bottom"/>
            <w:tcBorders>
              <w:bottom w:val="single" w:sz="8" w:color="A1A1A1"/>
            </w:tcBorders>
          </w:tcPr>
          <w:p>
            <w:pPr>
              <w:spacing w:after="0"/>
              <w:rPr>
                <w:sz w:val="24"/>
                <w:szCs w:val="24"/>
                <w:color w:val="auto"/>
              </w:rPr>
            </w:pPr>
          </w:p>
        </w:tc>
        <w:tc>
          <w:tcPr>
            <w:tcW w:w="1520" w:type="dxa"/>
            <w:vAlign w:val="bottom"/>
            <w:tcBorders>
              <w:bottom w:val="single" w:sz="8" w:color="A1A1A1"/>
            </w:tcBorders>
          </w:tcPr>
          <w:p>
            <w:pPr>
              <w:spacing w:after="0"/>
              <w:rPr>
                <w:sz w:val="24"/>
                <w:szCs w:val="24"/>
                <w:color w:val="auto"/>
              </w:rPr>
            </w:pPr>
          </w:p>
        </w:tc>
        <w:tc>
          <w:tcPr>
            <w:tcW w:w="460" w:type="dxa"/>
            <w:vAlign w:val="bottom"/>
            <w:tcBorders>
              <w:bottom w:val="single" w:sz="8" w:color="A1A1A1"/>
            </w:tcBorders>
          </w:tcPr>
          <w:p>
            <w:pPr>
              <w:spacing w:after="0"/>
              <w:rPr>
                <w:sz w:val="24"/>
                <w:szCs w:val="24"/>
                <w:color w:val="auto"/>
              </w:rPr>
            </w:pPr>
          </w:p>
        </w:tc>
        <w:tc>
          <w:tcPr>
            <w:tcW w:w="280" w:type="dxa"/>
            <w:vAlign w:val="bottom"/>
            <w:tcBorders>
              <w:bottom w:val="single" w:sz="8" w:color="A1A1A1"/>
            </w:tcBorders>
          </w:tcPr>
          <w:p>
            <w:pPr>
              <w:spacing w:after="0"/>
              <w:rPr>
                <w:sz w:val="24"/>
                <w:szCs w:val="24"/>
                <w:color w:val="auto"/>
              </w:rPr>
            </w:pPr>
          </w:p>
        </w:tc>
        <w:tc>
          <w:tcPr>
            <w:tcW w:w="200" w:type="dxa"/>
            <w:vAlign w:val="bottom"/>
            <w:tcBorders>
              <w:bottom w:val="single" w:sz="8" w:color="A1A1A1"/>
            </w:tcBorders>
          </w:tcPr>
          <w:p>
            <w:pPr>
              <w:spacing w:after="0"/>
              <w:rPr>
                <w:sz w:val="24"/>
                <w:szCs w:val="24"/>
                <w:color w:val="auto"/>
              </w:rPr>
            </w:pPr>
          </w:p>
        </w:tc>
        <w:tc>
          <w:tcPr>
            <w:tcW w:w="520" w:type="dxa"/>
            <w:vAlign w:val="bottom"/>
            <w:tcBorders>
              <w:bottom w:val="single" w:sz="8" w:color="A1A1A1"/>
            </w:tcBorders>
          </w:tcPr>
          <w:p>
            <w:pPr>
              <w:spacing w:after="0"/>
              <w:rPr>
                <w:sz w:val="24"/>
                <w:szCs w:val="24"/>
                <w:color w:val="auto"/>
              </w:rPr>
            </w:pPr>
          </w:p>
        </w:tc>
        <w:tc>
          <w:tcPr>
            <w:tcW w:w="260" w:type="dxa"/>
            <w:vAlign w:val="bottom"/>
            <w:tcBorders>
              <w:bottom w:val="single" w:sz="8" w:color="A1A1A1"/>
            </w:tcBorders>
          </w:tcPr>
          <w:p>
            <w:pPr>
              <w:spacing w:after="0"/>
              <w:rPr>
                <w:sz w:val="24"/>
                <w:szCs w:val="24"/>
                <w:color w:val="auto"/>
              </w:rPr>
            </w:pPr>
          </w:p>
        </w:tc>
        <w:tc>
          <w:tcPr>
            <w:tcW w:w="900" w:type="dxa"/>
            <w:vAlign w:val="bottom"/>
            <w:tcBorders>
              <w:bottom w:val="single" w:sz="8" w:color="A1A1A1"/>
            </w:tcBorders>
          </w:tcPr>
          <w:p>
            <w:pPr>
              <w:spacing w:after="0"/>
              <w:rPr>
                <w:sz w:val="24"/>
                <w:szCs w:val="24"/>
                <w:color w:val="auto"/>
              </w:rPr>
            </w:pPr>
          </w:p>
        </w:tc>
        <w:tc>
          <w:tcPr>
            <w:tcW w:w="320" w:type="dxa"/>
            <w:vAlign w:val="bottom"/>
            <w:tcBorders>
              <w:bottom w:val="single" w:sz="8" w:color="A1A1A1"/>
            </w:tcBorders>
          </w:tcPr>
          <w:p>
            <w:pPr>
              <w:spacing w:after="0"/>
              <w:rPr>
                <w:sz w:val="24"/>
                <w:szCs w:val="24"/>
                <w:color w:val="auto"/>
              </w:rPr>
            </w:pPr>
          </w:p>
        </w:tc>
        <w:tc>
          <w:tcPr>
            <w:tcW w:w="500" w:type="dxa"/>
            <w:vAlign w:val="bottom"/>
            <w:tcBorders>
              <w:bottom w:val="single" w:sz="8" w:color="A1A1A1"/>
            </w:tcBorders>
          </w:tcPr>
          <w:p>
            <w:pPr>
              <w:spacing w:after="0"/>
              <w:rPr>
                <w:sz w:val="24"/>
                <w:szCs w:val="24"/>
                <w:color w:val="auto"/>
              </w:rPr>
            </w:pPr>
          </w:p>
        </w:tc>
        <w:tc>
          <w:tcPr>
            <w:tcW w:w="120" w:type="dxa"/>
            <w:vAlign w:val="bottom"/>
            <w:tcBorders>
              <w:bottom w:val="single" w:sz="8" w:color="A1A1A1"/>
            </w:tcBorders>
          </w:tcPr>
          <w:p>
            <w:pPr>
              <w:spacing w:after="0"/>
              <w:rPr>
                <w:sz w:val="24"/>
                <w:szCs w:val="24"/>
                <w:color w:val="auto"/>
              </w:rPr>
            </w:pPr>
          </w:p>
        </w:tc>
        <w:tc>
          <w:tcPr>
            <w:tcW w:w="960" w:type="dxa"/>
            <w:vAlign w:val="bottom"/>
            <w:tcBorders>
              <w:bottom w:val="single" w:sz="8" w:color="A1A1A1"/>
            </w:tcBorders>
          </w:tcPr>
          <w:p>
            <w:pPr>
              <w:spacing w:after="0"/>
              <w:rPr>
                <w:sz w:val="24"/>
                <w:szCs w:val="24"/>
                <w:color w:val="auto"/>
              </w:rPr>
            </w:pPr>
          </w:p>
        </w:tc>
        <w:tc>
          <w:tcPr>
            <w:tcW w:w="180" w:type="dxa"/>
            <w:vAlign w:val="bottom"/>
            <w:tcBorders>
              <w:bottom w:val="single" w:sz="8" w:color="A1A1A1"/>
            </w:tcBorders>
          </w:tcPr>
          <w:p>
            <w:pPr>
              <w:spacing w:after="0"/>
              <w:rPr>
                <w:sz w:val="24"/>
                <w:szCs w:val="24"/>
                <w:color w:val="auto"/>
              </w:rPr>
            </w:pPr>
          </w:p>
        </w:tc>
        <w:tc>
          <w:tcPr>
            <w:tcW w:w="260" w:type="dxa"/>
            <w:vAlign w:val="bottom"/>
            <w:tcBorders>
              <w:bottom w:val="single" w:sz="8" w:color="A1A1A1"/>
            </w:tcBorders>
          </w:tcPr>
          <w:p>
            <w:pPr>
              <w:spacing w:after="0"/>
              <w:rPr>
                <w:sz w:val="24"/>
                <w:szCs w:val="24"/>
                <w:color w:val="auto"/>
              </w:rPr>
            </w:pPr>
          </w:p>
        </w:tc>
        <w:tc>
          <w:tcPr>
            <w:tcW w:w="920" w:type="dxa"/>
            <w:vAlign w:val="bottom"/>
            <w:tcBorders>
              <w:bottom w:val="single" w:sz="8" w:color="A1A1A1"/>
            </w:tcBorders>
          </w:tcPr>
          <w:p>
            <w:pPr>
              <w:spacing w:after="0"/>
              <w:rPr>
                <w:sz w:val="24"/>
                <w:szCs w:val="24"/>
                <w:color w:val="auto"/>
              </w:rPr>
            </w:pPr>
          </w:p>
        </w:tc>
        <w:tc>
          <w:tcPr>
            <w:tcW w:w="440" w:type="dxa"/>
            <w:vAlign w:val="bottom"/>
            <w:tcBorders>
              <w:bottom w:val="single" w:sz="8" w:color="A1A1A1"/>
            </w:tcBorders>
          </w:tcPr>
          <w:p>
            <w:pPr>
              <w:spacing w:after="0"/>
              <w:rPr>
                <w:sz w:val="24"/>
                <w:szCs w:val="24"/>
                <w:color w:val="auto"/>
              </w:rPr>
            </w:pPr>
          </w:p>
        </w:tc>
        <w:tc>
          <w:tcPr>
            <w:tcW w:w="520" w:type="dxa"/>
            <w:vAlign w:val="bottom"/>
            <w:tcBorders>
              <w:bottom w:val="single" w:sz="8" w:color="A1A1A1"/>
            </w:tcBorders>
          </w:tcPr>
          <w:p>
            <w:pPr>
              <w:spacing w:after="0"/>
              <w:rPr>
                <w:sz w:val="24"/>
                <w:szCs w:val="24"/>
                <w:color w:val="auto"/>
              </w:rPr>
            </w:pPr>
          </w:p>
        </w:tc>
        <w:tc>
          <w:tcPr>
            <w:tcW w:w="700" w:type="dxa"/>
            <w:vAlign w:val="bottom"/>
            <w:tcBorders>
              <w:bottom w:val="single" w:sz="8" w:color="A1A1A1"/>
            </w:tcBorders>
          </w:tcPr>
          <w:p>
            <w:pPr>
              <w:spacing w:after="0"/>
              <w:rPr>
                <w:sz w:val="24"/>
                <w:szCs w:val="24"/>
                <w:color w:val="auto"/>
              </w:rPr>
            </w:pPr>
          </w:p>
        </w:tc>
        <w:tc>
          <w:tcPr>
            <w:tcW w:w="60" w:type="dxa"/>
            <w:vAlign w:val="bottom"/>
            <w:tcBorders>
              <w:bottom w:val="single" w:sz="8" w:color="A1A1A1"/>
            </w:tcBorders>
          </w:tcPr>
          <w:p>
            <w:pPr>
              <w:spacing w:after="0"/>
              <w:rPr>
                <w:sz w:val="24"/>
                <w:szCs w:val="24"/>
                <w:color w:val="auto"/>
              </w:rPr>
            </w:pPr>
          </w:p>
        </w:tc>
        <w:tc>
          <w:tcPr>
            <w:tcW w:w="320" w:type="dxa"/>
            <w:vAlign w:val="bottom"/>
            <w:tcBorders>
              <w:bottom w:val="single" w:sz="8" w:color="A1A1A1"/>
            </w:tcBorders>
          </w:tcPr>
          <w:p>
            <w:pPr>
              <w:spacing w:after="0"/>
              <w:rPr>
                <w:sz w:val="24"/>
                <w:szCs w:val="24"/>
                <w:color w:val="auto"/>
              </w:rPr>
            </w:pPr>
          </w:p>
        </w:tc>
        <w:tc>
          <w:tcPr>
            <w:tcW w:w="220" w:type="dxa"/>
            <w:vAlign w:val="bottom"/>
            <w:tcBorders>
              <w:bottom w:val="single" w:sz="8" w:color="A1A1A1"/>
            </w:tcBorders>
          </w:tcPr>
          <w:p>
            <w:pPr>
              <w:spacing w:after="0"/>
              <w:rPr>
                <w:sz w:val="24"/>
                <w:szCs w:val="24"/>
                <w:color w:val="auto"/>
              </w:rPr>
            </w:pPr>
          </w:p>
        </w:tc>
        <w:tc>
          <w:tcPr>
            <w:tcW w:w="360" w:type="dxa"/>
            <w:vAlign w:val="bottom"/>
            <w:tcBorders>
              <w:bottom w:val="single" w:sz="8" w:color="A1A1A1"/>
            </w:tcBorders>
          </w:tcPr>
          <w:p>
            <w:pPr>
              <w:spacing w:after="0"/>
              <w:rPr>
                <w:sz w:val="24"/>
                <w:szCs w:val="24"/>
                <w:color w:val="auto"/>
              </w:rPr>
            </w:pPr>
          </w:p>
        </w:tc>
        <w:tc>
          <w:tcPr>
            <w:tcW w:w="260" w:type="dxa"/>
            <w:vAlign w:val="bottom"/>
            <w:tcBorders>
              <w:bottom w:val="single" w:sz="8" w:color="A1A1A1"/>
            </w:tcBorders>
          </w:tcPr>
          <w:p>
            <w:pPr>
              <w:spacing w:after="0"/>
              <w:rPr>
                <w:sz w:val="24"/>
                <w:szCs w:val="24"/>
                <w:color w:val="auto"/>
              </w:rPr>
            </w:pPr>
          </w:p>
        </w:tc>
        <w:tc>
          <w:tcPr>
            <w:tcW w:w="400" w:type="dxa"/>
            <w:vAlign w:val="bottom"/>
            <w:tcBorders>
              <w:bottom w:val="single" w:sz="8" w:color="A1A1A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-4568190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2025 Annual Meeting of Shareholders</w:t>
      </w: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Wednesday, June 18, 2025</w:t>
      </w: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9:00 a.m. Eastern Time</w:t>
      </w: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comcast.onlineshareholdermeeting.com</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4" w:lineRule="exact"/>
        <w:rPr>
          <w:sz w:val="20"/>
          <w:szCs w:val="20"/>
          <w:color w:val="auto"/>
        </w:rPr>
      </w:pPr>
    </w:p>
    <w:p>
      <w:pPr>
        <w:jc w:val="both"/>
        <w:ind w:left="540" w:right="240"/>
        <w:spacing w:after="0" w:line="238" w:lineRule="auto"/>
        <w:rPr>
          <w:sz w:val="20"/>
          <w:szCs w:val="20"/>
          <w:color w:val="auto"/>
        </w:rPr>
      </w:pPr>
      <w:r>
        <w:rPr>
          <w:rFonts w:ascii="Arial" w:cs="Arial" w:eastAsia="Arial" w:hAnsi="Arial"/>
          <w:sz w:val="18"/>
          <w:szCs w:val="18"/>
          <w:color w:val="auto"/>
        </w:rPr>
        <w:t>If you would like to reduce the impact on the environment and save our company money on the costs incurred in mailing proxy materials, you can consent to receiving all future Notices of Internet Availability of Proxy Materials, proxy statements, proxy cards and Annual Reports on Form 10-K electronically via e-mail or the Internet. To sign up, please follow the instructions on the reverse side to vote by Internet before the Meeting and, when prompted, indicate that you agree to receive or access shareholder communications electronically in future years. For further details regarding electronic delivery, please see the "General Information — Notice of Electronic Availability of Proxy Materials" section of our proxy statement.</w:t>
      </w:r>
    </w:p>
    <w:p>
      <w:pPr>
        <w:spacing w:after="0" w:line="18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u w:val="single" w:color="auto"/>
          <w:color w:val="auto"/>
        </w:rPr>
        <w:t>Important Notice Regarding the Availability of Proxy Materials for the Annual Meeting:</w:t>
      </w:r>
    </w:p>
    <w:p>
      <w:pPr>
        <w:spacing w:after="0" w:line="14" w:lineRule="exact"/>
        <w:rPr>
          <w:sz w:val="20"/>
          <w:szCs w:val="20"/>
          <w:color w:val="auto"/>
        </w:rPr>
      </w:pPr>
    </w:p>
    <w:p>
      <w:pPr>
        <w:jc w:val="center"/>
        <w:ind w:left="580" w:right="960"/>
        <w:spacing w:after="0" w:line="250" w:lineRule="auto"/>
        <w:rPr>
          <w:sz w:val="20"/>
          <w:szCs w:val="20"/>
          <w:color w:val="auto"/>
        </w:rPr>
      </w:pPr>
      <w:r>
        <w:rPr>
          <w:rFonts w:ascii="Arial" w:cs="Arial" w:eastAsia="Arial" w:hAnsi="Arial"/>
          <w:sz w:val="18"/>
          <w:szCs w:val="18"/>
          <w:color w:val="auto"/>
        </w:rPr>
        <w:t>The Notice of Internet Availability of Proxy Materials, the Proxy Statement and the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720"/>
        <w:spacing w:after="0"/>
        <w:rPr>
          <w:sz w:val="20"/>
          <w:szCs w:val="20"/>
          <w:color w:val="auto"/>
        </w:rPr>
      </w:pPr>
      <w:r>
        <w:rPr>
          <w:rFonts w:ascii="Arial" w:cs="Arial" w:eastAsia="Arial" w:hAnsi="Arial"/>
          <w:sz w:val="13"/>
          <w:szCs w:val="13"/>
          <w:color w:val="auto"/>
        </w:rPr>
        <w:t>V63629-P27453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27875" cy="41960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27875" cy="419608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THIS PROXY IS SOLICITED ON BEHALF OF THE BOARD OF DIRECTORS FOR</w:t>
      </w:r>
    </w:p>
    <w:p>
      <w:pPr>
        <w:jc w:val="center"/>
        <w:ind w:right="-319"/>
        <w:spacing w:after="0"/>
        <w:rPr>
          <w:sz w:val="20"/>
          <w:szCs w:val="20"/>
          <w:color w:val="auto"/>
        </w:rPr>
      </w:pPr>
      <w:r>
        <w:rPr>
          <w:rFonts w:ascii="Arial" w:cs="Arial" w:eastAsia="Arial" w:hAnsi="Arial"/>
          <w:sz w:val="18"/>
          <w:szCs w:val="18"/>
          <w:b w:val="1"/>
          <w:bCs w:val="1"/>
          <w:color w:val="auto"/>
        </w:rPr>
        <w:t>THE ANNUAL MEETING OF SHAREHOLDERS ON JUNE 18, 2025.</w:t>
      </w:r>
    </w:p>
    <w:p>
      <w:pPr>
        <w:spacing w:after="0" w:line="227" w:lineRule="exact"/>
        <w:rPr>
          <w:sz w:val="20"/>
          <w:szCs w:val="20"/>
          <w:color w:val="auto"/>
        </w:rPr>
      </w:pPr>
    </w:p>
    <w:p>
      <w:pPr>
        <w:jc w:val="both"/>
        <w:ind w:left="320"/>
        <w:spacing w:after="0" w:line="353" w:lineRule="auto"/>
        <w:rPr>
          <w:sz w:val="20"/>
          <w:szCs w:val="20"/>
          <w:color w:val="auto"/>
        </w:rPr>
      </w:pPr>
      <w:r>
        <w:rPr>
          <w:rFonts w:ascii="Arial" w:cs="Arial" w:eastAsia="Arial" w:hAnsi="Arial"/>
          <w:sz w:val="13"/>
          <w:szCs w:val="13"/>
          <w:color w:val="auto"/>
        </w:rPr>
        <w:t>I hereby appoint Michael J. Cavanagh and Thomas J. Reid, and each of them acting individually, as proxies, with the powers I would possess if personally present, and with full power of substitution, to vote all shares in Comcast Corporation at the Annual Meeting of Shareholders to be held live via the Internet at comcast.onlineshareholdermeeting.com at 9:00 a.m. Eastern Time on June 18, 2025, and at any adjournment or postponement thereof, upon all matters described in the proxy statement that may properly come before the meeting, in accordance with my instructions on the reverse side of this proxy card. In the event that any other matter may properly come before the meeting, or any adjournment or postponement thereof, the proxies are each authorized to vote on such matter in their discretion, including for any replacement nominee nominated for director by the Board of Directors of Comcast Corporation if a director nominee on this proxy card becomes unavailable to serve. I hereby revoke all previous proxies given to vote at the Annual Meeting or any adjournment or postponement thereof.</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 acknowledge receipt of the notice of Annual Meeting of Shareholders, the proxy statement and the Annual Report on Form 10-K of Comcast Corporation.</w:t>
      </w:r>
    </w:p>
    <w:p>
      <w:pPr>
        <w:spacing w:after="0" w:line="242" w:lineRule="exact"/>
        <w:rPr>
          <w:sz w:val="20"/>
          <w:szCs w:val="20"/>
          <w:color w:val="auto"/>
        </w:rPr>
      </w:pPr>
    </w:p>
    <w:p>
      <w:pPr>
        <w:jc w:val="both"/>
        <w:ind w:left="320"/>
        <w:spacing w:after="0" w:line="353" w:lineRule="auto"/>
        <w:rPr>
          <w:sz w:val="20"/>
          <w:szCs w:val="20"/>
          <w:color w:val="auto"/>
        </w:rPr>
      </w:pPr>
      <w:r>
        <w:rPr>
          <w:rFonts w:ascii="Arial" w:cs="Arial" w:eastAsia="Arial" w:hAnsi="Arial"/>
          <w:sz w:val="13"/>
          <w:szCs w:val="13"/>
          <w:color w:val="auto"/>
        </w:rPr>
        <w:t xml:space="preserve">The shares represented by this proxy card will be voted in accordance with your instructions if the card is signed and returned. If you are voting with this proxy card, please mark your choices on the other side of this proxy card, sign it where indicated on the other side and return it promptly to Vote Processing, Comcast Corporation, c/o Broadridge Financial Solutions, 51 Mercedes Way, Edgewood, NY 11717. </w:t>
      </w:r>
      <w:r>
        <w:rPr>
          <w:rFonts w:ascii="Arial" w:cs="Arial" w:eastAsia="Arial" w:hAnsi="Arial"/>
          <w:sz w:val="13"/>
          <w:szCs w:val="13"/>
          <w:b w:val="1"/>
          <w:bCs w:val="1"/>
          <w:color w:val="auto"/>
        </w:rPr>
        <w:t>If your card is signed and returned without instructions, the shares will be voted in favor of all of the</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director nominees and any replacement nominee, in favor of Proposals 2, 3 and 4, and against Proposals 5 and 6. </w:t>
      </w:r>
      <w:r>
        <w:rPr>
          <w:rFonts w:ascii="Arial" w:cs="Arial" w:eastAsia="Arial" w:hAnsi="Arial"/>
          <w:sz w:val="13"/>
          <w:szCs w:val="13"/>
          <w:color w:val="auto"/>
        </w:rPr>
        <w:t>If you are voting shares held in the Comcast Employee</w:t>
      </w:r>
      <w:r>
        <w:rPr>
          <w:rFonts w:ascii="Arial" w:cs="Arial" w:eastAsia="Arial" w:hAnsi="Arial"/>
          <w:sz w:val="13"/>
          <w:szCs w:val="13"/>
          <w:b w:val="1"/>
          <w:bCs w:val="1"/>
          <w:color w:val="auto"/>
        </w:rPr>
        <w:t xml:space="preserve"> </w:t>
      </w:r>
      <w:r>
        <w:rPr>
          <w:rFonts w:ascii="Arial" w:cs="Arial" w:eastAsia="Arial" w:hAnsi="Arial"/>
          <w:sz w:val="13"/>
          <w:szCs w:val="13"/>
          <w:color w:val="auto"/>
        </w:rPr>
        <w:t>Stock Purchase Plan or the Comcast-NBCUniversal Employee Stock Purchase Plan, voting by Internet, telephone, mail or in person by ballot will vote all of the shares held by you in such plans, as well as any shares held by you as a shareholder of record. If you hold shares that are not represented by this proxy card, you will receive additional proxy card(s) by mail that will allow you to vote the remaining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Arial" w:cs="Arial" w:eastAsia="Arial" w:hAnsi="Arial"/>
          <w:sz w:val="13"/>
          <w:szCs w:val="13"/>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940"/>
      </w:cols>
      <w:pgMar w:left="320" w:top="122"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2"/>
      <w:numFmt w:val="bullet"/>
      <w:start w:val="1"/>
    </w:lvl>
  </w:abstractNum>
  <w:abstractNum w:abstractNumId="4">
    <w:nsid w:val="A0382C5"/>
    <w:multiLevelType w:val="hybridMultilevel"/>
    <w:lvl w:ilvl="0">
      <w:lvlJc w:val="left"/>
      <w:lvlText w:val="4"/>
      <w:numFmt w:val="bullet"/>
      <w:start w:val="1"/>
    </w:lvl>
  </w:abstractNum>
  <w:abstractNum w:abstractNumId="5">
    <w:nsid w:val="8F2B15E"/>
    <w:multiLevelType w:val="hybridMultilevel"/>
    <w:lvl w:ilvl="0">
      <w:lvlJc w:val="left"/>
      <w:lvlText w:val="(%1)"/>
      <w:numFmt w:val="decimal"/>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6"/>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8"/>
      <w:numFmt w:val="bullet"/>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1"/>
      <w:numFmt w:val="decimal"/>
      <w:start w:val="10"/>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1"/>
      <w:numFmt w:val="decimal"/>
      <w:start w:val="12"/>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1"/>
      <w:numFmt w:val="decimal"/>
      <w:start w:val="14"/>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1"/>
      <w:numFmt w:val="decimal"/>
      <w:start w:val="16"/>
    </w:lvl>
  </w:abstractNum>
  <w:abstractNum w:abstractNumId="32">
    <w:nsid w:val="39EE015C"/>
    <w:multiLevelType w:val="hybridMultilevel"/>
    <w:lvl w:ilvl="0">
      <w:lvlJc w:val="left"/>
      <w:lvlText w:val="●"/>
      <w:numFmt w:val="bullet"/>
      <w:start w:val="1"/>
    </w:lvl>
  </w:abstractNum>
  <w:abstractNum w:abstractNumId="33">
    <w:nsid w:val="57FC4FBB"/>
    <w:multiLevelType w:val="hybridMultilevel"/>
    <w:lvl w:ilvl="0">
      <w:lvlJc w:val="left"/>
      <w:lvlText w:val="●"/>
      <w:numFmt w:val="bullet"/>
      <w:start w:val="1"/>
    </w:lvl>
  </w:abstractNum>
  <w:abstractNum w:abstractNumId="34">
    <w:nsid w:val="CC1016F"/>
    <w:multiLevelType w:val="hybridMultilevel"/>
    <w:lvl w:ilvl="0">
      <w:lvlJc w:val="left"/>
      <w:lvlText w:val="●"/>
      <w:numFmt w:val="bullet"/>
      <w:start w:val="1"/>
    </w:lvl>
  </w:abstractNum>
  <w:abstractNum w:abstractNumId="35">
    <w:nsid w:val="43F18422"/>
    <w:multiLevelType w:val="hybridMultilevel"/>
    <w:lvl w:ilvl="0">
      <w:lvlJc w:val="left"/>
      <w:lvlText w:val="●"/>
      <w:numFmt w:val="bullet"/>
      <w:start w:val="1"/>
    </w:lvl>
  </w:abstractNum>
  <w:abstractNum w:abstractNumId="36">
    <w:nsid w:val="60EF0119"/>
    <w:multiLevelType w:val="hybridMultilevel"/>
    <w:lvl w:ilvl="0">
      <w:lvlJc w:val="left"/>
      <w:lvlText w:val="●"/>
      <w:numFmt w:val="bullet"/>
      <w:start w:val="1"/>
    </w:lvl>
  </w:abstractNum>
  <w:abstractNum w:abstractNumId="37">
    <w:nsid w:val="26F324BA"/>
    <w:multiLevelType w:val="hybridMultilevel"/>
    <w:lvl w:ilvl="0">
      <w:lvlJc w:val="left"/>
      <w:lvlText w:val="●"/>
      <w:numFmt w:val="bullet"/>
      <w:start w:val="1"/>
    </w:lvl>
  </w:abstractNum>
  <w:abstractNum w:abstractNumId="38">
    <w:nsid w:val="7F01579B"/>
    <w:multiLevelType w:val="hybridMultilevel"/>
    <w:lvl w:ilvl="0">
      <w:lvlJc w:val="left"/>
      <w:lvlText w:val="%1"/>
      <w:numFmt w:val="decimal"/>
      <w:start w:val="18"/>
    </w:lvl>
  </w:abstractNum>
  <w:abstractNum w:abstractNumId="39">
    <w:nsid w:val="49DA307D"/>
    <w:multiLevelType w:val="hybridMultilevel"/>
    <w:lvl w:ilvl="0">
      <w:lvlJc w:val="left"/>
      <w:lvlText w:val="●"/>
      <w:numFmt w:val="bullet"/>
      <w:start w:val="1"/>
    </w:lvl>
  </w:abstractNum>
  <w:abstractNum w:abstractNumId="40">
    <w:nsid w:val="7055A5F5"/>
    <w:multiLevelType w:val="hybridMultilevel"/>
    <w:lvl w:ilvl="0">
      <w:lvlJc w:val="left"/>
      <w:lvlText w:val="●"/>
      <w:numFmt w:val="bullet"/>
      <w:start w:val="1"/>
    </w:lvl>
  </w:abstractNum>
  <w:abstractNum w:abstractNumId="41">
    <w:nsid w:val="5FB8370B"/>
    <w:multiLevelType w:val="hybridMultilevel"/>
    <w:lvl w:ilvl="0">
      <w:lvlJc w:val="left"/>
      <w:lvlText w:val="●"/>
      <w:numFmt w:val="bullet"/>
      <w:start w:val="1"/>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
      <w:numFmt w:val="bullet"/>
      <w:start w:val="1"/>
    </w:lvl>
  </w:abstractNum>
  <w:abstractNum w:abstractNumId="44">
    <w:nsid w:val="5FB8011C"/>
    <w:multiLevelType w:val="hybridMultilevel"/>
    <w:lvl w:ilvl="0">
      <w:lvlJc w:val="left"/>
      <w:lvlText w:val="●"/>
      <w:numFmt w:val="bullet"/>
      <w:start w:val="1"/>
    </w:lvl>
  </w:abstractNum>
  <w:abstractNum w:abstractNumId="45">
    <w:nsid w:val="6AA78F7F"/>
    <w:multiLevelType w:val="hybridMultilevel"/>
    <w:lvl w:ilvl="0">
      <w:lvlJc w:val="left"/>
      <w:lvlText w:val="●"/>
      <w:numFmt w:val="bullet"/>
      <w:start w:val="1"/>
    </w:lvl>
  </w:abstractNum>
  <w:abstractNum w:abstractNumId="46">
    <w:nsid w:val="7672BD23"/>
    <w:multiLevelType w:val="hybridMultilevel"/>
    <w:lvl w:ilvl="0">
      <w:lvlJc w:val="left"/>
      <w:lvlText w:val="●"/>
      <w:numFmt w:val="bullet"/>
      <w:start w:val="1"/>
    </w:lvl>
  </w:abstractNum>
  <w:abstractNum w:abstractNumId="47">
    <w:nsid w:val="6FC75AF8"/>
    <w:multiLevelType w:val="hybridMultilevel"/>
    <w:lvl w:ilvl="0">
      <w:lvlJc w:val="left"/>
      <w:lvlText w:val="%1"/>
      <w:numFmt w:val="decimal"/>
      <w:start w:val="20"/>
    </w:lvl>
  </w:abstractNum>
  <w:abstractNum w:abstractNumId="48">
    <w:nsid w:val="6A5F7029"/>
    <w:multiLevelType w:val="hybridMultilevel"/>
    <w:lvl w:ilvl="0">
      <w:lvlJc w:val="left"/>
      <w:lvlText w:val="●"/>
      <w:numFmt w:val="bullet"/>
      <w:start w:val="1"/>
    </w:lvl>
  </w:abstractNum>
  <w:abstractNum w:abstractNumId="49">
    <w:nsid w:val="7D5E18F8"/>
    <w:multiLevelType w:val="hybridMultilevel"/>
    <w:lvl w:ilvl="0">
      <w:lvlJc w:val="left"/>
      <w:lvlText w:val="●"/>
      <w:numFmt w:val="bullet"/>
      <w:start w:val="1"/>
    </w:lvl>
  </w:abstractNum>
  <w:abstractNum w:abstractNumId="50">
    <w:nsid w:val="5F3534A4"/>
    <w:multiLevelType w:val="hybridMultilevel"/>
    <w:lvl w:ilvl="0">
      <w:lvlJc w:val="left"/>
      <w:lvlText w:val="●"/>
      <w:numFmt w:val="bullet"/>
      <w:start w:val="1"/>
    </w:lvl>
  </w:abstractNum>
  <w:abstractNum w:abstractNumId="51">
    <w:nsid w:val="73A1821B"/>
    <w:multiLevelType w:val="hybridMultilevel"/>
    <w:lvl w:ilvl="0">
      <w:lvlJc w:val="left"/>
      <w:lvlText w:val="%1"/>
      <w:numFmt w:val="decimal"/>
      <w:start w:val="22"/>
    </w:lvl>
  </w:abstractNum>
  <w:abstractNum w:abstractNumId="52">
    <w:nsid w:val="7DE67713"/>
    <w:multiLevelType w:val="hybridMultilevel"/>
    <w:lvl w:ilvl="0">
      <w:lvlJc w:val="left"/>
      <w:lvlText w:val="●"/>
      <w:numFmt w:val="bullet"/>
      <w:start w:val="1"/>
    </w:lvl>
  </w:abstractNum>
  <w:abstractNum w:abstractNumId="53">
    <w:nsid w:val="555C55B5"/>
    <w:multiLevelType w:val="hybridMultilevel"/>
    <w:lvl w:ilvl="0">
      <w:lvlJc w:val="left"/>
      <w:lvlText w:val="%1"/>
      <w:numFmt w:val="decimal"/>
      <w:start w:val="24"/>
    </w:lvl>
  </w:abstractNum>
  <w:abstractNum w:abstractNumId="54">
    <w:nsid w:val="3FA62ACA"/>
    <w:multiLevelType w:val="hybridMultilevel"/>
    <w:lvl w:ilvl="0">
      <w:lvlJc w:val="left"/>
      <w:lvlText w:val="●"/>
      <w:numFmt w:val="bullet"/>
      <w:start w:val="1"/>
    </w:lvl>
  </w:abstractNum>
  <w:abstractNum w:abstractNumId="55">
    <w:nsid w:val="14FCE74E"/>
    <w:multiLevelType w:val="hybridMultilevel"/>
    <w:lvl w:ilvl="0">
      <w:lvlJc w:val="left"/>
      <w:lvlText w:val="●"/>
      <w:numFmt w:val="bullet"/>
      <w:start w:val="1"/>
    </w:lvl>
  </w:abstractNum>
  <w:abstractNum w:abstractNumId="56">
    <w:nsid w:val="6A3DD3E8"/>
    <w:multiLevelType w:val="hybridMultilevel"/>
    <w:lvl w:ilvl="0">
      <w:lvlJc w:val="left"/>
      <w:lvlText w:val="%1"/>
      <w:numFmt w:val="decimal"/>
      <w:start w:val="26"/>
    </w:lvl>
  </w:abstractNum>
  <w:abstractNum w:abstractNumId="57">
    <w:nsid w:val="71C91298"/>
    <w:multiLevelType w:val="hybridMultilevel"/>
    <w:lvl w:ilvl="0">
      <w:lvlJc w:val="left"/>
      <w:lvlText w:val="%1"/>
      <w:numFmt w:val="decimal"/>
      <w:start w:val="28"/>
    </w:lvl>
  </w:abstractNum>
  <w:abstractNum w:abstractNumId="58">
    <w:nsid w:val="9DAF632"/>
    <w:multiLevelType w:val="hybridMultilevel"/>
    <w:lvl w:ilvl="0">
      <w:lvlJc w:val="left"/>
      <w:lvlText w:val="✓"/>
      <w:numFmt w:val="bullet"/>
      <w:start w:val="1"/>
    </w:lvl>
    <w:lvl w:ilvl="1">
      <w:lvlJc w:val="left"/>
      <w:lvlText w:val="●"/>
      <w:numFmt w:val="bullet"/>
      <w:start w:val="1"/>
    </w:lvl>
  </w:abstractNum>
  <w:abstractNum w:abstractNumId="59">
    <w:nsid w:val="53299938"/>
    <w:multiLevelType w:val="hybridMultilevel"/>
    <w:lvl w:ilvl="0">
      <w:lvlJc w:val="left"/>
      <w:lvlText w:val="✕"/>
      <w:numFmt w:val="bullet"/>
      <w:start w:val="1"/>
    </w:lvl>
  </w:abstractNum>
  <w:abstractNum w:abstractNumId="60">
    <w:nsid w:val="1FBFE8E0"/>
    <w:multiLevelType w:val="hybridMultilevel"/>
    <w:lvl w:ilvl="0">
      <w:lvlJc w:val="left"/>
      <w:lvlText w:val="●"/>
      <w:numFmt w:val="bullet"/>
      <w:start w:val="1"/>
    </w:lvl>
  </w:abstractNum>
  <w:abstractNum w:abstractNumId="61">
    <w:nsid w:val="5092CA79"/>
    <w:multiLevelType w:val="hybridMultilevel"/>
    <w:lvl w:ilvl="0">
      <w:lvlJc w:val="left"/>
      <w:lvlText w:val="●"/>
      <w:numFmt w:val="bullet"/>
      <w:start w:val="1"/>
    </w:lvl>
  </w:abstractNum>
  <w:abstractNum w:abstractNumId="62">
    <w:nsid w:val="1D545C4D"/>
    <w:multiLevelType w:val="hybridMultilevel"/>
    <w:lvl w:ilvl="0">
      <w:lvlJc w:val="left"/>
      <w:lvlText w:val="%1"/>
      <w:numFmt w:val="decimal"/>
      <w:start w:val="30"/>
    </w:lvl>
  </w:abstractNum>
  <w:abstractNum w:abstractNumId="63">
    <w:nsid w:val="59ADEA3D"/>
    <w:multiLevelType w:val="hybridMultilevel"/>
    <w:lvl w:ilvl="0">
      <w:lvlJc w:val="left"/>
      <w:lvlText w:val="●"/>
      <w:numFmt w:val="bullet"/>
      <w:start w:val="1"/>
    </w:lvl>
  </w:abstractNum>
  <w:abstractNum w:abstractNumId="64">
    <w:nsid w:val="288F1A34"/>
    <w:multiLevelType w:val="hybridMultilevel"/>
    <w:lvl w:ilvl="0">
      <w:lvlJc w:val="left"/>
      <w:lvlText w:val="(%1)"/>
      <w:numFmt w:val="decimal"/>
      <w:start w:val="1"/>
    </w:lvl>
  </w:abstractNum>
  <w:abstractNum w:abstractNumId="65">
    <w:nsid w:val="2A155DBC"/>
    <w:multiLevelType w:val="hybridMultilevel"/>
    <w:lvl w:ilvl="0">
      <w:lvlJc w:val="left"/>
      <w:lvlText w:val="●"/>
      <w:numFmt w:val="bullet"/>
      <w:start w:val="1"/>
    </w:lvl>
  </w:abstractNum>
  <w:abstractNum w:abstractNumId="66">
    <w:nsid w:val="1D9F6E5F"/>
    <w:multiLevelType w:val="hybridMultilevel"/>
    <w:lvl w:ilvl="0">
      <w:lvlJc w:val="left"/>
      <w:lvlText w:val="%1"/>
      <w:numFmt w:val="decimal"/>
      <w:start w:val="32"/>
    </w:lvl>
  </w:abstractNum>
  <w:abstractNum w:abstractNumId="67">
    <w:nsid w:val="97E1B4E"/>
    <w:multiLevelType w:val="hybridMultilevel"/>
    <w:lvl w:ilvl="0">
      <w:lvlJc w:val="left"/>
      <w:lvlText w:val="%1"/>
      <w:numFmt w:val="decimal"/>
      <w:start w:val="34"/>
    </w:lvl>
  </w:abstractNum>
  <w:abstractNum w:abstractNumId="68">
    <w:nsid w:val="51088277"/>
    <w:multiLevelType w:val="hybridMultilevel"/>
    <w:lvl w:ilvl="0">
      <w:lvlJc w:val="left"/>
      <w:lvlText w:val="●"/>
      <w:numFmt w:val="bullet"/>
      <w:start w:val="1"/>
    </w:lvl>
  </w:abstractNum>
  <w:abstractNum w:abstractNumId="69">
    <w:nsid w:val="1CA0C5FA"/>
    <w:multiLevelType w:val="hybridMultilevel"/>
    <w:lvl w:ilvl="0">
      <w:lvlJc w:val="left"/>
      <w:lvlText w:val="●"/>
      <w:numFmt w:val="bullet"/>
      <w:start w:val="1"/>
    </w:lvl>
    <w:lvl w:ilvl="1">
      <w:lvlJc w:val="left"/>
      <w:lvlText w:val="●"/>
      <w:numFmt w:val="bullet"/>
      <w:start w:val="1"/>
    </w:lvl>
  </w:abstractNum>
  <w:abstractNum w:abstractNumId="70">
    <w:nsid w:val="53584BCB"/>
    <w:multiLevelType w:val="hybridMultilevel"/>
    <w:lvl w:ilvl="0">
      <w:lvlJc w:val="left"/>
      <w:lvlText w:val="%1"/>
      <w:numFmt w:val="decimal"/>
      <w:start w:val="36"/>
    </w:lvl>
  </w:abstractNum>
  <w:abstractNum w:abstractNumId="71">
    <w:nsid w:val="415E286C"/>
    <w:multiLevelType w:val="hybridMultilevel"/>
    <w:lvl w:ilvl="0">
      <w:lvlJc w:val="left"/>
      <w:lvlText w:val="●"/>
      <w:numFmt w:val="bullet"/>
      <w:start w:val="1"/>
    </w:lvl>
  </w:abstractNum>
  <w:abstractNum w:abstractNumId="72">
    <w:nsid w:val="7C58FD05"/>
    <w:multiLevelType w:val="hybridMultilevel"/>
    <w:lvl w:ilvl="0">
      <w:lvlJc w:val="left"/>
      <w:lvlText w:val="●"/>
      <w:numFmt w:val="bullet"/>
      <w:start w:val="1"/>
    </w:lvl>
  </w:abstractNum>
  <w:abstractNum w:abstractNumId="73">
    <w:nsid w:val="23D86AAC"/>
    <w:multiLevelType w:val="hybridMultilevel"/>
    <w:lvl w:ilvl="0">
      <w:lvlJc w:val="left"/>
      <w:lvlText w:val="●"/>
      <w:numFmt w:val="bullet"/>
      <w:start w:val="1"/>
    </w:lvl>
  </w:abstractNum>
  <w:abstractNum w:abstractNumId="74">
    <w:nsid w:val="45E6D486"/>
    <w:multiLevelType w:val="hybridMultilevel"/>
    <w:lvl w:ilvl="0">
      <w:lvlJc w:val="left"/>
      <w:lvlText w:val="%1"/>
      <w:numFmt w:val="decimal"/>
      <w:start w:val="38"/>
    </w:lvl>
  </w:abstractNum>
  <w:abstractNum w:abstractNumId="75">
    <w:nsid w:val="5C10FE21"/>
    <w:multiLevelType w:val="hybridMultilevel"/>
    <w:lvl w:ilvl="0">
      <w:lvlJc w:val="left"/>
      <w:lvlText w:val="(%1)"/>
      <w:numFmt w:val="decimal"/>
      <w:start w:val="1"/>
    </w:lvl>
  </w:abstractNum>
  <w:abstractNum w:abstractNumId="76">
    <w:nsid w:val="E7FFA2B"/>
    <w:multiLevelType w:val="hybridMultilevel"/>
    <w:lvl w:ilvl="0">
      <w:lvlJc w:val="left"/>
      <w:lvlText w:val="%1"/>
      <w:numFmt w:val="decimal"/>
      <w:start w:val="40"/>
    </w:lvl>
  </w:abstractNum>
  <w:abstractNum w:abstractNumId="77">
    <w:nsid w:val="3C5991AA"/>
    <w:multiLevelType w:val="hybridMultilevel"/>
    <w:lvl w:ilvl="0">
      <w:lvlJc w:val="left"/>
      <w:lvlText w:val="(%1)"/>
      <w:numFmt w:val="decimal"/>
      <w:start w:val="2"/>
    </w:lvl>
  </w:abstractNum>
  <w:abstractNum w:abstractNumId="78">
    <w:nsid w:val="4BD8591A"/>
    <w:multiLevelType w:val="hybridMultilevel"/>
    <w:lvl w:ilvl="0">
      <w:lvlJc w:val="left"/>
      <w:lvlText w:val="(%1)"/>
      <w:numFmt w:val="decimal"/>
      <w:start w:val="1"/>
    </w:lvl>
  </w:abstractNum>
  <w:abstractNum w:abstractNumId="79">
    <w:nsid w:val="78DF6A55"/>
    <w:multiLevelType w:val="hybridMultilevel"/>
    <w:lvl w:ilvl="0">
      <w:lvlJc w:val="left"/>
      <w:lvlText w:val="%1"/>
      <w:numFmt w:val="decimal"/>
      <w:start w:val="42"/>
    </w:lvl>
  </w:abstractNum>
  <w:abstractNum w:abstractNumId="80">
    <w:nsid w:val="39B7AAA2"/>
    <w:multiLevelType w:val="hybridMultilevel"/>
    <w:lvl w:ilvl="0">
      <w:lvlJc w:val="left"/>
      <w:lvlText w:val="\emdash "/>
      <w:numFmt w:val="bullet"/>
      <w:start w:val="1"/>
    </w:lvl>
  </w:abstractNum>
  <w:abstractNum w:abstractNumId="81">
    <w:nsid w:val="2B0D8DBE"/>
    <w:multiLevelType w:val="hybridMultilevel"/>
    <w:lvl w:ilvl="0">
      <w:lvlJc w:val="left"/>
      <w:lvlText w:val="(%1)"/>
      <w:numFmt w:val="decimal"/>
      <w:start w:val="1"/>
    </w:lvl>
  </w:abstractNum>
  <w:abstractNum w:abstractNumId="82">
    <w:nsid w:val="6C80EC70"/>
    <w:multiLevelType w:val="hybridMultilevel"/>
    <w:lvl w:ilvl="0">
      <w:lvlJc w:val="left"/>
      <w:lvlText w:val="(%1)"/>
      <w:numFmt w:val="lowerLetter"/>
      <w:start w:val="1"/>
    </w:lvl>
  </w:abstractNum>
  <w:abstractNum w:abstractNumId="83">
    <w:nsid w:val="379E21B5"/>
    <w:multiLevelType w:val="hybridMultilevel"/>
    <w:lvl w:ilvl="0">
      <w:lvlJc w:val="left"/>
      <w:lvlText w:val="%1"/>
      <w:numFmt w:val="decimal"/>
      <w:start w:val="44"/>
    </w:lvl>
  </w:abstractNum>
  <w:abstractNum w:abstractNumId="84">
    <w:nsid w:val="69E373"/>
    <w:multiLevelType w:val="hybridMultilevel"/>
    <w:lvl w:ilvl="0">
      <w:lvlJc w:val="left"/>
      <w:lvlText w:val="(%1)"/>
      <w:numFmt w:val="lowerLetter"/>
      <w:start w:val="2"/>
    </w:lvl>
  </w:abstractNum>
  <w:abstractNum w:abstractNumId="85">
    <w:nsid w:val="2C27173B"/>
    <w:multiLevelType w:val="hybridMultilevel"/>
    <w:lvl w:ilvl="0">
      <w:lvlJc w:val="left"/>
      <w:lvlText w:val="(%1)"/>
      <w:numFmt w:val="decimal"/>
      <w:start w:val="1"/>
    </w:lvl>
  </w:abstractNum>
  <w:abstractNum w:abstractNumId="86">
    <w:nsid w:val="4C9B0904"/>
    <w:multiLevelType w:val="hybridMultilevel"/>
    <w:lvl w:ilvl="0">
      <w:lvlJc w:val="left"/>
      <w:lvlText w:val="(%1)"/>
      <w:numFmt w:val="decimal"/>
      <w:start w:val="1"/>
    </w:lvl>
  </w:abstractNum>
  <w:abstractNum w:abstractNumId="87">
    <w:nsid w:val="6AA7B75C"/>
    <w:multiLevelType w:val="hybridMultilevel"/>
    <w:lvl w:ilvl="0">
      <w:lvlJc w:val="left"/>
      <w:lvlText w:val="(%1)"/>
      <w:numFmt w:val="decimal"/>
      <w:start w:val="2"/>
    </w:lvl>
  </w:abstractNum>
  <w:abstractNum w:abstractNumId="88">
    <w:nsid w:val="1DF029D3"/>
    <w:multiLevelType w:val="hybridMultilevel"/>
    <w:lvl w:ilvl="0">
      <w:lvlJc w:val="left"/>
      <w:lvlText w:val="%1"/>
      <w:numFmt w:val="decimal"/>
      <w:start w:val="46"/>
    </w:lvl>
  </w:abstractNum>
  <w:abstractNum w:abstractNumId="89">
    <w:nsid w:val="5675FF36"/>
    <w:multiLevelType w:val="hybridMultilevel"/>
    <w:lvl w:ilvl="0">
      <w:lvlJc w:val="left"/>
      <w:lvlText w:val="(%1)"/>
      <w:numFmt w:val="decimal"/>
      <w:start w:val="1"/>
    </w:lvl>
  </w:abstractNum>
  <w:abstractNum w:abstractNumId="90">
    <w:nsid w:val="3DD15094"/>
    <w:multiLevelType w:val="hybridMultilevel"/>
    <w:lvl w:ilvl="0">
      <w:lvlJc w:val="left"/>
      <w:lvlText w:val="(%1)"/>
      <w:numFmt w:val="decimal"/>
      <w:start w:val="5"/>
    </w:lvl>
  </w:abstractNum>
  <w:abstractNum w:abstractNumId="91">
    <w:nsid w:val="3DB012B3"/>
    <w:multiLevelType w:val="hybridMultilevel"/>
    <w:lvl w:ilvl="0">
      <w:lvlJc w:val="left"/>
      <w:lvlText w:val="(%1)"/>
      <w:numFmt w:val="decimal"/>
      <w:start w:val="1"/>
    </w:lvl>
  </w:abstractNum>
  <w:abstractNum w:abstractNumId="92">
    <w:nsid w:val="2708C9AF"/>
    <w:multiLevelType w:val="hybridMultilevel"/>
    <w:lvl w:ilvl="0">
      <w:lvlJc w:val="left"/>
      <w:lvlText w:val="%1"/>
      <w:numFmt w:val="decimal"/>
      <w:start w:val="48"/>
    </w:lvl>
  </w:abstractNum>
  <w:abstractNum w:abstractNumId="93">
    <w:nsid w:val="5B25ACE2"/>
    <w:multiLevelType w:val="hybridMultilevel"/>
    <w:lvl w:ilvl="0">
      <w:lvlJc w:val="left"/>
      <w:lvlText w:val="(%1)"/>
      <w:numFmt w:val="decimal"/>
      <w:start w:val="3"/>
    </w:lvl>
  </w:abstractNum>
  <w:abstractNum w:abstractNumId="94">
    <w:nsid w:val="175DFCF0"/>
    <w:multiLevelType w:val="hybridMultilevel"/>
    <w:lvl w:ilvl="0">
      <w:lvlJc w:val="left"/>
      <w:lvlText w:val="(%1)"/>
      <w:numFmt w:val="decimal"/>
      <w:start w:val="1"/>
    </w:lvl>
  </w:abstractNum>
  <w:abstractNum w:abstractNumId="95">
    <w:nsid w:val="4F97E3E4"/>
    <w:multiLevelType w:val="hybridMultilevel"/>
    <w:lvl w:ilvl="0">
      <w:lvlJc w:val="left"/>
      <w:lvlText w:val="(%1)"/>
      <w:numFmt w:val="decimal"/>
      <w:start w:val="3"/>
    </w:lvl>
  </w:abstractNum>
  <w:abstractNum w:abstractNumId="96">
    <w:nsid w:val="53B0A9E"/>
    <w:multiLevelType w:val="hybridMultilevel"/>
    <w:lvl w:ilvl="0">
      <w:lvlJc w:val="left"/>
      <w:lvlText w:val="%1"/>
      <w:numFmt w:val="decimal"/>
      <w:start w:val="50"/>
    </w:lvl>
  </w:abstractNum>
  <w:abstractNum w:abstractNumId="97">
    <w:nsid w:val="34FD6B4F"/>
    <w:multiLevelType w:val="hybridMultilevel"/>
    <w:lvl w:ilvl="0">
      <w:lvlJc w:val="left"/>
      <w:lvlText w:val="*"/>
      <w:numFmt w:val="bullet"/>
      <w:start w:val="1"/>
    </w:lvl>
  </w:abstractNum>
  <w:abstractNum w:abstractNumId="98">
    <w:nsid w:val="5915FF32"/>
    <w:multiLevelType w:val="hybridMultilevel"/>
    <w:lvl w:ilvl="0">
      <w:lvlJc w:val="left"/>
      <w:lvlText w:val="**"/>
      <w:numFmt w:val="bullet"/>
      <w:start w:val="1"/>
    </w:lvl>
  </w:abstractNum>
  <w:abstractNum w:abstractNumId="99">
    <w:nsid w:val="56438D15"/>
    <w:multiLevelType w:val="hybridMultilevel"/>
    <w:lvl w:ilvl="0">
      <w:lvlJc w:val="left"/>
      <w:lvlText w:val="(%1)"/>
      <w:numFmt w:val="decimal"/>
      <w:start w:val="6"/>
    </w:lvl>
  </w:abstractNum>
  <w:abstractNum w:abstractNumId="100">
    <w:nsid w:val="519E3149"/>
    <w:multiLevelType w:val="hybridMultilevel"/>
    <w:lvl w:ilvl="0">
      <w:lvlJc w:val="left"/>
      <w:lvlText w:val="%1."/>
      <w:numFmt w:val="decimal"/>
      <w:start w:val="1"/>
    </w:lvl>
  </w:abstractNum>
  <w:abstractNum w:abstractNumId="101">
    <w:nsid w:val="2C6E4AFD"/>
    <w:multiLevelType w:val="hybridMultilevel"/>
    <w:lvl w:ilvl="0">
      <w:lvlJc w:val="left"/>
      <w:lvlText w:val="1"/>
      <w:numFmt w:val="bullet"/>
      <w:start w:val="1"/>
    </w:lvl>
  </w:abstractNum>
  <w:abstractNum w:abstractNumId="102">
    <w:nsid w:val="17A1B582"/>
    <w:multiLevelType w:val="hybridMultilevel"/>
    <w:lvl w:ilvl="0">
      <w:lvlJc w:val="left"/>
      <w:lvlText w:val="●"/>
      <w:numFmt w:val="bullet"/>
      <w:start w:val="1"/>
    </w:lvl>
  </w:abstractNum>
  <w:abstractNum w:abstractNumId="103">
    <w:nsid w:val="4DF72E4E"/>
    <w:multiLevelType w:val="hybridMultilevel"/>
    <w:lvl w:ilvl="0">
      <w:lvlJc w:val="left"/>
      <w:lvlText w:val="%1"/>
      <w:numFmt w:val="decimal"/>
      <w:start w:val="52"/>
    </w:lvl>
  </w:abstractNum>
  <w:abstractNum w:abstractNumId="104">
    <w:nsid w:val="5046B5A9"/>
    <w:multiLevelType w:val="hybridMultilevel"/>
    <w:lvl w:ilvl="0">
      <w:lvlJc w:val="left"/>
      <w:lvlText w:val="●"/>
      <w:numFmt w:val="bullet"/>
      <w:start w:val="1"/>
    </w:lvl>
  </w:abstractNum>
  <w:abstractNum w:abstractNumId="105">
    <w:nsid w:val="5D888A08"/>
    <w:multiLevelType w:val="hybridMultilevel"/>
    <w:lvl w:ilvl="0">
      <w:lvlJc w:val="left"/>
      <w:lvlText w:val="1"/>
      <w:numFmt w:val="bullet"/>
      <w:start w:val="1"/>
    </w:lvl>
  </w:abstractNum>
  <w:abstractNum w:abstractNumId="106">
    <w:nsid w:val="2A082C70"/>
    <w:multiLevelType w:val="hybridMultilevel"/>
    <w:lvl w:ilvl="0">
      <w:lvlJc w:val="left"/>
      <w:lvlText w:val="●"/>
      <w:numFmt w:val="bullet"/>
      <w:start w:val="1"/>
    </w:lvl>
  </w:abstractNum>
  <w:abstractNum w:abstractNumId="107">
    <w:nsid w:val="5EC6AFD4"/>
    <w:multiLevelType w:val="hybridMultilevel"/>
    <w:lvl w:ilvl="0">
      <w:lvlJc w:val="left"/>
      <w:lvlText w:val="●"/>
      <w:numFmt w:val="bullet"/>
      <w:start w:val="1"/>
    </w:lvl>
  </w:abstractNum>
  <w:abstractNum w:abstractNumId="108">
    <w:nsid w:val="19E21BB2"/>
    <w:multiLevelType w:val="hybridMultilevel"/>
    <w:lvl w:ilvl="0">
      <w:lvlJc w:val="left"/>
      <w:lvlText w:val="%1"/>
      <w:numFmt w:val="decimal"/>
      <w:start w:val="54"/>
    </w:lvl>
  </w:abstractNum>
  <w:abstractNum w:abstractNumId="109">
    <w:nsid w:val="75E0858A"/>
    <w:multiLevelType w:val="hybridMultilevel"/>
    <w:lvl w:ilvl="0">
      <w:lvlJc w:val="left"/>
      <w:lvlText w:val="●"/>
      <w:numFmt w:val="bullet"/>
      <w:start w:val="1"/>
    </w:lvl>
    <w:lvl w:ilvl="1">
      <w:lvlJc w:val="left"/>
      <w:lvlText w:val="●"/>
      <w:numFmt w:val="bullet"/>
      <w:start w:val="1"/>
    </w:lvl>
  </w:abstractNum>
  <w:abstractNum w:abstractNumId="110">
    <w:nsid w:val="57A61A29"/>
    <w:multiLevelType w:val="hybridMultilevel"/>
    <w:lvl w:ilvl="0">
      <w:lvlJc w:val="left"/>
      <w:lvlText w:val="(%1)"/>
      <w:numFmt w:val="decimal"/>
      <w:start w:val="1"/>
    </w:lvl>
  </w:abstractNum>
  <w:abstractNum w:abstractNumId="111">
    <w:nsid w:val="5399C654"/>
    <w:multiLevelType w:val="hybridMultilevel"/>
    <w:lvl w:ilvl="0">
      <w:lvlJc w:val="left"/>
      <w:lvlText w:val="*"/>
      <w:numFmt w:val="bullet"/>
      <w:start w:val="1"/>
    </w:lvl>
  </w:abstractNum>
  <w:abstractNum w:abstractNumId="112">
    <w:nsid w:val="20EE1348"/>
    <w:multiLevelType w:val="hybridMultilevel"/>
    <w:lvl w:ilvl="0">
      <w:lvlJc w:val="left"/>
      <w:lvlText w:val="%1"/>
      <w:numFmt w:val="decimal"/>
      <w:start w:val="56"/>
    </w:lvl>
  </w:abstractNum>
  <w:abstractNum w:abstractNumId="113">
    <w:nsid w:val="4427069A"/>
    <w:multiLevelType w:val="hybridMultilevel"/>
    <w:lvl w:ilvl="0">
      <w:lvlJc w:val="left"/>
      <w:lvlText w:val="(%1)"/>
      <w:numFmt w:val="decimal"/>
      <w:start w:val="1"/>
    </w:lvl>
  </w:abstractNum>
  <w:abstractNum w:abstractNumId="114">
    <w:nsid w:val="B37E80A"/>
    <w:multiLevelType w:val="hybridMultilevel"/>
    <w:lvl w:ilvl="0">
      <w:lvlJc w:val="left"/>
      <w:lvlText w:val="(%1)"/>
      <w:numFmt w:val="decimal"/>
      <w:start w:val="1"/>
    </w:lvl>
  </w:abstractNum>
  <w:abstractNum w:abstractNumId="115">
    <w:nsid w:val="2157F6BC"/>
    <w:multiLevelType w:val="hybridMultilevel"/>
    <w:lvl w:ilvl="0">
      <w:lvlJc w:val="left"/>
      <w:lvlText w:val="%1"/>
      <w:numFmt w:val="decimal"/>
      <w:start w:val="58"/>
    </w:lvl>
  </w:abstractNum>
  <w:abstractNum w:abstractNumId="116">
    <w:nsid w:val="704E1DD5"/>
    <w:multiLevelType w:val="hybridMultilevel"/>
    <w:lvl w:ilvl="0">
      <w:lvlJc w:val="left"/>
      <w:lvlText w:val="●"/>
      <w:numFmt w:val="bullet"/>
      <w:start w:val="1"/>
    </w:lvl>
  </w:abstractNum>
  <w:abstractNum w:abstractNumId="117">
    <w:nsid w:val="57D2F10E"/>
    <w:multiLevelType w:val="hybridMultilevel"/>
    <w:lvl w:ilvl="0">
      <w:lvlJc w:val="left"/>
      <w:lvlText w:val="●"/>
      <w:numFmt w:val="bullet"/>
      <w:start w:val="1"/>
    </w:lvl>
  </w:abstractNum>
  <w:abstractNum w:abstractNumId="118">
    <w:nsid w:val="BFFAE18"/>
    <w:multiLevelType w:val="hybridMultilevel"/>
    <w:lvl w:ilvl="0">
      <w:lvlJc w:val="left"/>
      <w:lvlText w:val="%1"/>
      <w:numFmt w:val="decimal"/>
      <w:start w:val="60"/>
    </w:lvl>
  </w:abstractNum>
  <w:abstractNum w:abstractNumId="119">
    <w:nsid w:val="E3E47A8"/>
    <w:multiLevelType w:val="hybridMultilevel"/>
    <w:lvl w:ilvl="0">
      <w:lvlJc w:val="left"/>
      <w:lvlText w:val="●"/>
      <w:numFmt w:val="bullet"/>
      <w:start w:val="1"/>
    </w:lvl>
  </w:abstractNum>
  <w:abstractNum w:abstractNumId="120">
    <w:nsid w:val="2E48F044"/>
    <w:multiLevelType w:val="hybridMultilevel"/>
    <w:lvl w:ilvl="0">
      <w:lvlJc w:val="left"/>
      <w:lvlText w:val="●"/>
      <w:numFmt w:val="bullet"/>
      <w:start w:val="1"/>
    </w:lvl>
  </w:abstractNum>
  <w:abstractNum w:abstractNumId="121">
    <w:nsid w:val="49D0FEAC"/>
    <w:multiLevelType w:val="hybridMultilevel"/>
    <w:lvl w:ilvl="0">
      <w:lvlJc w:val="left"/>
      <w:lvlText w:val="%1"/>
      <w:numFmt w:val="decimal"/>
      <w:start w:val="62"/>
    </w:lvl>
  </w:abstractNum>
  <w:abstractNum w:abstractNumId="122">
    <w:nsid w:val="4BEE5A5B"/>
    <w:multiLevelType w:val="hybridMultilevel"/>
    <w:lvl w:ilvl="0">
      <w:lvlJc w:val="left"/>
      <w:lvlText w:val="&amp;"/>
      <w:numFmt w:val="bullet"/>
      <w:start w:val="1"/>
    </w:lvl>
  </w:abstractNum>
  <w:abstractNum w:abstractNumId="123">
    <w:nsid w:val="5551B9F3"/>
    <w:multiLevelType w:val="hybridMultilevel"/>
    <w:lvl w:ilvl="0">
      <w:lvlJc w:val="left"/>
      <w:lvlText w:val="%1."/>
      <w:numFmt w:val="decimal"/>
      <w:start w:val="1"/>
    </w:lvl>
  </w:abstractNum>
  <w:abstractNum w:abstractNumId="124">
    <w:nsid w:val="24F6AB8E"/>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25">
    <w:nsid w:val="634C574C"/>
    <w:multiLevelType w:val="hybridMultilevel"/>
    <w:lvl w:ilvl="0">
      <w:lvlJc w:val="left"/>
      <w:lvlText w:val="(%1)"/>
      <w:numFmt w:val="lowerLetter"/>
      <w:start w:val="15"/>
    </w:lvl>
    <w:lvl w:ilvl="1">
      <w:lvlJc w:val="left"/>
      <w:lvlText w:val="(%2)"/>
      <w:numFmt w:val="decimal"/>
      <w:start w:val="1"/>
    </w:lvl>
    <w:lvl w:ilvl="2">
      <w:lvlJc w:val="left"/>
      <w:lvlText w:val="(%3)"/>
      <w:numFmt w:val="lowerRoman"/>
      <w:start w:val="1"/>
    </w:lvl>
  </w:abstractNum>
  <w:abstractNum w:abstractNumId="126">
    <w:nsid w:val="24E99DD7"/>
    <w:multiLevelType w:val="hybridMultilevel"/>
    <w:lvl w:ilvl="0">
      <w:lvlJc w:val="left"/>
      <w:lvlText w:val="(%1)"/>
      <w:numFmt w:val="decimal"/>
      <w:start w:val="2"/>
    </w:lvl>
    <w:lvl w:ilvl="1">
      <w:lvlJc w:val="left"/>
      <w:lvlText w:val="(%2)"/>
      <w:numFmt w:val="lowerRoman"/>
      <w:start w:val="1"/>
    </w:lvl>
  </w:abstractNum>
  <w:abstractNum w:abstractNumId="127">
    <w:nsid w:val="2A31B62D"/>
    <w:multiLevelType w:val="hybridMultilevel"/>
    <w:lvl w:ilvl="0">
      <w:lvlJc w:val="left"/>
      <w:lvlText w:val="(%1)"/>
      <w:numFmt w:val="lowerRoman"/>
      <w:start w:val="5"/>
    </w:lvl>
  </w:abstractNum>
  <w:abstractNum w:abstractNumId="128">
    <w:nsid w:val="1849C29B"/>
    <w:multiLevelType w:val="hybridMultilevel"/>
    <w:lvl w:ilvl="0">
      <w:lvlJc w:val="left"/>
      <w:lvlText w:val="(%1)"/>
      <w:numFmt w:val="lowerLetter"/>
      <w:start w:val="19"/>
    </w:lvl>
  </w:abstractNum>
  <w:abstractNum w:abstractNumId="129">
    <w:nsid w:val="7DFF9D09"/>
    <w:multiLevelType w:val="hybridMultilevel"/>
    <w:lvl w:ilvl="0">
      <w:lvlJc w:val="left"/>
      <w:lvlText w:val="(%1)"/>
      <w:numFmt w:val="lowerLetter"/>
      <w:start w:val="27"/>
    </w:lvl>
    <w:lvl w:ilvl="1">
      <w:lvlJc w:val="left"/>
      <w:lvlText w:val="(%2)"/>
      <w:numFmt w:val="decimal"/>
      <w:start w:val="1"/>
    </w:lvl>
  </w:abstractNum>
  <w:abstractNum w:abstractNumId="130">
    <w:nsid w:val="754342"/>
    <w:multiLevelType w:val="hybridMultilevel"/>
    <w:lvl w:ilvl="0">
      <w:lvlJc w:val="left"/>
      <w:lvlText w:val="(%1)"/>
      <w:numFmt w:val="lowerLetter"/>
      <w:start w:val="33"/>
    </w:lvl>
    <w:lvl w:ilvl="1">
      <w:lvlJc w:val="left"/>
      <w:lvlText w:val="(%2)"/>
      <w:numFmt w:val="decimal"/>
      <w:start w:val="1"/>
    </w:lvl>
  </w:abstractNum>
  <w:abstractNum w:abstractNumId="131">
    <w:nsid w:val="69E7F3E5"/>
    <w:multiLevelType w:val="hybridMultilevel"/>
    <w:lvl w:ilvl="0">
      <w:lvlJc w:val="left"/>
      <w:lvlText w:val="(%1)"/>
      <w:numFmt w:val="lowerLetter"/>
      <w:start w:val="36"/>
    </w:lvl>
  </w:abstractNum>
  <w:abstractNum w:abstractNumId="132">
    <w:nsid w:val="2A6DE806"/>
    <w:multiLevelType w:val="hybridMultilevel"/>
    <w:lvl w:ilvl="0">
      <w:lvlJc w:val="left"/>
      <w:lvlText w:val="(%1)"/>
      <w:numFmt w:val="lowerRoman"/>
      <w:start w:val="2"/>
    </w:lvl>
  </w:abstractNum>
  <w:abstractNum w:abstractNumId="133">
    <w:nsid w:val="1816F8C4"/>
    <w:multiLevelType w:val="hybridMultilevel"/>
    <w:lvl w:ilvl="0">
      <w:lvlJc w:val="left"/>
      <w:lvlText w:val="%1"/>
      <w:numFmt w:val="decimal"/>
      <w:start w:val="1"/>
    </w:lvl>
    <w:lvl w:ilvl="1">
      <w:lvlJc w:val="left"/>
      <w:lvlText w:val="(%2)"/>
      <w:numFmt w:val="lowerLetter"/>
      <w:start w:val="37"/>
    </w:lvl>
    <w:lvl w:ilvl="2">
      <w:lvlJc w:val="left"/>
      <w:lvlText w:val="%3"/>
      <w:numFmt w:val="decimal"/>
      <w:start w:val="1"/>
    </w:lvl>
  </w:abstractNum>
  <w:abstractNum w:abstractNumId="134">
    <w:nsid w:val="37DF2233"/>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35">
    <w:nsid w:val="7AB49DAF"/>
    <w:multiLevelType w:val="hybridMultilevel"/>
    <w:lvl w:ilvl="0">
      <w:lvlJc w:val="left"/>
      <w:lvlText w:val="%1."/>
      <w:numFmt w:val="decimal"/>
      <w:start w:val="5"/>
    </w:lvl>
    <w:lvl w:ilvl="1">
      <w:lvlJc w:val="left"/>
      <w:lvlText w:val="(%2)"/>
      <w:numFmt w:val="lowerLetter"/>
      <w:start w:val="1"/>
    </w:lvl>
  </w:abstractNum>
  <w:abstractNum w:abstractNumId="136">
    <w:nsid w:val="759F82CD"/>
    <w:multiLevelType w:val="hybridMultilevel"/>
    <w:lvl w:ilvl="0">
      <w:lvlJc w:val="left"/>
      <w:lvlText w:val="%1."/>
      <w:numFmt w:val="decimal"/>
      <w:start w:val="6"/>
    </w:lvl>
    <w:lvl w:ilvl="1">
      <w:lvlJc w:val="left"/>
      <w:lvlText w:val="(%2)"/>
      <w:numFmt w:val="lowerLetter"/>
      <w:start w:val="1"/>
    </w:lvl>
  </w:abstractNum>
  <w:abstractNum w:abstractNumId="137">
    <w:nsid w:val="61E74EA3"/>
    <w:multiLevelType w:val="hybridMultilevel"/>
    <w:lvl w:ilvl="0">
      <w:lvlJc w:val="left"/>
      <w:lvlText w:val="%1."/>
      <w:numFmt w:val="decimal"/>
      <w:start w:val="9"/>
    </w:lvl>
    <w:lvl w:ilvl="1">
      <w:lvlJc w:val="left"/>
      <w:lvlText w:val="(%2)"/>
      <w:numFmt w:val="lowerLetter"/>
      <w:start w:val="1"/>
    </w:lvl>
  </w:abstractNum>
  <w:abstractNum w:abstractNumId="138">
    <w:nsid w:val="597B4D84"/>
    <w:multiLevelType w:val="hybridMultilevel"/>
    <w:lvl w:ilvl="0">
      <w:lvlJc w:val="left"/>
      <w:lvlText w:val="%1"/>
      <w:numFmt w:val="decimal"/>
      <w:start w:val="1"/>
    </w:lvl>
    <w:lvl w:ilvl="1">
      <w:lvlJc w:val="left"/>
      <w:lvlText w:val="(%2)"/>
      <w:numFmt w:val="lowerLetter"/>
      <w:start w:val="2"/>
    </w:lvl>
  </w:abstractNum>
  <w:abstractNum w:abstractNumId="139">
    <w:nsid w:val="F819E7F"/>
    <w:multiLevelType w:val="hybridMultilevel"/>
    <w:lvl w:ilvl="0">
      <w:lvlJc w:val="left"/>
      <w:lvlText w:val="%1."/>
      <w:numFmt w:val="decimal"/>
      <w:start w:val="10"/>
    </w:lvl>
    <w:lvl w:ilvl="1">
      <w:lvlJc w:val="left"/>
      <w:lvlText w:val="%2"/>
      <w:numFmt w:val="lowerLetter"/>
      <w:start w:val="1"/>
    </w:lvl>
  </w:abstractNum>
  <w:abstractNum w:abstractNumId="140">
    <w:nsid w:val="57C7D42D"/>
    <w:multiLevelType w:val="hybridMultilevel"/>
    <w:lvl w:ilvl="0">
      <w:lvlJc w:val="left"/>
      <w:lvlText w:val="%1."/>
      <w:numFmt w:val="decimal"/>
      <w:start w:val="11"/>
    </w:lvl>
  </w:abstractNum>
  <w:abstractNum w:abstractNumId="141">
    <w:nsid w:val="312167AD"/>
    <w:multiLevelType w:val="hybridMultilevel"/>
    <w:lvl w:ilvl="0">
      <w:lvlJc w:val="left"/>
      <w:lvlText w:val="%1."/>
      <w:numFmt w:val="decimal"/>
      <w:start w:val="12"/>
    </w:lvl>
  </w:abstractNum>
  <w:abstractNum w:abstractNumId="142">
    <w:nsid w:val="631B64D4"/>
    <w:multiLevelType w:val="hybridMultilevel"/>
    <w:lvl w:ilvl="0">
      <w:lvlJc w:val="left"/>
      <w:lvlText w:val="%1."/>
      <w:numFmt w:val="decimal"/>
      <w:start w:val="13"/>
    </w:lvl>
  </w:abstractNum>
  <w:abstractNum w:abstractNumId="143">
    <w:nsid w:val="78B5E776"/>
    <w:multiLevelType w:val="hybridMultilevel"/>
    <w:lvl w:ilvl="0">
      <w:lvlJc w:val="left"/>
      <w:lvlText w:val="%1."/>
      <w:numFmt w:val="decimal"/>
      <w:start w:val="14"/>
    </w:lvl>
  </w:abstractNum>
  <w:abstractNum w:abstractNumId="144">
    <w:nsid w:val="75486E47"/>
    <w:multiLevelType w:val="hybridMultilevel"/>
    <w:lvl w:ilvl="0">
      <w:lvlJc w:val="left"/>
      <w:lvlText w:val="%1."/>
      <w:numFmt w:val="decimal"/>
      <w:start w:val="15"/>
    </w:lvl>
  </w:abstractNum>
  <w:abstractNum w:abstractNumId="145">
    <w:nsid w:val="6E534CDE"/>
    <w:multiLevelType w:val="hybridMultilevel"/>
    <w:lvl w:ilvl="0">
      <w:lvlJc w:val="left"/>
      <w:lvlText w:val="%1."/>
      <w:numFmt w:val="decimal"/>
      <w:start w:val="16"/>
    </w:lvl>
    <w:lvl w:ilvl="1">
      <w:lvlJc w:val="left"/>
      <w:lvlText w:val="(%2)"/>
      <w:numFmt w:val="lowerLetter"/>
      <w:start w:val="1"/>
    </w:lvl>
  </w:abstractNum>
  <w:abstractNum w:abstractNumId="146">
    <w:nsid w:val="1A0DDE32"/>
    <w:multiLevelType w:val="hybridMultilevel"/>
    <w:lvl w:ilvl="0">
      <w:lvlJc w:val="left"/>
      <w:lvlText w:val="%1."/>
      <w:numFmt w:val="decimal"/>
      <w:start w:val="18"/>
    </w:lvl>
  </w:abstractNum>
  <w:abstractNum w:abstractNumId="147">
    <w:nsid w:val="65968C1C"/>
    <w:multiLevelType w:val="hybridMultilevel"/>
    <w:lvl w:ilvl="0">
      <w:lvlJc w:val="left"/>
      <w:lvlText w:val="%1."/>
      <w:numFmt w:val="decimal"/>
      <w:start w:val="19"/>
    </w:lvl>
  </w:abstractNum>
  <w:abstractNum w:abstractNumId="148">
    <w:nsid w:val="46263DEC"/>
    <w:multiLevelType w:val="hybridMultilevel"/>
    <w:lvl w:ilvl="0">
      <w:lvlJc w:val="left"/>
      <w:lvlText w:val="%1."/>
      <w:numFmt w:val="decimal"/>
      <w:start w:val="20"/>
    </w:lvl>
  </w:abstractNum>
  <w:abstractNum w:abstractNumId="149">
    <w:nsid w:val="260D8C4A"/>
    <w:multiLevelType w:val="hybridMultilevel"/>
    <w:lvl w:ilvl="0">
      <w:lvlJc w:val="left"/>
      <w:lvlText w:val="%1."/>
      <w:numFmt w:val="decimal"/>
      <w:start w:val="21"/>
    </w:lvl>
  </w:abstractNum>
  <w:abstractNum w:abstractNumId="150">
    <w:nsid w:val="73D4D3C4"/>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2025-04-25T09:53:57Z</dcterms:created>
  <dcterms:modified xsi:type="dcterms:W3CDTF">2025-04-25T09:53:57Z</dcterms:modified>
</cp:coreProperties>
</file>