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Date of report (Date of earliest event reported): April 25, 2018</w:t>
            </w:r>
          </w:p>
        </w:tc>
        <w:tc>
          <w:tcPr>
            <w:tcW w:w="326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Exact Name of Registrant; State of</w:t>
            </w:r>
          </w:p>
        </w:tc>
        <w:tc>
          <w:tcPr>
            <w:tcW w:w="326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Incorporation; Address and Telephone Number of</w:t>
            </w:r>
          </w:p>
        </w:tc>
        <w:tc>
          <w:tcPr>
            <w:tcW w:w="3260" w:type="dxa"/>
            <w:vAlign w:val="bottom"/>
          </w:tcPr>
          <w:p>
            <w:pPr>
              <w:spacing w:after="0"/>
              <w:rPr>
                <w:sz w:val="18"/>
                <w:szCs w:val="18"/>
                <w:color w:val="auto"/>
              </w:rPr>
            </w:pPr>
          </w:p>
        </w:tc>
      </w:tr>
      <w:tr>
        <w:trPr>
          <w:trHeight w:val="234"/>
        </w:trPr>
        <w:tc>
          <w:tcPr>
            <w:tcW w:w="310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91"/>
              </w:rPr>
              <w:t>Commission File Number</w:t>
            </w:r>
          </w:p>
        </w:tc>
        <w:tc>
          <w:tcPr>
            <w:tcW w:w="50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Principal Executive Offices</w:t>
            </w:r>
          </w:p>
        </w:tc>
        <w:tc>
          <w:tcPr>
            <w:tcW w:w="3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100" w:type="dxa"/>
            <w:vAlign w:val="bottom"/>
          </w:tcPr>
          <w:p>
            <w:pPr>
              <w:jc w:val="center"/>
              <w:ind w:left="590"/>
              <w:spacing w:after="0" w:line="195" w:lineRule="exact"/>
              <w:rPr>
                <w:sz w:val="20"/>
                <w:szCs w:val="20"/>
                <w:color w:val="auto"/>
              </w:rPr>
            </w:pPr>
            <w:r>
              <w:rPr>
                <w:rFonts w:ascii="Arial" w:cs="Arial" w:eastAsia="Arial" w:hAnsi="Arial"/>
                <w:sz w:val="18"/>
                <w:szCs w:val="18"/>
                <w:color w:val="auto"/>
                <w:w w:val="90"/>
              </w:rPr>
              <w:t>001-32871</w:t>
            </w:r>
          </w:p>
        </w:tc>
        <w:tc>
          <w:tcPr>
            <w:tcW w:w="5060" w:type="dxa"/>
            <w:vAlign w:val="bottom"/>
          </w:tcPr>
          <w:p>
            <w:pPr>
              <w:jc w:val="center"/>
              <w:ind w:left="90"/>
              <w:spacing w:after="0" w:line="195" w:lineRule="exact"/>
              <w:rPr>
                <w:sz w:val="20"/>
                <w:szCs w:val="20"/>
                <w:color w:val="auto"/>
              </w:rPr>
            </w:pPr>
            <w:r>
              <w:rPr>
                <w:rFonts w:ascii="Arial" w:cs="Arial" w:eastAsia="Arial" w:hAnsi="Arial"/>
                <w:sz w:val="18"/>
                <w:szCs w:val="18"/>
                <w:b w:val="1"/>
                <w:bCs w:val="1"/>
                <w:color w:val="auto"/>
              </w:rPr>
              <w:t>COMCAST CORPORATION</w:t>
            </w:r>
          </w:p>
        </w:tc>
        <w:tc>
          <w:tcPr>
            <w:tcW w:w="326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8"/>
              </w:rPr>
              <w:t>PENNSYLVANIA</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110"/>
              <w:spacing w:after="0"/>
              <w:rPr>
                <w:sz w:val="20"/>
                <w:szCs w:val="20"/>
                <w:color w:val="auto"/>
              </w:rPr>
            </w:pPr>
            <w:r>
              <w:rPr>
                <w:rFonts w:ascii="Arial" w:cs="Arial" w:eastAsia="Arial" w:hAnsi="Arial"/>
                <w:sz w:val="18"/>
                <w:szCs w:val="18"/>
                <w:color w:val="auto"/>
                <w:w w:val="88"/>
              </w:rPr>
              <w:t>One Comcast Center</w:t>
            </w:r>
          </w:p>
        </w:tc>
        <w:tc>
          <w:tcPr>
            <w:tcW w:w="3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0"/>
              </w:rPr>
              <w:t>Philadelphia, PA 19103-2838</w:t>
            </w:r>
          </w:p>
        </w:tc>
        <w:tc>
          <w:tcPr>
            <w:tcW w:w="32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0"/>
              </w:rPr>
              <w:t>(215) 286-1700</w:t>
            </w:r>
          </w:p>
        </w:tc>
        <w:tc>
          <w:tcPr>
            <w:tcW w:w="3260" w:type="dxa"/>
            <w:vAlign w:val="bottom"/>
          </w:tcPr>
          <w:p>
            <w:pPr>
              <w:spacing w:after="0"/>
              <w:rPr>
                <w:sz w:val="20"/>
                <w:szCs w:val="20"/>
                <w:color w:val="auto"/>
              </w:rPr>
            </w:pPr>
          </w:p>
        </w:tc>
      </w:tr>
      <w:tr>
        <w:trPr>
          <w:trHeight w:val="418"/>
        </w:trPr>
        <w:tc>
          <w:tcPr>
            <w:tcW w:w="3100" w:type="dxa"/>
            <w:vAlign w:val="bottom"/>
          </w:tcPr>
          <w:p>
            <w:pPr>
              <w:jc w:val="center"/>
              <w:ind w:left="590"/>
              <w:spacing w:after="0"/>
              <w:rPr>
                <w:sz w:val="20"/>
                <w:szCs w:val="20"/>
                <w:color w:val="auto"/>
              </w:rPr>
            </w:pPr>
            <w:r>
              <w:rPr>
                <w:rFonts w:ascii="Arial" w:cs="Arial" w:eastAsia="Arial" w:hAnsi="Arial"/>
                <w:sz w:val="18"/>
                <w:szCs w:val="18"/>
                <w:color w:val="auto"/>
                <w:w w:val="90"/>
              </w:rPr>
              <w:t>001-36438</w:t>
            </w:r>
          </w:p>
        </w:tc>
        <w:tc>
          <w:tcPr>
            <w:tcW w:w="5060" w:type="dxa"/>
            <w:vAlign w:val="bottom"/>
          </w:tcPr>
          <w:p>
            <w:pPr>
              <w:jc w:val="center"/>
              <w:ind w:left="90"/>
              <w:spacing w:after="0"/>
              <w:rPr>
                <w:sz w:val="20"/>
                <w:szCs w:val="20"/>
                <w:color w:val="auto"/>
              </w:rPr>
            </w:pPr>
            <w:r>
              <w:rPr>
                <w:rFonts w:ascii="Arial" w:cs="Arial" w:eastAsia="Arial" w:hAnsi="Arial"/>
                <w:sz w:val="18"/>
                <w:szCs w:val="18"/>
                <w:b w:val="1"/>
                <w:bCs w:val="1"/>
                <w:color w:val="auto"/>
              </w:rPr>
              <w:t>NBCUNIVERSAL MEDIA, LLC</w:t>
            </w:r>
          </w:p>
        </w:tc>
        <w:tc>
          <w:tcPr>
            <w:tcW w:w="3260" w:type="dxa"/>
            <w:vAlign w:val="bottom"/>
          </w:tcPr>
          <w:p>
            <w:pPr>
              <w:jc w:val="center"/>
              <w:ind w:right="410"/>
              <w:spacing w:after="0"/>
              <w:rPr>
                <w:sz w:val="20"/>
                <w:szCs w:val="20"/>
                <w:color w:val="auto"/>
              </w:rPr>
            </w:pPr>
            <w:r>
              <w:rPr>
                <w:rFonts w:ascii="Arial" w:cs="Arial" w:eastAsia="Arial" w:hAnsi="Arial"/>
                <w:sz w:val="18"/>
                <w:szCs w:val="18"/>
                <w:color w:val="auto"/>
                <w:w w:val="91"/>
              </w:rPr>
              <w:t>14-1682529</w:t>
            </w:r>
          </w:p>
        </w:tc>
      </w:tr>
      <w:tr>
        <w:trPr>
          <w:trHeight w:val="230"/>
        </w:trPr>
        <w:tc>
          <w:tcPr>
            <w:tcW w:w="3100" w:type="dxa"/>
            <w:vAlign w:val="bottom"/>
          </w:tcPr>
          <w:p>
            <w:pPr>
              <w:spacing w:after="0"/>
              <w:rPr>
                <w:sz w:val="20"/>
                <w:szCs w:val="20"/>
                <w:color w:val="auto"/>
              </w:rPr>
            </w:pPr>
          </w:p>
        </w:tc>
        <w:tc>
          <w:tcPr>
            <w:tcW w:w="5060" w:type="dxa"/>
            <w:vAlign w:val="bottom"/>
          </w:tcPr>
          <w:p>
            <w:pPr>
              <w:jc w:val="center"/>
              <w:ind w:left="90"/>
              <w:spacing w:after="0"/>
              <w:rPr>
                <w:sz w:val="20"/>
                <w:szCs w:val="20"/>
                <w:color w:val="auto"/>
              </w:rPr>
            </w:pPr>
            <w:r>
              <w:rPr>
                <w:rFonts w:ascii="Arial" w:cs="Arial" w:eastAsia="Arial" w:hAnsi="Arial"/>
                <w:sz w:val="18"/>
                <w:szCs w:val="18"/>
                <w:color w:val="auto"/>
                <w:w w:val="94"/>
              </w:rPr>
              <w:t>DELAWARE</w:t>
            </w:r>
          </w:p>
        </w:tc>
        <w:tc>
          <w:tcPr>
            <w:tcW w:w="326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30 Rockefeller Plaza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10112-0015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664-4444</w:t>
      </w:r>
    </w:p>
    <w:p>
      <w:pPr>
        <w:spacing w:after="0" w:line="211"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549"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54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549" w:right="239" w:bottom="1440" w:gutter="0" w:footer="0" w:header="0"/>
          <w:type w:val="continuous"/>
        </w:sectPr>
      </w:pPr>
    </w:p>
    <w:p>
      <w:pPr>
        <w:spacing w:after="0" w:line="3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554"/>
        </w:trPr>
        <w:tc>
          <w:tcPr>
            <w:tcW w:w="2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Agreements</w:t>
      </w:r>
    </w:p>
    <w:p>
      <w:pPr>
        <w:spacing w:after="0" w:line="22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April 25, 2018,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entered into (i) a term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(the “</w:t>
      </w:r>
      <w:r>
        <w:rPr>
          <w:rFonts w:ascii="Arial" w:cs="Arial" w:eastAsia="Arial" w:hAnsi="Arial"/>
          <w:sz w:val="16"/>
          <w:szCs w:val="16"/>
          <w:b w:val="1"/>
          <w:bCs w:val="1"/>
          <w:color w:val="auto"/>
        </w:rPr>
        <w:t>Term Loan Credit Agreement</w:t>
      </w:r>
      <w:r>
        <w:rPr>
          <w:rFonts w:ascii="Arial" w:cs="Arial" w:eastAsia="Arial" w:hAnsi="Arial"/>
          <w:sz w:val="16"/>
          <w:szCs w:val="16"/>
          <w:color w:val="auto"/>
        </w:rPr>
        <w:t>”), and (ii) a 364 day bridge loan credit agreement among Comcast, the financial institutions party thereto, Bank of America, N.A., as administrative agent, Wells Fargo Bank, National Association, as syndication agent, and Merrill Lynch, Pierce, Fenner &amp; Smith Incorporated and Wells Fargo Securities LLC as joint lead arrangers and joint bookrunners (the “</w:t>
      </w:r>
      <w:r>
        <w:rPr>
          <w:rFonts w:ascii="Arial" w:cs="Arial" w:eastAsia="Arial" w:hAnsi="Arial"/>
          <w:sz w:val="16"/>
          <w:szCs w:val="16"/>
          <w:b w:val="1"/>
          <w:bCs w:val="1"/>
          <w:color w:val="auto"/>
        </w:rPr>
        <w:t>Bridge Loan Credit Agreement</w:t>
      </w:r>
      <w:r>
        <w:rPr>
          <w:rFonts w:ascii="Arial" w:cs="Arial" w:eastAsia="Arial" w:hAnsi="Arial"/>
          <w:sz w:val="16"/>
          <w:szCs w:val="16"/>
          <w:color w:val="auto"/>
        </w:rPr>
        <w:t>” and, together with the Term Loan Credit Agreement, the “</w:t>
      </w:r>
      <w:r>
        <w:rPr>
          <w:rFonts w:ascii="Arial" w:cs="Arial" w:eastAsia="Arial" w:hAnsi="Arial"/>
          <w:sz w:val="16"/>
          <w:szCs w:val="16"/>
          <w:b w:val="1"/>
          <w:bCs w:val="1"/>
          <w:color w:val="auto"/>
        </w:rPr>
        <w:t>Credit Agreements</w:t>
      </w:r>
      <w:r>
        <w:rPr>
          <w:rFonts w:ascii="Arial" w:cs="Arial" w:eastAsia="Arial" w:hAnsi="Arial"/>
          <w:sz w:val="16"/>
          <w:szCs w:val="16"/>
          <w:color w:val="auto"/>
        </w:rPr>
        <w:t>”). The Credit Agreements were entered into in connection with the all-cash offer for the entire issued and to be issued share capital of Sky plc (“</w:t>
      </w:r>
      <w:r>
        <w:rPr>
          <w:rFonts w:ascii="Arial" w:cs="Arial" w:eastAsia="Arial" w:hAnsi="Arial"/>
          <w:sz w:val="16"/>
          <w:szCs w:val="16"/>
          <w:b w:val="1"/>
          <w:bCs w:val="1"/>
          <w:color w:val="auto"/>
        </w:rPr>
        <w:t>Sky</w:t>
      </w:r>
      <w:r>
        <w:rPr>
          <w:rFonts w:ascii="Arial" w:cs="Arial" w:eastAsia="Arial" w:hAnsi="Arial"/>
          <w:sz w:val="16"/>
          <w:szCs w:val="16"/>
          <w:color w:val="auto"/>
        </w:rPr>
        <w:t>”), described below in Item 8.01, and the proceeds of the loans under both Credit Agreements are intended to be used for the purposes of financing such transactions.</w:t>
      </w:r>
    </w:p>
    <w:p>
      <w:pPr>
        <w:spacing w:after="0" w:line="16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Term Loan Credit Agreement provides for a £7 billion unsecured term loan credit facility (the “</w:t>
      </w:r>
      <w:r>
        <w:rPr>
          <w:rFonts w:ascii="Arial" w:cs="Arial" w:eastAsia="Arial" w:hAnsi="Arial"/>
          <w:sz w:val="17"/>
          <w:szCs w:val="17"/>
          <w:b w:val="1"/>
          <w:bCs w:val="1"/>
          <w:color w:val="auto"/>
        </w:rPr>
        <w:t>Term Loan Facility</w:t>
      </w:r>
      <w:r>
        <w:rPr>
          <w:rFonts w:ascii="Arial" w:cs="Arial" w:eastAsia="Arial" w:hAnsi="Arial"/>
          <w:sz w:val="17"/>
          <w:szCs w:val="17"/>
          <w:color w:val="auto"/>
        </w:rPr>
        <w:t>”) to Comcast. The Term Loan Facility is comprised of (i) a 3-year tranche in the aggregate principal amount of £3 billion, which will mature on the date that is 3 years after the date of the initial borrowing of the 3-year tranche of the Term Loan Facility and (ii) a 5-year tranche in the aggregate principal amount of £4 billion, which will mature on the date that is 5 years after the date of the initial borrowing of the 5-year tranche of the Term Loan Facility. Loans under the Term Loan Credit Agreement may be borrowed in pounds sterling or U.S. dollars at Comcast’s option. The Bridge Loan Credit Agreement provides for a £16 billion unsecured bridge loan credit facility (the “</w:t>
      </w:r>
      <w:r>
        <w:rPr>
          <w:rFonts w:ascii="Arial" w:cs="Arial" w:eastAsia="Arial" w:hAnsi="Arial"/>
          <w:sz w:val="17"/>
          <w:szCs w:val="17"/>
          <w:b w:val="1"/>
          <w:bCs w:val="1"/>
          <w:color w:val="auto"/>
        </w:rPr>
        <w:t>Bridge Loan Facility</w:t>
      </w:r>
      <w:r>
        <w:rPr>
          <w:rFonts w:ascii="Arial" w:cs="Arial" w:eastAsia="Arial" w:hAnsi="Arial"/>
          <w:sz w:val="17"/>
          <w:szCs w:val="17"/>
          <w:color w:val="auto"/>
        </w:rPr>
        <w:t>”) to Comcast for 364 days after the initial borrowing. The commitments under the Credit Agreements will remain in effect until the earlier of September 30, 2019 or the date on which certain termination events customary for U.K. public acquisition financings, including any withdrawal by Comcast of its offer for Sky, occur. Loans under the 5-year tranche of the Term Loan Facility will amortize at an annual rate of (i) 8.0% during the fourth year of the Term Loan Facility and (ii) 12.0% during the fifth year of the Term Loan Facility. Amortization payments are not required for loans under the 3-year tranche of the Term Loan Facility or under the Bridge Loan Facility. The Term Loan Facility and the Bridge Loan Facility are each guaranteed by Comcast Cable Communications, LLC and NBCUniversal Media, LLC (the “</w:t>
      </w:r>
      <w:r>
        <w:rPr>
          <w:rFonts w:ascii="Arial" w:cs="Arial" w:eastAsia="Arial" w:hAnsi="Arial"/>
          <w:sz w:val="17"/>
          <w:szCs w:val="17"/>
          <w:b w:val="1"/>
          <w:bCs w:val="1"/>
          <w:color w:val="auto"/>
        </w:rPr>
        <w:t>Guarantors</w:t>
      </w:r>
      <w:r>
        <w:rPr>
          <w:rFonts w:ascii="Arial" w:cs="Arial" w:eastAsia="Arial" w:hAnsi="Arial"/>
          <w:sz w:val="17"/>
          <w:szCs w:val="17"/>
          <w:color w:val="auto"/>
        </w:rPr>
        <w:t>”).</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Subject to receipt of commitments from new or existing lenders and subject to other customary conditions, Comcast may increase the commitments under the Bridge Loan Facility, so long as there is no event of default continuing under the Bridge Loan Credit Agreement after giving effect to such increase. At this time, Comcast has not borrowed any funds under either of the Credit Agreements. Under the Term Loan Facility, interest is based on either (i) the base rate formula or (ii) the Eurodollar rate formula. Under the Bridge Loan Facility, interest is based on the Eurodollar rate formula.</w:t>
      </w:r>
    </w:p>
    <w:p>
      <w:pPr>
        <w:spacing w:after="0" w:line="15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Credit Agreements contain customary representations and warranties as well as customary affirmative and negative covenants and events of default. Negative covenants include, among others, limitations on incurrence of liens by Comcast and certain of its subsidiaries and limitations on incurrence of indebtedness by certain of Comcast’s subsidiaries (other than the Guarantors), and a requirement that the leverage ratio (as defined in each of the Credit Agreements) as of the end of any fiscal quarter is not greater than 5.75 to 1.00. If any of the events of default occur and are not cured within applicable grace periods or waived, any unpaid amounts under the Credit Agreements may be declared immediately due and payable and the commitments may be terminated, but in each case subject to further customary “certain funds” limitations during the applicable period.</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their respective businesses, certain of the lenders and the other parties to the Credit Agreements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6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description above is a summary and is qualified in its entirety by the Term Loan Credit Agreement, which is filed as Exhibit 10.1 to this report and the Bridge Loan Credit Agreement, which is filed as Exhibit 10.2 to this report and each are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both"/>
        <w:ind w:firstLine="324"/>
        <w:spacing w:after="0" w:line="277" w:lineRule="auto"/>
        <w:rPr>
          <w:sz w:val="20"/>
          <w:szCs w:val="20"/>
          <w:color w:val="auto"/>
        </w:rPr>
      </w:pPr>
      <w:r>
        <w:rPr>
          <w:rFonts w:ascii="Arial" w:cs="Arial" w:eastAsia="Arial" w:hAnsi="Arial"/>
          <w:sz w:val="18"/>
          <w:szCs w:val="18"/>
          <w:color w:val="auto"/>
        </w:rPr>
        <w:t>The information required by Item 2.03 and included under the heading “Credit Agreements” in Item 1.01 of this Current Report on Form 8-K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25, 2018, Comcast announced pursuant to Rule 2.7 of the UK City Code on Takeovers and Mergers (the “</w:t>
      </w:r>
      <w:r>
        <w:rPr>
          <w:rFonts w:ascii="Arial" w:cs="Arial" w:eastAsia="Arial" w:hAnsi="Arial"/>
          <w:sz w:val="16"/>
          <w:szCs w:val="16"/>
          <w:b w:val="1"/>
          <w:bCs w:val="1"/>
          <w:color w:val="auto"/>
        </w:rPr>
        <w:t>City Code</w:t>
      </w:r>
      <w:r>
        <w:rPr>
          <w:rFonts w:ascii="Arial" w:cs="Arial" w:eastAsia="Arial" w:hAnsi="Arial"/>
          <w:sz w:val="16"/>
          <w:szCs w:val="16"/>
          <w:color w:val="auto"/>
        </w:rPr>
        <w:t>”) a pre-conditional all-cash firm offer for the entire issued and to be issued share capital of Sky (the “</w:t>
      </w:r>
      <w:r>
        <w:rPr>
          <w:rFonts w:ascii="Arial" w:cs="Arial" w:eastAsia="Arial" w:hAnsi="Arial"/>
          <w:sz w:val="16"/>
          <w:szCs w:val="16"/>
          <w:b w:val="1"/>
          <w:bCs w:val="1"/>
          <w:color w:val="auto"/>
        </w:rPr>
        <w:t>UK Announcement</w:t>
      </w:r>
      <w:r>
        <w:rPr>
          <w:rFonts w:ascii="Arial" w:cs="Arial" w:eastAsia="Arial" w:hAnsi="Arial"/>
          <w:sz w:val="16"/>
          <w:szCs w:val="16"/>
          <w:color w:val="auto"/>
        </w:rPr>
        <w:t>”). Pursuant to the offer, Sky shareholders will be entitled to receive £12.50 in cash for each Sky share (implying a value of approximately £22 billion, or $31 billion using the exchange rate at the time of the offer), plus any final dividend in respect of the Sky fiscal year ended June 30, 2018 up to an amount of £0.218 per Sky share which is declared and paid prior to the Effective Date (as defined in the UK Announcement) (the “</w:t>
      </w:r>
      <w:r>
        <w:rPr>
          <w:rFonts w:ascii="Arial" w:cs="Arial" w:eastAsia="Arial" w:hAnsi="Arial"/>
          <w:sz w:val="16"/>
          <w:szCs w:val="16"/>
          <w:b w:val="1"/>
          <w:bCs w:val="1"/>
          <w:color w:val="auto"/>
        </w:rPr>
        <w:t>Final Dividend</w:t>
      </w:r>
      <w:r>
        <w:rPr>
          <w:rFonts w:ascii="Arial" w:cs="Arial" w:eastAsia="Arial" w:hAnsi="Arial"/>
          <w:sz w:val="16"/>
          <w:szCs w:val="16"/>
          <w:color w:val="auto"/>
        </w:rPr>
        <w:t>”). Comcast reserves the right to reduce the price of £12.50 per Sky share by: (i) some or all of any amount of the Final Dividend which is in excess of £0.218; and (ii) some or all of the amount of any other dividend (or other distribution or return of capital) which is announced, declared, paid or becomes payable by Sky to Sky shareholders on or after the date of the UK Announcement and prior to the date on which Comcast is entered into the register of members of Sky following the Effective Date.</w:t>
      </w:r>
    </w:p>
    <w:p>
      <w:pPr>
        <w:spacing w:after="0" w:line="1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It is intended that the acquisition will be implemented by way of a takeover offer under Part 28 of the UK Companies Act 2006 and under the City Code. The acquisition is subject to the satisfaction (or waiver, where applicable) of certain conditions, including receipt of antitrust and regulatory approvals and Comcast securing valid acceptances of the offer in respect of Sky shares which, taken together with all other Sky shares that Comcast (and/or its nominee(s)) has acquired or agreed to acquire (whether pursuant to the offer or otherwise), carry more than 50% of the voting rights then normally exercisable at a general meeting of Sky. The pre-conditions and the conditions to the acquisition are set forth in the UK Announcement.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conjunction with the UK Announcement, Comcast issued a US press release relating to the offer for Sky (the “</w:t>
      </w:r>
      <w:r>
        <w:rPr>
          <w:rFonts w:ascii="Arial" w:cs="Arial" w:eastAsia="Arial" w:hAnsi="Arial"/>
          <w:sz w:val="18"/>
          <w:szCs w:val="18"/>
          <w:b w:val="1"/>
          <w:bCs w:val="1"/>
          <w:color w:val="auto"/>
        </w:rPr>
        <w:t>US Press Release</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foregoing summary of the UK Announcement does not purport to be complete and is subject to, and qualified in its entirety by, the full text of the UK Announcement. The US Press Release and the UK Announcement are attached hereto as Exhibit 99.1 and Exhibit 99.2, respectively, and each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jc w:val="both"/>
        <w:ind w:left="660" w:right="100" w:hanging="647"/>
        <w:spacing w:after="0" w:line="264" w:lineRule="auto"/>
        <w:tabs>
          <w:tab w:leader="none" w:pos="640" w:val="left"/>
        </w:tabs>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7">
        <w:r>
          <w:rPr>
            <w:rFonts w:ascii="Arial" w:cs="Arial" w:eastAsia="Arial" w:hAnsi="Arial"/>
            <w:sz w:val="18"/>
            <w:szCs w:val="18"/>
            <w:u w:val="single" w:color="auto"/>
            <w:color w:val="0000FF"/>
          </w:rPr>
          <w:t>Term Loan Credit Agreement among Comcast, the financial institutions party thereto, Bank of America, N.A., as administrative agent, Wells Fargo</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Bank, National Association, as syndication agent, and Merrill Lynch, Pierce, Fenner &amp; Smith Incorporated and Wells Fargo Securities LLC, as joint</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lead arrangers and joint bookrunners, dated April 25, 2018.</w:t>
        </w:r>
      </w:hyperlink>
    </w:p>
    <w:p>
      <w:pPr>
        <w:spacing w:after="0" w:line="181" w:lineRule="exact"/>
        <w:rPr>
          <w:rFonts w:ascii="Arial" w:cs="Arial" w:eastAsia="Arial" w:hAnsi="Arial"/>
          <w:sz w:val="18"/>
          <w:szCs w:val="18"/>
          <w:u w:val="single" w:color="auto"/>
          <w:color w:val="0000FF"/>
        </w:rPr>
      </w:pPr>
    </w:p>
    <w:p>
      <w:pPr>
        <w:ind w:left="660" w:right="200" w:hanging="647"/>
        <w:spacing w:after="0" w:line="264" w:lineRule="auto"/>
        <w:tabs>
          <w:tab w:leader="none" w:pos="640" w:val="left"/>
        </w:tabs>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w:anchor="page144">
        <w:r>
          <w:rPr>
            <w:rFonts w:ascii="Arial" w:cs="Arial" w:eastAsia="Arial" w:hAnsi="Arial"/>
            <w:sz w:val="18"/>
            <w:szCs w:val="18"/>
            <w:u w:val="single" w:color="auto"/>
            <w:color w:val="0000FF"/>
          </w:rPr>
          <w:t>364-day Bridge Loan Credit Agreement among Comcast, the financial institutions party thereto, Bank of America, N.A., as administrative agent,</w:t>
        </w:r>
      </w:hyperlink>
      <w:r>
        <w:rPr>
          <w:rFonts w:ascii="Arial" w:cs="Arial" w:eastAsia="Arial" w:hAnsi="Arial"/>
          <w:sz w:val="18"/>
          <w:szCs w:val="18"/>
          <w:u w:val="single" w:color="auto"/>
          <w:color w:val="0000FF"/>
        </w:rPr>
        <w:t xml:space="preserve"> </w:t>
      </w:r>
      <w:hyperlink w:anchor="page144">
        <w:r>
          <w:rPr>
            <w:rFonts w:ascii="Arial" w:cs="Arial" w:eastAsia="Arial" w:hAnsi="Arial"/>
            <w:sz w:val="18"/>
            <w:szCs w:val="18"/>
            <w:u w:val="single" w:color="auto"/>
            <w:color w:val="0000FF"/>
          </w:rPr>
          <w:t>Wells Fargo Bank, National Association, as syndication agent, and Merrill Lynch, Pierce, Fenner &amp; Smith Incorporated and Wells Fargo Securities</w:t>
        </w:r>
      </w:hyperlink>
      <w:r>
        <w:rPr>
          <w:rFonts w:ascii="Arial" w:cs="Arial" w:eastAsia="Arial" w:hAnsi="Arial"/>
          <w:sz w:val="18"/>
          <w:szCs w:val="18"/>
          <w:u w:val="single" w:color="auto"/>
          <w:color w:val="0000FF"/>
        </w:rPr>
        <w:t xml:space="preserve"> </w:t>
      </w:r>
      <w:hyperlink w:anchor="page144">
        <w:r>
          <w:rPr>
            <w:rFonts w:ascii="Arial" w:cs="Arial" w:eastAsia="Arial" w:hAnsi="Arial"/>
            <w:sz w:val="18"/>
            <w:szCs w:val="18"/>
            <w:u w:val="single" w:color="auto"/>
            <w:color w:val="0000FF"/>
          </w:rPr>
          <w:t>LLC as joint lead arrangers and joint bookrunners, dated April 25, 2018.</w:t>
        </w:r>
      </w:hyperlink>
    </w:p>
    <w:p>
      <w:pPr>
        <w:spacing w:after="0" w:line="181" w:lineRule="exact"/>
        <w:rPr>
          <w:rFonts w:ascii="Arial" w:cs="Arial" w:eastAsia="Arial" w:hAnsi="Arial"/>
          <w:sz w:val="18"/>
          <w:szCs w:val="18"/>
          <w:u w:val="single" w:color="auto"/>
          <w:color w:val="0000FF"/>
        </w:rPr>
      </w:pPr>
    </w:p>
    <w:p>
      <w:pPr>
        <w:spacing w:after="0"/>
        <w:tabs>
          <w:tab w:leader="none" w:pos="640" w:val="left"/>
        </w:tabs>
        <w:rPr>
          <w:rFonts w:ascii="Arial" w:cs="Arial" w:eastAsia="Arial" w:hAnsi="Arial"/>
          <w:sz w:val="16"/>
          <w:szCs w:val="16"/>
          <w:u w:val="single" w:color="auto"/>
          <w:color w:val="0000FF"/>
        </w:rPr>
      </w:pPr>
      <w:hyperlink w:anchor="page276">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276">
        <w:r>
          <w:rPr>
            <w:rFonts w:ascii="Arial" w:cs="Arial" w:eastAsia="Arial" w:hAnsi="Arial"/>
            <w:sz w:val="16"/>
            <w:szCs w:val="16"/>
            <w:u w:val="single" w:color="auto"/>
            <w:color w:val="0000FF"/>
          </w:rPr>
          <w:t>US Press Release relating to a cash offer for Sky by Comcast, dated April 25, 2018.</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FF"/>
        </w:rPr>
      </w:pPr>
      <w:hyperlink w:anchor="page282">
        <w:r>
          <w:rPr>
            <w:rFonts w:ascii="Arial" w:cs="Arial" w:eastAsia="Arial" w:hAnsi="Arial"/>
            <w:sz w:val="18"/>
            <w:szCs w:val="18"/>
            <w:u w:val="single" w:color="auto"/>
            <w:color w:val="0000FF"/>
          </w:rPr>
          <w:t>99.2</w:t>
        </w:r>
      </w:hyperlink>
      <w:r>
        <w:rPr>
          <w:rFonts w:ascii="Arial" w:cs="Arial" w:eastAsia="Arial" w:hAnsi="Arial"/>
          <w:sz w:val="18"/>
          <w:szCs w:val="18"/>
          <w:u w:val="single" w:color="auto"/>
          <w:color w:val="0000FF"/>
        </w:rPr>
        <w:tab/>
      </w:r>
      <w:hyperlink w:anchor="page282">
        <w:r>
          <w:rPr>
            <w:rFonts w:ascii="Arial" w:cs="Arial" w:eastAsia="Arial" w:hAnsi="Arial"/>
            <w:sz w:val="16"/>
            <w:szCs w:val="16"/>
            <w:u w:val="single" w:color="auto"/>
            <w:color w:val="0000FF"/>
          </w:rPr>
          <w:t>UK Announcement of a cash offer for Sky by Comcast, dated April 25, 2018.</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 shall there be any sale, issuance, exchange or transfer of the securities referred to in this document in any jurisdiction in contravention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and Sky and their respective associated companies will operate in the future and are subject to risks and uncertainties that could cause actual results to differ materially from those expressed or implied by those statements.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forward-looking statements contained in this document may relate to the financial position, business strategy, plans and objectives of management for future operations of Comcast, NBCUniversal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NBCUniversal nor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 should not place any reliance on forward looking statements, which speak only as of the date of the relevant document. Each of Comcast and NBCUniversal expressly disclaims any obligation or undertaking to update or revise any forward-looking statement (except to the extent legally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860" w:type="dxa"/>
            <w:vAlign w:val="bottom"/>
            <w:gridSpan w:val="3"/>
          </w:tcPr>
          <w:p>
            <w:pPr>
              <w:ind w:left="182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60"/>
              <w:spacing w:after="0"/>
              <w:rPr>
                <w:sz w:val="20"/>
                <w:szCs w:val="20"/>
                <w:color w:val="auto"/>
              </w:rPr>
            </w:pPr>
            <w:r>
              <w:rPr>
                <w:rFonts w:ascii="Arial" w:cs="Arial" w:eastAsia="Arial" w:hAnsi="Arial"/>
                <w:sz w:val="18"/>
                <w:szCs w:val="18"/>
                <w:color w:val="auto"/>
              </w:rPr>
              <w:t>April 25, 2018</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r>
      <w:tr>
        <w:trPr>
          <w:trHeight w:val="195"/>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ind w:left="12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1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59"/>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60" w:type="dxa"/>
            <w:vAlign w:val="bottom"/>
            <w:gridSpan w:val="3"/>
          </w:tcPr>
          <w:p>
            <w:pPr>
              <w:ind w:left="1820"/>
              <w:spacing w:after="0"/>
              <w:rPr>
                <w:sz w:val="20"/>
                <w:szCs w:val="20"/>
                <w:color w:val="auto"/>
              </w:rPr>
            </w:pPr>
            <w:r>
              <w:rPr>
                <w:rFonts w:ascii="Arial" w:cs="Arial" w:eastAsia="Arial" w:hAnsi="Arial"/>
                <w:sz w:val="18"/>
                <w:szCs w:val="18"/>
                <w:b w:val="1"/>
                <w:bCs w:val="1"/>
                <w:color w:val="auto"/>
              </w:rPr>
              <w:t>NBCUNIVERSAL MEDIA, LLC</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60"/>
              <w:spacing w:after="0"/>
              <w:rPr>
                <w:sz w:val="20"/>
                <w:szCs w:val="20"/>
                <w:color w:val="auto"/>
              </w:rPr>
            </w:pPr>
            <w:r>
              <w:rPr>
                <w:rFonts w:ascii="Arial" w:cs="Arial" w:eastAsia="Arial" w:hAnsi="Arial"/>
                <w:sz w:val="18"/>
                <w:szCs w:val="18"/>
                <w:color w:val="auto"/>
              </w:rPr>
              <w:t>April 25, 2018</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r>
      <w:tr>
        <w:trPr>
          <w:trHeight w:val="195"/>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ind w:left="12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554"/>
        </w:trPr>
        <w:tc>
          <w:tcPr>
            <w:tcW w:w="5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6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4"/>
                <w:szCs w:val="24"/>
                <w:color w:val="auto"/>
              </w:rPr>
            </w:pPr>
          </w:p>
        </w:tc>
      </w:tr>
      <w:tr>
        <w:trPr>
          <w:trHeight w:val="411"/>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w w:val="93"/>
              </w:rPr>
              <w:t>Term Loan Credit Agreement among Comcast, the financial institutions party thereto, Bank of America, N.A., as administrative agent,</w:t>
            </w: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w w:val="92"/>
              </w:rPr>
              <w:t>Wells Fargo Bank, National Association, as syndication agent, and Merrill Lynch, Pierce, Fenner &amp; Smith Incorporated and Wells Fargo</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Securities LLC, as joint lead arrangers and joint bookrunners, dated April 25, 2018.</w:t>
            </w:r>
          </w:p>
        </w:tc>
        <w:tc>
          <w:tcPr>
            <w:tcW w:w="4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A 364-day Bridge Loan Credit Agreement among Comcast, the financial institutions party thereto, Bank of America, N.A., as</w:t>
            </w:r>
          </w:p>
        </w:tc>
        <w:tc>
          <w:tcPr>
            <w:tcW w:w="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w w:val="99"/>
              </w:rPr>
              <w:t>administrative agent, Wells Fargo Bank, National Association, as syndication agent, and Merrill Lynch, Pierce, Fenner &amp; Smith</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Incorporated and Wells Fargo Securities LLC as joint lead arrangers and joint bookrunners, dated April 25, 2018.</w:t>
            </w:r>
          </w:p>
        </w:tc>
        <w:tc>
          <w:tcPr>
            <w:tcW w:w="4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US Press Release relating to a cash offer for Sky by Comcast, dated April 25, 2018.</w:t>
            </w:r>
          </w:p>
        </w:tc>
        <w:tc>
          <w:tcPr>
            <w:tcW w:w="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99.2</w:t>
            </w:r>
          </w:p>
        </w:tc>
        <w:tc>
          <w:tcPr>
            <w:tcW w:w="10160" w:type="dxa"/>
            <w:vAlign w:val="bottom"/>
            <w:gridSpan w:val="2"/>
          </w:tcPr>
          <w:p>
            <w:pPr>
              <w:ind w:left="200"/>
              <w:spacing w:after="0"/>
              <w:rPr>
                <w:sz w:val="20"/>
                <w:szCs w:val="20"/>
                <w:color w:val="auto"/>
              </w:rPr>
            </w:pPr>
            <w:r>
              <w:rPr>
                <w:rFonts w:ascii="Arial" w:cs="Arial" w:eastAsia="Arial" w:hAnsi="Arial"/>
                <w:sz w:val="18"/>
                <w:szCs w:val="18"/>
                <w:color w:val="auto"/>
              </w:rPr>
              <w:t>UK Announcement of a cash offer for Sky by Comcast, dated April 25, 2018.</w:t>
            </w:r>
          </w:p>
        </w:tc>
        <w:tc>
          <w:tcPr>
            <w:tcW w:w="40" w:type="dxa"/>
            <w:vAlign w:val="bottom"/>
          </w:tcPr>
          <w:p>
            <w:pPr>
              <w:spacing w:after="0"/>
              <w:rPr>
                <w:sz w:val="24"/>
                <w:szCs w:val="24"/>
                <w:color w:val="auto"/>
              </w:rPr>
            </w:pPr>
          </w:p>
        </w:tc>
      </w:tr>
      <w:tr>
        <w:trPr>
          <w:trHeight w:val="527"/>
        </w:trPr>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Financial Institutions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MERRILL LYNCH, PIERCE, FENNER &amp; SMITH INCORPORATED</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WELLS FARGO SECURITIES LLC,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889000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82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40"/>
        </w:trPr>
        <w:tc>
          <w:tcPr>
            <w:tcW w:w="886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1.01</w:t>
            </w:r>
          </w:p>
        </w:tc>
        <w:tc>
          <w:tcPr>
            <w:tcW w:w="82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1.02</w:t>
            </w:r>
          </w:p>
        </w:tc>
        <w:tc>
          <w:tcPr>
            <w:tcW w:w="8260" w:type="dxa"/>
            <w:vAlign w:val="bottom"/>
          </w:tcPr>
          <w:p>
            <w:pPr>
              <w:ind w:left="80"/>
              <w:spacing w:after="0"/>
              <w:rPr>
                <w:sz w:val="20"/>
                <w:szCs w:val="20"/>
                <w:color w:val="auto"/>
              </w:rPr>
            </w:pPr>
            <w:r>
              <w:rPr>
                <w:rFonts w:ascii="Arial" w:cs="Arial" w:eastAsia="Arial" w:hAnsi="Arial"/>
                <w:sz w:val="18"/>
                <w:szCs w:val="18"/>
                <w:color w:val="auto"/>
              </w:rPr>
              <w:t>Use of Certain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1.03</w:t>
            </w:r>
          </w:p>
        </w:tc>
        <w:tc>
          <w:tcPr>
            <w:tcW w:w="826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1.04</w:t>
            </w:r>
          </w:p>
        </w:tc>
        <w:tc>
          <w:tcPr>
            <w:tcW w:w="8260" w:type="dxa"/>
            <w:vAlign w:val="bottom"/>
          </w:tcPr>
          <w:p>
            <w:pPr>
              <w:ind w:left="80"/>
              <w:spacing w:after="0"/>
              <w:rPr>
                <w:sz w:val="20"/>
                <w:szCs w:val="20"/>
                <w:color w:val="auto"/>
              </w:rPr>
            </w:pPr>
            <w:r>
              <w:rPr>
                <w:rFonts w:ascii="Arial" w:cs="Arial" w:eastAsia="Arial" w:hAnsi="Arial"/>
                <w:sz w:val="18"/>
                <w:szCs w:val="18"/>
                <w:color w:val="auto"/>
              </w:rPr>
              <w:t>Rounding</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1.05</w:t>
            </w:r>
          </w:p>
        </w:tc>
        <w:tc>
          <w:tcPr>
            <w:tcW w:w="8260" w:type="dxa"/>
            <w:vAlign w:val="bottom"/>
          </w:tcPr>
          <w:p>
            <w:pPr>
              <w:ind w:left="80"/>
              <w:spacing w:after="0"/>
              <w:rPr>
                <w:sz w:val="20"/>
                <w:szCs w:val="20"/>
                <w:color w:val="auto"/>
              </w:rPr>
            </w:pPr>
            <w:r>
              <w:rPr>
                <w:rFonts w:ascii="Arial" w:cs="Arial" w:eastAsia="Arial" w:hAnsi="Arial"/>
                <w:sz w:val="18"/>
                <w:szCs w:val="18"/>
                <w:color w:val="auto"/>
              </w:rPr>
              <w:t>Exhibits and Schedules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1.06</w:t>
            </w:r>
          </w:p>
        </w:tc>
        <w:tc>
          <w:tcPr>
            <w:tcW w:w="8260" w:type="dxa"/>
            <w:vAlign w:val="bottom"/>
          </w:tcPr>
          <w:p>
            <w:pPr>
              <w:ind w:left="80"/>
              <w:spacing w:after="0"/>
              <w:rPr>
                <w:sz w:val="20"/>
                <w:szCs w:val="20"/>
                <w:color w:val="auto"/>
              </w:rPr>
            </w:pPr>
            <w:r>
              <w:rPr>
                <w:rFonts w:ascii="Arial" w:cs="Arial" w:eastAsia="Arial" w:hAnsi="Arial"/>
                <w:sz w:val="18"/>
                <w:szCs w:val="18"/>
                <w:color w:val="auto"/>
              </w:rPr>
              <w:t>References to Agreements and Laws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1.07</w:t>
            </w:r>
          </w:p>
        </w:tc>
        <w:tc>
          <w:tcPr>
            <w:tcW w:w="8260" w:type="dxa"/>
            <w:vAlign w:val="bottom"/>
          </w:tcPr>
          <w:p>
            <w:pPr>
              <w:ind w:left="80"/>
              <w:spacing w:after="0"/>
              <w:rPr>
                <w:sz w:val="20"/>
                <w:szCs w:val="20"/>
                <w:color w:val="auto"/>
              </w:rPr>
            </w:pPr>
            <w:r>
              <w:rPr>
                <w:rFonts w:ascii="Arial" w:cs="Arial" w:eastAsia="Arial" w:hAnsi="Arial"/>
                <w:sz w:val="18"/>
                <w:szCs w:val="18"/>
                <w:color w:val="auto"/>
              </w:rPr>
              <w:t>Pro Forma Calculations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1.08</w:t>
            </w:r>
          </w:p>
        </w:tc>
        <w:tc>
          <w:tcPr>
            <w:tcW w:w="8260" w:type="dxa"/>
            <w:vAlign w:val="bottom"/>
          </w:tcPr>
          <w:p>
            <w:pPr>
              <w:ind w:left="80"/>
              <w:spacing w:after="0"/>
              <w:rPr>
                <w:sz w:val="20"/>
                <w:szCs w:val="20"/>
                <w:color w:val="auto"/>
              </w:rPr>
            </w:pPr>
            <w:r>
              <w:rPr>
                <w:rFonts w:ascii="Arial" w:cs="Arial" w:eastAsia="Arial" w:hAnsi="Arial"/>
                <w:sz w:val="18"/>
                <w:szCs w:val="18"/>
                <w:color w:val="auto"/>
              </w:rPr>
              <w:t>Rates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1.09</w:t>
            </w:r>
          </w:p>
        </w:tc>
        <w:tc>
          <w:tcPr>
            <w:tcW w:w="8260" w:type="dxa"/>
            <w:vAlign w:val="bottom"/>
          </w:tcPr>
          <w:p>
            <w:pPr>
              <w:ind w:left="80"/>
              <w:spacing w:after="0"/>
              <w:rPr>
                <w:sz w:val="20"/>
                <w:szCs w:val="20"/>
                <w:color w:val="auto"/>
              </w:rPr>
            </w:pPr>
            <w:r>
              <w:rPr>
                <w:rFonts w:ascii="Arial" w:cs="Arial" w:eastAsia="Arial" w:hAnsi="Arial"/>
                <w:sz w:val="18"/>
                <w:szCs w:val="18"/>
                <w:color w:val="auto"/>
              </w:rPr>
              <w:t>Currency Equivalents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2 THE COMMITMENTS AND EXTENSIONS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2.01</w:t>
            </w:r>
          </w:p>
        </w:tc>
        <w:tc>
          <w:tcPr>
            <w:tcW w:w="8260" w:type="dxa"/>
            <w:vAlign w:val="bottom"/>
          </w:tcPr>
          <w:p>
            <w:pPr>
              <w:ind w:left="60"/>
              <w:spacing w:after="0"/>
              <w:rPr>
                <w:sz w:val="20"/>
                <w:szCs w:val="20"/>
                <w:color w:val="auto"/>
              </w:rPr>
            </w:pPr>
            <w:r>
              <w:rPr>
                <w:rFonts w:ascii="Arial" w:cs="Arial" w:eastAsia="Arial" w:hAnsi="Arial"/>
                <w:sz w:val="18"/>
                <w:szCs w:val="18"/>
                <w:color w:val="auto"/>
              </w:rPr>
              <w:t>Amount and Terms of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2.02</w:t>
            </w:r>
          </w:p>
        </w:tc>
        <w:tc>
          <w:tcPr>
            <w:tcW w:w="8260" w:type="dxa"/>
            <w:vAlign w:val="bottom"/>
          </w:tcPr>
          <w:p>
            <w:pPr>
              <w:ind w:left="80"/>
              <w:spacing w:after="0"/>
              <w:rPr>
                <w:sz w:val="20"/>
                <w:szCs w:val="20"/>
                <w:color w:val="auto"/>
              </w:rPr>
            </w:pPr>
            <w:r>
              <w:rPr>
                <w:rFonts w:ascii="Arial" w:cs="Arial" w:eastAsia="Arial" w:hAnsi="Arial"/>
                <w:sz w:val="18"/>
                <w:szCs w:val="18"/>
                <w:color w:val="auto"/>
              </w:rPr>
              <w:t>Procedure for Borrowings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2.03</w:t>
            </w:r>
          </w:p>
        </w:tc>
        <w:tc>
          <w:tcPr>
            <w:tcW w:w="82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2.04</w:t>
            </w:r>
          </w:p>
        </w:tc>
        <w:tc>
          <w:tcPr>
            <w:tcW w:w="82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2.05</w:t>
            </w:r>
          </w:p>
        </w:tc>
        <w:tc>
          <w:tcPr>
            <w:tcW w:w="8260" w:type="dxa"/>
            <w:vAlign w:val="bottom"/>
          </w:tcPr>
          <w:p>
            <w:pPr>
              <w:ind w:left="80"/>
              <w:spacing w:after="0"/>
              <w:rPr>
                <w:sz w:val="20"/>
                <w:szCs w:val="20"/>
                <w:color w:val="auto"/>
              </w:rPr>
            </w:pPr>
            <w:r>
              <w:rPr>
                <w:rFonts w:ascii="Arial" w:cs="Arial" w:eastAsia="Arial" w:hAnsi="Arial"/>
                <w:sz w:val="18"/>
                <w:szCs w:val="18"/>
                <w:color w:val="auto"/>
              </w:rPr>
              <w:t>Reduction or Termination of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2.06</w:t>
            </w:r>
          </w:p>
        </w:tc>
        <w:tc>
          <w:tcPr>
            <w:tcW w:w="8260" w:type="dxa"/>
            <w:vAlign w:val="bottom"/>
          </w:tcPr>
          <w:p>
            <w:pPr>
              <w:ind w:left="80"/>
              <w:spacing w:after="0"/>
              <w:rPr>
                <w:sz w:val="20"/>
                <w:szCs w:val="20"/>
                <w:color w:val="auto"/>
              </w:rPr>
            </w:pPr>
            <w:r>
              <w:rPr>
                <w:rFonts w:ascii="Arial" w:cs="Arial" w:eastAsia="Arial" w:hAnsi="Arial"/>
                <w:sz w:val="18"/>
                <w:szCs w:val="18"/>
                <w:color w:val="auto"/>
              </w:rPr>
              <w:t>Prepayments and Repayments of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2.07</w:t>
            </w:r>
          </w:p>
        </w:tc>
        <w:tc>
          <w:tcPr>
            <w:tcW w:w="8260" w:type="dxa"/>
            <w:vAlign w:val="bottom"/>
          </w:tcPr>
          <w:p>
            <w:pPr>
              <w:ind w:left="80"/>
              <w:spacing w:after="0"/>
              <w:rPr>
                <w:sz w:val="20"/>
                <w:szCs w:val="20"/>
                <w:color w:val="auto"/>
              </w:rPr>
            </w:pPr>
            <w:r>
              <w:rPr>
                <w:rFonts w:ascii="Arial" w:cs="Arial" w:eastAsia="Arial" w:hAnsi="Arial"/>
                <w:sz w:val="18"/>
                <w:szCs w:val="18"/>
                <w:color w:val="auto"/>
              </w:rPr>
              <w:t>Documentation of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2.08</w:t>
            </w:r>
          </w:p>
        </w:tc>
        <w:tc>
          <w:tcPr>
            <w:tcW w:w="8260" w:type="dxa"/>
            <w:vAlign w:val="bottom"/>
          </w:tcPr>
          <w:p>
            <w:pPr>
              <w:ind w:left="80"/>
              <w:spacing w:after="0"/>
              <w:rPr>
                <w:sz w:val="20"/>
                <w:szCs w:val="20"/>
                <w:color w:val="auto"/>
              </w:rPr>
            </w:pPr>
            <w:r>
              <w:rPr>
                <w:rFonts w:ascii="Arial" w:cs="Arial" w:eastAsia="Arial" w:hAnsi="Arial"/>
                <w:sz w:val="18"/>
                <w:szCs w:val="18"/>
                <w:color w:val="auto"/>
              </w:rPr>
              <w:t>Continuation and Conversion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2.09</w:t>
            </w:r>
          </w:p>
        </w:tc>
        <w:tc>
          <w:tcPr>
            <w:tcW w:w="8260" w:type="dxa"/>
            <w:vAlign w:val="bottom"/>
          </w:tcPr>
          <w:p>
            <w:pPr>
              <w:ind w:left="80"/>
              <w:spacing w:after="0"/>
              <w:rPr>
                <w:sz w:val="20"/>
                <w:szCs w:val="20"/>
                <w:color w:val="auto"/>
              </w:rPr>
            </w:pPr>
            <w:r>
              <w:rPr>
                <w:rFonts w:ascii="Arial" w:cs="Arial" w:eastAsia="Arial" w:hAnsi="Arial"/>
                <w:sz w:val="18"/>
                <w:szCs w:val="18"/>
                <w:color w:val="auto"/>
              </w:rPr>
              <w:t>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2.10</w:t>
            </w:r>
          </w:p>
        </w:tc>
        <w:tc>
          <w:tcPr>
            <w:tcW w:w="8260" w:type="dxa"/>
            <w:vAlign w:val="bottom"/>
          </w:tcPr>
          <w:p>
            <w:pPr>
              <w:ind w:left="80"/>
              <w:spacing w:after="0"/>
              <w:rPr>
                <w:sz w:val="20"/>
                <w:szCs w:val="20"/>
                <w:color w:val="auto"/>
              </w:rPr>
            </w:pPr>
            <w:r>
              <w:rPr>
                <w:rFonts w:ascii="Arial" w:cs="Arial" w:eastAsia="Arial" w:hAnsi="Arial"/>
                <w:sz w:val="18"/>
                <w:szCs w:val="18"/>
                <w:color w:val="auto"/>
              </w:rPr>
              <w:t>Fees</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2.11  Computation of Interest and Fees</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2.12</w:t>
            </w:r>
          </w:p>
        </w:tc>
        <w:tc>
          <w:tcPr>
            <w:tcW w:w="8260" w:type="dxa"/>
            <w:vAlign w:val="bottom"/>
          </w:tcPr>
          <w:p>
            <w:pPr>
              <w:ind w:left="80"/>
              <w:spacing w:after="0"/>
              <w:rPr>
                <w:sz w:val="20"/>
                <w:szCs w:val="20"/>
                <w:color w:val="auto"/>
              </w:rPr>
            </w:pPr>
            <w:r>
              <w:rPr>
                <w:rFonts w:ascii="Arial" w:cs="Arial" w:eastAsia="Arial" w:hAnsi="Arial"/>
                <w:sz w:val="18"/>
                <w:szCs w:val="18"/>
                <w:color w:val="auto"/>
              </w:rPr>
              <w:t>Making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2.13</w:t>
            </w:r>
          </w:p>
        </w:tc>
        <w:tc>
          <w:tcPr>
            <w:tcW w:w="8260" w:type="dxa"/>
            <w:vAlign w:val="bottom"/>
          </w:tcPr>
          <w:p>
            <w:pPr>
              <w:ind w:left="80"/>
              <w:spacing w:after="0"/>
              <w:rPr>
                <w:sz w:val="20"/>
                <w:szCs w:val="20"/>
                <w:color w:val="auto"/>
              </w:rPr>
            </w:pPr>
            <w:r>
              <w:rPr>
                <w:rFonts w:ascii="Arial" w:cs="Arial" w:eastAsia="Arial" w:hAnsi="Arial"/>
                <w:sz w:val="18"/>
                <w:szCs w:val="18"/>
                <w:color w:val="auto"/>
              </w:rPr>
              <w:t>Funding Sources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2.14</w:t>
            </w:r>
          </w:p>
        </w:tc>
        <w:tc>
          <w:tcPr>
            <w:tcW w:w="8260" w:type="dxa"/>
            <w:vAlign w:val="bottom"/>
          </w:tcPr>
          <w:p>
            <w:pPr>
              <w:ind w:left="80"/>
              <w:spacing w:after="0"/>
              <w:rPr>
                <w:sz w:val="20"/>
                <w:szCs w:val="20"/>
                <w:color w:val="auto"/>
              </w:rPr>
            </w:pPr>
            <w:r>
              <w:rPr>
                <w:rFonts w:ascii="Arial" w:cs="Arial" w:eastAsia="Arial" w:hAnsi="Arial"/>
                <w:sz w:val="18"/>
                <w:szCs w:val="18"/>
                <w:color w:val="auto"/>
              </w:rPr>
              <w:t>Defaulting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3.01</w:t>
            </w:r>
          </w:p>
        </w:tc>
        <w:tc>
          <w:tcPr>
            <w:tcW w:w="8260" w:type="dxa"/>
            <w:vAlign w:val="bottom"/>
          </w:tcPr>
          <w:p>
            <w:pPr>
              <w:ind w:left="8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3.02</w:t>
            </w:r>
          </w:p>
        </w:tc>
        <w:tc>
          <w:tcPr>
            <w:tcW w:w="8260" w:type="dxa"/>
            <w:vAlign w:val="bottom"/>
          </w:tcPr>
          <w:p>
            <w:pPr>
              <w:ind w:left="80"/>
              <w:spacing w:after="0"/>
              <w:rPr>
                <w:sz w:val="20"/>
                <w:szCs w:val="20"/>
                <w:color w:val="auto"/>
              </w:rPr>
            </w:pPr>
            <w:r>
              <w:rPr>
                <w:rFonts w:ascii="Arial" w:cs="Arial" w:eastAsia="Arial" w:hAnsi="Arial"/>
                <w:sz w:val="18"/>
                <w:szCs w:val="18"/>
                <w:color w:val="auto"/>
              </w:rPr>
              <w:t>Illegality</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3.03</w:t>
            </w:r>
          </w:p>
        </w:tc>
        <w:tc>
          <w:tcPr>
            <w:tcW w:w="8260" w:type="dxa"/>
            <w:vAlign w:val="bottom"/>
          </w:tcPr>
          <w:p>
            <w:pPr>
              <w:ind w:left="80"/>
              <w:spacing w:after="0"/>
              <w:rPr>
                <w:sz w:val="20"/>
                <w:szCs w:val="20"/>
                <w:color w:val="auto"/>
              </w:rPr>
            </w:pPr>
            <w:r>
              <w:rPr>
                <w:rFonts w:ascii="Arial" w:cs="Arial" w:eastAsia="Arial" w:hAnsi="Arial"/>
                <w:sz w:val="18"/>
                <w:szCs w:val="18"/>
                <w:color w:val="auto"/>
              </w:rPr>
              <w:t>Inability to Determine Eurodollar Rates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3.04</w:t>
            </w:r>
          </w:p>
        </w:tc>
        <w:tc>
          <w:tcPr>
            <w:tcW w:w="8260" w:type="dxa"/>
            <w:vAlign w:val="bottom"/>
          </w:tcPr>
          <w:p>
            <w:pPr>
              <w:ind w:left="80"/>
              <w:spacing w:after="0"/>
              <w:rPr>
                <w:sz w:val="20"/>
                <w:szCs w:val="20"/>
                <w:color w:val="auto"/>
              </w:rPr>
            </w:pPr>
            <w:r>
              <w:rPr>
                <w:rFonts w:ascii="Arial" w:cs="Arial" w:eastAsia="Arial" w:hAnsi="Arial"/>
                <w:sz w:val="18"/>
                <w:szCs w:val="18"/>
                <w:color w:val="auto"/>
              </w:rPr>
              <w:t>Increased Cost and Reduced Return; Capital Adequacy</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3.05</w:t>
            </w:r>
          </w:p>
        </w:tc>
        <w:tc>
          <w:tcPr>
            <w:tcW w:w="8260" w:type="dxa"/>
            <w:vAlign w:val="bottom"/>
          </w:tcPr>
          <w:p>
            <w:pPr>
              <w:ind w:left="80"/>
              <w:spacing w:after="0"/>
              <w:rPr>
                <w:sz w:val="20"/>
                <w:szCs w:val="20"/>
                <w:color w:val="auto"/>
              </w:rPr>
            </w:pPr>
            <w:r>
              <w:rPr>
                <w:rFonts w:ascii="Arial" w:cs="Arial" w:eastAsia="Arial" w:hAnsi="Arial"/>
                <w:sz w:val="18"/>
                <w:szCs w:val="18"/>
                <w:color w:val="auto"/>
              </w:rPr>
              <w:t>Breakfunding Costs</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3.06</w:t>
            </w:r>
          </w:p>
        </w:tc>
        <w:tc>
          <w:tcPr>
            <w:tcW w:w="8260" w:type="dxa"/>
            <w:vAlign w:val="bottom"/>
          </w:tcPr>
          <w:p>
            <w:pPr>
              <w:ind w:left="80"/>
              <w:spacing w:after="0"/>
              <w:rPr>
                <w:sz w:val="20"/>
                <w:szCs w:val="20"/>
                <w:color w:val="auto"/>
              </w:rPr>
            </w:pPr>
            <w:r>
              <w:rPr>
                <w:rFonts w:ascii="Arial" w:cs="Arial" w:eastAsia="Arial" w:hAnsi="Arial"/>
                <w:sz w:val="18"/>
                <w:szCs w:val="18"/>
                <w:color w:val="auto"/>
              </w:rPr>
              <w:t>Matters Applicable to all Requests for 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3.07</w:t>
            </w:r>
          </w:p>
        </w:tc>
        <w:tc>
          <w:tcPr>
            <w:tcW w:w="8260" w:type="dxa"/>
            <w:vAlign w:val="bottom"/>
          </w:tcPr>
          <w:p>
            <w:pPr>
              <w:ind w:left="80"/>
              <w:spacing w:after="0"/>
              <w:rPr>
                <w:sz w:val="20"/>
                <w:szCs w:val="20"/>
                <w:color w:val="auto"/>
              </w:rPr>
            </w:pPr>
            <w:r>
              <w:rPr>
                <w:rFonts w:ascii="Arial" w:cs="Arial" w:eastAsia="Arial" w:hAnsi="Arial"/>
                <w:sz w:val="18"/>
                <w:szCs w:val="18"/>
                <w:color w:val="auto"/>
              </w:rPr>
              <w:t>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4 CONDITIONS PRECEDENT TO EXTENSIONS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4.01</w:t>
            </w:r>
          </w:p>
        </w:tc>
        <w:tc>
          <w:tcPr>
            <w:tcW w:w="8260" w:type="dxa"/>
            <w:vAlign w:val="bottom"/>
          </w:tcPr>
          <w:p>
            <w:pPr>
              <w:ind w:left="80"/>
              <w:spacing w:after="0"/>
              <w:rPr>
                <w:sz w:val="20"/>
                <w:szCs w:val="20"/>
                <w:color w:val="auto"/>
              </w:rPr>
            </w:pPr>
            <w:r>
              <w:rPr>
                <w:rFonts w:ascii="Arial" w:cs="Arial" w:eastAsia="Arial" w:hAnsi="Arial"/>
                <w:sz w:val="18"/>
                <w:szCs w:val="18"/>
                <w:color w:val="auto"/>
              </w:rPr>
              <w:t>Conditions Precedent to Effective Date</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4.02</w:t>
            </w:r>
          </w:p>
        </w:tc>
        <w:tc>
          <w:tcPr>
            <w:tcW w:w="8260" w:type="dxa"/>
            <w:vAlign w:val="bottom"/>
          </w:tcPr>
          <w:p>
            <w:pPr>
              <w:ind w:left="80"/>
              <w:spacing w:after="0"/>
              <w:rPr>
                <w:sz w:val="20"/>
                <w:szCs w:val="20"/>
                <w:color w:val="auto"/>
              </w:rPr>
            </w:pPr>
            <w:r>
              <w:rPr>
                <w:rFonts w:ascii="Arial" w:cs="Arial" w:eastAsia="Arial" w:hAnsi="Arial"/>
                <w:sz w:val="18"/>
                <w:szCs w:val="18"/>
                <w:color w:val="auto"/>
              </w:rPr>
              <w:t>Conditions Precedent to Borrowings</w:t>
            </w:r>
          </w:p>
        </w:tc>
        <w:tc>
          <w:tcPr>
            <w:tcW w:w="2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4.03</w:t>
            </w:r>
          </w:p>
        </w:tc>
        <w:tc>
          <w:tcPr>
            <w:tcW w:w="8260" w:type="dxa"/>
            <w:vAlign w:val="bottom"/>
          </w:tcPr>
          <w:p>
            <w:pPr>
              <w:ind w:left="80"/>
              <w:spacing w:after="0"/>
              <w:rPr>
                <w:sz w:val="20"/>
                <w:szCs w:val="20"/>
                <w:color w:val="auto"/>
              </w:rPr>
            </w:pPr>
            <w:r>
              <w:rPr>
                <w:rFonts w:ascii="Arial" w:cs="Arial" w:eastAsia="Arial" w:hAnsi="Arial"/>
                <w:sz w:val="18"/>
                <w:szCs w:val="18"/>
                <w:color w:val="auto"/>
              </w:rPr>
              <w:t>Determinations Under Sections 4.01 and 4.02</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6"/>
        </w:trPr>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7140" w:type="dxa"/>
            <w:vAlign w:val="bottom"/>
          </w:tcPr>
          <w:p>
            <w:pPr>
              <w:ind w:left="60"/>
              <w:spacing w:after="0"/>
              <w:rPr>
                <w:sz w:val="20"/>
                <w:szCs w:val="20"/>
                <w:color w:val="auto"/>
              </w:rPr>
            </w:pPr>
            <w:r>
              <w:rPr>
                <w:rFonts w:ascii="Arial" w:cs="Arial" w:eastAsia="Arial" w:hAnsi="Arial"/>
                <w:sz w:val="18"/>
                <w:szCs w:val="18"/>
                <w:color w:val="auto"/>
              </w:rPr>
              <w:t>Actions by Lenders During Certain Funds Period</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7140" w:type="dxa"/>
            <w:vAlign w:val="bottom"/>
          </w:tcPr>
          <w:p>
            <w:pPr>
              <w:ind w:left="80"/>
              <w:spacing w:after="0"/>
              <w:rPr>
                <w:sz w:val="20"/>
                <w:szCs w:val="20"/>
                <w:color w:val="auto"/>
              </w:rPr>
            </w:pPr>
            <w:r>
              <w:rPr>
                <w:rFonts w:ascii="Arial" w:cs="Arial" w:eastAsia="Arial" w:hAnsi="Arial"/>
                <w:sz w:val="18"/>
                <w:szCs w:val="18"/>
                <w:color w:val="auto"/>
              </w:rPr>
              <w:t>Existence and Qualification; Compliance with Laws</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7140" w:type="dxa"/>
            <w:vAlign w:val="bottom"/>
          </w:tcPr>
          <w:p>
            <w:pPr>
              <w:ind w:left="80"/>
              <w:spacing w:after="0"/>
              <w:rPr>
                <w:sz w:val="20"/>
                <w:szCs w:val="20"/>
                <w:color w:val="auto"/>
              </w:rPr>
            </w:pPr>
            <w:r>
              <w:rPr>
                <w:rFonts w:ascii="Arial" w:cs="Arial" w:eastAsia="Arial" w:hAnsi="Arial"/>
                <w:sz w:val="18"/>
                <w:szCs w:val="18"/>
                <w:color w:val="auto"/>
              </w:rPr>
              <w:t>Power; Authorization; Enforceable Obligations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7140" w:type="dxa"/>
            <w:vAlign w:val="bottom"/>
          </w:tcPr>
          <w:p>
            <w:pPr>
              <w:ind w:left="80"/>
              <w:spacing w:after="0"/>
              <w:rPr>
                <w:sz w:val="20"/>
                <w:szCs w:val="20"/>
                <w:color w:val="auto"/>
              </w:rPr>
            </w:pPr>
            <w:r>
              <w:rPr>
                <w:rFonts w:ascii="Arial" w:cs="Arial" w:eastAsia="Arial" w:hAnsi="Arial"/>
                <w:sz w:val="18"/>
                <w:szCs w:val="18"/>
                <w:color w:val="auto"/>
              </w:rPr>
              <w:t>No Legal Bar</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Statements; No Material Adverse Effect</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5.05</w:t>
            </w:r>
          </w:p>
        </w:tc>
        <w:tc>
          <w:tcPr>
            <w:tcW w:w="714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714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5.07</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7140" w:type="dxa"/>
            <w:vAlign w:val="bottom"/>
          </w:tcPr>
          <w:p>
            <w:pPr>
              <w:ind w:left="80"/>
              <w:spacing w:after="0"/>
              <w:rPr>
                <w:sz w:val="20"/>
                <w:szCs w:val="20"/>
                <w:color w:val="auto"/>
              </w:rPr>
            </w:pPr>
            <w:r>
              <w:rPr>
                <w:rFonts w:ascii="Arial" w:cs="Arial" w:eastAsia="Arial" w:hAnsi="Arial"/>
                <w:sz w:val="18"/>
                <w:szCs w:val="18"/>
                <w:color w:val="auto"/>
              </w:rPr>
              <w:t>Target Acquisition Documents</w:t>
            </w:r>
          </w:p>
        </w:tc>
        <w:tc>
          <w:tcPr>
            <w:tcW w:w="3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3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7140" w:type="dxa"/>
            <w:vAlign w:val="bottom"/>
          </w:tcPr>
          <w:p>
            <w:pPr>
              <w:ind w:left="80"/>
              <w:spacing w:after="0"/>
              <w:rPr>
                <w:sz w:val="20"/>
                <w:szCs w:val="20"/>
                <w:color w:val="auto"/>
              </w:rPr>
            </w:pPr>
            <w:r>
              <w:rPr>
                <w:rFonts w:ascii="Arial" w:cs="Arial" w:eastAsia="Arial" w:hAnsi="Arial"/>
                <w:sz w:val="18"/>
                <w:szCs w:val="18"/>
                <w:color w:val="auto"/>
              </w:rPr>
              <w:t>Certificates, Notices and Other Information</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7140" w:type="dxa"/>
            <w:vAlign w:val="bottom"/>
          </w:tcPr>
          <w:p>
            <w:pPr>
              <w:ind w:left="80"/>
              <w:spacing w:after="0"/>
              <w:rPr>
                <w:sz w:val="20"/>
                <w:szCs w:val="20"/>
                <w:color w:val="auto"/>
              </w:rPr>
            </w:pPr>
            <w:r>
              <w:rPr>
                <w:rFonts w:ascii="Arial" w:cs="Arial" w:eastAsia="Arial" w:hAnsi="Arial"/>
                <w:sz w:val="18"/>
                <w:szCs w:val="18"/>
                <w:color w:val="auto"/>
              </w:rPr>
              <w:t>Payment of Taxes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7140" w:type="dxa"/>
            <w:vAlign w:val="bottom"/>
          </w:tcPr>
          <w:p>
            <w:pPr>
              <w:ind w:left="80"/>
              <w:spacing w:after="0"/>
              <w:rPr>
                <w:sz w:val="20"/>
                <w:szCs w:val="20"/>
                <w:color w:val="auto"/>
              </w:rPr>
            </w:pPr>
            <w:r>
              <w:rPr>
                <w:rFonts w:ascii="Arial" w:cs="Arial" w:eastAsia="Arial" w:hAnsi="Arial"/>
                <w:sz w:val="18"/>
                <w:szCs w:val="18"/>
                <w:color w:val="auto"/>
              </w:rPr>
              <w:t>Preservation of Existence</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714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7140" w:type="dxa"/>
            <w:vAlign w:val="bottom"/>
          </w:tcPr>
          <w:p>
            <w:pPr>
              <w:ind w:left="80"/>
              <w:spacing w:after="0"/>
              <w:rPr>
                <w:sz w:val="20"/>
                <w:szCs w:val="20"/>
                <w:color w:val="auto"/>
              </w:rPr>
            </w:pPr>
            <w:r>
              <w:rPr>
                <w:rFonts w:ascii="Arial" w:cs="Arial" w:eastAsia="Arial" w:hAnsi="Arial"/>
                <w:sz w:val="18"/>
                <w:szCs w:val="18"/>
                <w:color w:val="auto"/>
              </w:rPr>
              <w:t>Inspection Rights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7140" w:type="dxa"/>
            <w:vAlign w:val="bottom"/>
          </w:tcPr>
          <w:p>
            <w:pPr>
              <w:ind w:left="80"/>
              <w:spacing w:after="0"/>
              <w:rPr>
                <w:sz w:val="20"/>
                <w:szCs w:val="20"/>
                <w:color w:val="auto"/>
              </w:rPr>
            </w:pPr>
            <w:r>
              <w:rPr>
                <w:rFonts w:ascii="Arial" w:cs="Arial" w:eastAsia="Arial" w:hAnsi="Arial"/>
                <w:sz w:val="18"/>
                <w:szCs w:val="18"/>
                <w:color w:val="auto"/>
              </w:rPr>
              <w:t>Keeping of Records and Books of Account</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7140" w:type="dxa"/>
            <w:vAlign w:val="bottom"/>
          </w:tcPr>
          <w:p>
            <w:pPr>
              <w:ind w:left="80"/>
              <w:spacing w:after="0"/>
              <w:rPr>
                <w:sz w:val="20"/>
                <w:szCs w:val="20"/>
                <w:color w:val="auto"/>
              </w:rPr>
            </w:pPr>
            <w:r>
              <w:rPr>
                <w:rFonts w:ascii="Arial" w:cs="Arial" w:eastAsia="Arial" w:hAnsi="Arial"/>
                <w:sz w:val="18"/>
                <w:szCs w:val="18"/>
                <w:color w:val="auto"/>
              </w:rPr>
              <w:t>Designation of Unrestricted Subsidiaries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7140" w:type="dxa"/>
            <w:vAlign w:val="bottom"/>
          </w:tcPr>
          <w:p>
            <w:pPr>
              <w:ind w:left="80"/>
              <w:spacing w:after="0"/>
              <w:rPr>
                <w:sz w:val="20"/>
                <w:szCs w:val="20"/>
                <w:color w:val="auto"/>
              </w:rPr>
            </w:pPr>
            <w:r>
              <w:rPr>
                <w:rFonts w:ascii="Arial" w:cs="Arial" w:eastAsia="Arial" w:hAnsi="Arial"/>
                <w:sz w:val="18"/>
                <w:szCs w:val="18"/>
                <w:color w:val="auto"/>
              </w:rPr>
              <w:t>Guarantors</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7140" w:type="dxa"/>
            <w:vAlign w:val="bottom"/>
          </w:tcPr>
          <w:p>
            <w:pPr>
              <w:ind w:left="80"/>
              <w:spacing w:after="0"/>
              <w:rPr>
                <w:sz w:val="20"/>
                <w:szCs w:val="20"/>
                <w:color w:val="auto"/>
              </w:rPr>
            </w:pPr>
            <w:r>
              <w:rPr>
                <w:rFonts w:ascii="Arial" w:cs="Arial" w:eastAsia="Arial" w:hAnsi="Arial"/>
                <w:sz w:val="18"/>
                <w:szCs w:val="18"/>
                <w:color w:val="auto"/>
              </w:rPr>
              <w:t>Scheme and Offer</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7.01</w:t>
            </w:r>
          </w:p>
        </w:tc>
        <w:tc>
          <w:tcPr>
            <w:tcW w:w="7140" w:type="dxa"/>
            <w:vAlign w:val="bottom"/>
          </w:tcPr>
          <w:p>
            <w:pPr>
              <w:ind w:left="80"/>
              <w:spacing w:after="0"/>
              <w:rPr>
                <w:sz w:val="20"/>
                <w:szCs w:val="20"/>
                <w:color w:val="auto"/>
              </w:rPr>
            </w:pPr>
            <w:r>
              <w:rPr>
                <w:rFonts w:ascii="Arial" w:cs="Arial" w:eastAsia="Arial" w:hAnsi="Arial"/>
                <w:sz w:val="18"/>
                <w:szCs w:val="18"/>
                <w:color w:val="auto"/>
              </w:rPr>
              <w:t>Liens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7140" w:type="dxa"/>
            <w:vAlign w:val="bottom"/>
          </w:tcPr>
          <w:p>
            <w:pPr>
              <w:ind w:left="80"/>
              <w:spacing w:after="0"/>
              <w:rPr>
                <w:sz w:val="20"/>
                <w:szCs w:val="20"/>
                <w:color w:val="auto"/>
              </w:rPr>
            </w:pPr>
            <w:r>
              <w:rPr>
                <w:rFonts w:ascii="Arial" w:cs="Arial" w:eastAsia="Arial" w:hAnsi="Arial"/>
                <w:sz w:val="18"/>
                <w:szCs w:val="18"/>
                <w:color w:val="auto"/>
              </w:rPr>
              <w:t>Non-Guarantor Subsidiary Indebtedness</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7140" w:type="dxa"/>
            <w:vAlign w:val="bottom"/>
          </w:tcPr>
          <w:p>
            <w:pPr>
              <w:ind w:left="80"/>
              <w:spacing w:after="0"/>
              <w:rPr>
                <w:sz w:val="20"/>
                <w:szCs w:val="20"/>
                <w:color w:val="auto"/>
              </w:rPr>
            </w:pPr>
            <w:r>
              <w:rPr>
                <w:rFonts w:ascii="Arial" w:cs="Arial" w:eastAsia="Arial" w:hAnsi="Arial"/>
                <w:sz w:val="18"/>
                <w:szCs w:val="18"/>
                <w:color w:val="auto"/>
              </w:rPr>
              <w:t>Fundamental Changes</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7140" w:type="dxa"/>
            <w:vAlign w:val="bottom"/>
          </w:tcPr>
          <w:p>
            <w:pPr>
              <w:ind w:left="80"/>
              <w:spacing w:after="0"/>
              <w:rPr>
                <w:sz w:val="20"/>
                <w:szCs w:val="20"/>
                <w:color w:val="auto"/>
              </w:rPr>
            </w:pPr>
            <w:r>
              <w:rPr>
                <w:rFonts w:ascii="Arial" w:cs="Arial" w:eastAsia="Arial" w:hAnsi="Arial"/>
                <w:sz w:val="18"/>
                <w:szCs w:val="18"/>
                <w:color w:val="auto"/>
              </w:rPr>
              <w:t>ERISA</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Covenant</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7140" w:type="dxa"/>
            <w:vAlign w:val="bottom"/>
          </w:tcPr>
          <w:p>
            <w:pPr>
              <w:ind w:left="80"/>
              <w:spacing w:after="0"/>
              <w:rPr>
                <w:sz w:val="20"/>
                <w:szCs w:val="20"/>
                <w:color w:val="auto"/>
              </w:rPr>
            </w:pPr>
            <w:r>
              <w:rPr>
                <w:rFonts w:ascii="Arial" w:cs="Arial" w:eastAsia="Arial" w:hAnsi="Arial"/>
                <w:sz w:val="18"/>
                <w:szCs w:val="18"/>
                <w:color w:val="auto"/>
              </w:rPr>
              <w:t>Scheme and Offer</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3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8.01</w:t>
            </w:r>
          </w:p>
        </w:tc>
        <w:tc>
          <w:tcPr>
            <w:tcW w:w="714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3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7140" w:type="dxa"/>
            <w:vAlign w:val="bottom"/>
          </w:tcPr>
          <w:p>
            <w:pPr>
              <w:ind w:left="80"/>
              <w:spacing w:after="0"/>
              <w:rPr>
                <w:sz w:val="20"/>
                <w:szCs w:val="20"/>
                <w:color w:val="auto"/>
              </w:rPr>
            </w:pPr>
            <w:r>
              <w:rPr>
                <w:rFonts w:ascii="Arial" w:cs="Arial" w:eastAsia="Arial" w:hAnsi="Arial"/>
                <w:sz w:val="18"/>
                <w:szCs w:val="18"/>
                <w:color w:val="auto"/>
              </w:rPr>
              <w:t>Remedies Upon Event of Default</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7140" w:type="dxa"/>
            <w:vAlign w:val="bottom"/>
          </w:tcPr>
          <w:p>
            <w:pPr>
              <w:ind w:left="80"/>
              <w:spacing w:after="0"/>
              <w:rPr>
                <w:sz w:val="20"/>
                <w:szCs w:val="20"/>
                <w:color w:val="auto"/>
              </w:rPr>
            </w:pPr>
            <w:r>
              <w:rPr>
                <w:rFonts w:ascii="Arial" w:cs="Arial" w:eastAsia="Arial" w:hAnsi="Arial"/>
                <w:sz w:val="18"/>
                <w:szCs w:val="18"/>
                <w:color w:val="auto"/>
              </w:rPr>
              <w:t>Clean-Up Period</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9.01</w:t>
            </w:r>
          </w:p>
        </w:tc>
        <w:tc>
          <w:tcPr>
            <w:tcW w:w="714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714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9.03</w:t>
            </w:r>
          </w:p>
        </w:tc>
        <w:tc>
          <w:tcPr>
            <w:tcW w:w="714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7140" w:type="dxa"/>
            <w:vAlign w:val="bottom"/>
          </w:tcPr>
          <w:p>
            <w:pPr>
              <w:ind w:left="80"/>
              <w:spacing w:after="0"/>
              <w:rPr>
                <w:sz w:val="20"/>
                <w:szCs w:val="20"/>
                <w:color w:val="auto"/>
              </w:rPr>
            </w:pPr>
            <w:r>
              <w:rPr>
                <w:rFonts w:ascii="Arial" w:cs="Arial" w:eastAsia="Arial" w:hAnsi="Arial"/>
                <w:sz w:val="18"/>
                <w:szCs w:val="18"/>
                <w:color w:val="auto"/>
              </w:rPr>
              <w:t>Reliance by Administrative Agent</w:t>
            </w:r>
          </w:p>
        </w:tc>
        <w:tc>
          <w:tcPr>
            <w:tcW w:w="36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6"/>
        </w:trPr>
        <w:tc>
          <w:tcPr>
            <w:tcW w:w="660" w:type="dxa"/>
            <w:vAlign w:val="bottom"/>
          </w:tcPr>
          <w:p>
            <w:pPr>
              <w:ind w:left="220"/>
              <w:spacing w:after="0"/>
              <w:rPr>
                <w:sz w:val="20"/>
                <w:szCs w:val="20"/>
                <w:color w:val="auto"/>
              </w:rPr>
            </w:pPr>
            <w:r>
              <w:rPr>
                <w:rFonts w:ascii="Arial" w:cs="Arial" w:eastAsia="Arial" w:hAnsi="Arial"/>
                <w:sz w:val="18"/>
                <w:szCs w:val="18"/>
                <w:color w:val="auto"/>
              </w:rPr>
              <w:t>9.05</w:t>
            </w:r>
          </w:p>
        </w:tc>
        <w:tc>
          <w:tcPr>
            <w:tcW w:w="820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9.06  Non-Reliance on Agents and Other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9.07</w:t>
            </w:r>
          </w:p>
        </w:tc>
        <w:tc>
          <w:tcPr>
            <w:tcW w:w="820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9.08  Agent in Its Individual Capacity</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9.09</w:t>
            </w:r>
          </w:p>
        </w:tc>
        <w:tc>
          <w:tcPr>
            <w:tcW w:w="8200" w:type="dxa"/>
            <w:vAlign w:val="bottom"/>
          </w:tcPr>
          <w:p>
            <w:pPr>
              <w:ind w:left="20"/>
              <w:spacing w:after="0"/>
              <w:rPr>
                <w:sz w:val="20"/>
                <w:szCs w:val="20"/>
                <w:color w:val="auto"/>
              </w:rPr>
            </w:pPr>
            <w:r>
              <w:rPr>
                <w:rFonts w:ascii="Arial" w:cs="Arial" w:eastAsia="Arial" w:hAnsi="Arial"/>
                <w:sz w:val="18"/>
                <w:szCs w:val="18"/>
                <w:color w:val="auto"/>
              </w:rPr>
              <w:t>Successor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9.10</w:t>
            </w:r>
          </w:p>
        </w:tc>
        <w:tc>
          <w:tcPr>
            <w:tcW w:w="8200" w:type="dxa"/>
            <w:vAlign w:val="bottom"/>
          </w:tcPr>
          <w:p>
            <w:pPr>
              <w:ind w:left="20"/>
              <w:spacing w:after="0"/>
              <w:rPr>
                <w:sz w:val="20"/>
                <w:szCs w:val="20"/>
                <w:color w:val="auto"/>
              </w:rPr>
            </w:pPr>
            <w:r>
              <w:rPr>
                <w:rFonts w:ascii="Arial" w:cs="Arial" w:eastAsia="Arial" w:hAnsi="Arial"/>
                <w:sz w:val="18"/>
                <w:szCs w:val="18"/>
                <w:color w:val="auto"/>
              </w:rPr>
              <w:t>Syndication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9.11</w:t>
            </w:r>
          </w:p>
        </w:tc>
        <w:tc>
          <w:tcPr>
            <w:tcW w:w="8200" w:type="dxa"/>
            <w:vAlign w:val="bottom"/>
          </w:tcPr>
          <w:p>
            <w:pPr>
              <w:ind w:left="20"/>
              <w:spacing w:after="0"/>
              <w:rPr>
                <w:sz w:val="20"/>
                <w:szCs w:val="20"/>
                <w:color w:val="auto"/>
              </w:rPr>
            </w:pPr>
            <w:r>
              <w:rPr>
                <w:rFonts w:ascii="Arial" w:cs="Arial" w:eastAsia="Arial" w:hAnsi="Arial"/>
                <w:sz w:val="18"/>
                <w:szCs w:val="18"/>
                <w:color w:val="auto"/>
              </w:rPr>
              <w:t>Certain ERISA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78"/>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10.01</w:t>
            </w:r>
          </w:p>
        </w:tc>
        <w:tc>
          <w:tcPr>
            <w:tcW w:w="8200" w:type="dxa"/>
            <w:vAlign w:val="bottom"/>
          </w:tcPr>
          <w:p>
            <w:pPr>
              <w:ind w:left="100"/>
              <w:spacing w:after="0"/>
              <w:rPr>
                <w:sz w:val="20"/>
                <w:szCs w:val="20"/>
                <w:color w:val="auto"/>
              </w:rPr>
            </w:pPr>
            <w:r>
              <w:rPr>
                <w:rFonts w:ascii="Arial" w:cs="Arial" w:eastAsia="Arial" w:hAnsi="Arial"/>
                <w:sz w:val="18"/>
                <w:szCs w:val="18"/>
                <w:color w:val="auto"/>
              </w:rPr>
              <w:t>Amendments; Consents</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10.02</w:t>
            </w:r>
          </w:p>
        </w:tc>
        <w:tc>
          <w:tcPr>
            <w:tcW w:w="8200" w:type="dxa"/>
            <w:vAlign w:val="bottom"/>
          </w:tcPr>
          <w:p>
            <w:pPr>
              <w:ind w:left="100"/>
              <w:spacing w:after="0"/>
              <w:rPr>
                <w:sz w:val="20"/>
                <w:szCs w:val="20"/>
                <w:color w:val="auto"/>
              </w:rPr>
            </w:pPr>
            <w:r>
              <w:rPr>
                <w:rFonts w:ascii="Arial" w:cs="Arial" w:eastAsia="Arial" w:hAnsi="Arial"/>
                <w:sz w:val="18"/>
                <w:szCs w:val="18"/>
                <w:color w:val="auto"/>
              </w:rPr>
              <w:t>Requisite Notice; Electronic Communications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10.03</w:t>
            </w:r>
          </w:p>
        </w:tc>
        <w:tc>
          <w:tcPr>
            <w:tcW w:w="8200" w:type="dxa"/>
            <w:vAlign w:val="bottom"/>
          </w:tcPr>
          <w:p>
            <w:pPr>
              <w:ind w:left="100"/>
              <w:spacing w:after="0"/>
              <w:rPr>
                <w:sz w:val="20"/>
                <w:szCs w:val="20"/>
                <w:color w:val="auto"/>
              </w:rPr>
            </w:pPr>
            <w:r>
              <w:rPr>
                <w:rFonts w:ascii="Arial" w:cs="Arial" w:eastAsia="Arial" w:hAnsi="Arial"/>
                <w:sz w:val="18"/>
                <w:szCs w:val="18"/>
                <w:color w:val="auto"/>
              </w:rPr>
              <w:t>Attorney Costs and 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10.04</w:t>
            </w:r>
          </w:p>
        </w:tc>
        <w:tc>
          <w:tcPr>
            <w:tcW w:w="8200" w:type="dxa"/>
            <w:vAlign w:val="bottom"/>
          </w:tcPr>
          <w:p>
            <w:pPr>
              <w:ind w:left="100"/>
              <w:spacing w:after="0"/>
              <w:rPr>
                <w:sz w:val="20"/>
                <w:szCs w:val="20"/>
                <w:color w:val="auto"/>
              </w:rPr>
            </w:pPr>
            <w:r>
              <w:rPr>
                <w:rFonts w:ascii="Arial" w:cs="Arial" w:eastAsia="Arial" w:hAnsi="Arial"/>
                <w:sz w:val="18"/>
                <w:szCs w:val="18"/>
                <w:color w:val="auto"/>
              </w:rPr>
              <w:t>Binding Effect; 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10.05</w:t>
            </w:r>
          </w:p>
        </w:tc>
        <w:tc>
          <w:tcPr>
            <w:tcW w:w="8200" w:type="dxa"/>
            <w:vAlign w:val="bottom"/>
          </w:tcPr>
          <w:p>
            <w:pPr>
              <w:ind w:left="100"/>
              <w:spacing w:after="0"/>
              <w:rPr>
                <w:sz w:val="20"/>
                <w:szCs w:val="20"/>
                <w:color w:val="auto"/>
              </w:rPr>
            </w:pPr>
            <w:r>
              <w:rPr>
                <w:rFonts w:ascii="Arial" w:cs="Arial" w:eastAsia="Arial" w:hAnsi="Arial"/>
                <w:sz w:val="18"/>
                <w:szCs w:val="18"/>
                <w:color w:val="auto"/>
              </w:rPr>
              <w:t>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10.06</w:t>
            </w:r>
          </w:p>
        </w:tc>
        <w:tc>
          <w:tcPr>
            <w:tcW w:w="8200" w:type="dxa"/>
            <w:vAlign w:val="bottom"/>
          </w:tcPr>
          <w:p>
            <w:pPr>
              <w:ind w:left="100"/>
              <w:spacing w:after="0"/>
              <w:rPr>
                <w:sz w:val="20"/>
                <w:szCs w:val="20"/>
                <w:color w:val="auto"/>
              </w:rPr>
            </w:pPr>
            <w:r>
              <w:rPr>
                <w:rFonts w:ascii="Arial" w:cs="Arial" w:eastAsia="Arial" w:hAnsi="Arial"/>
                <w:sz w:val="18"/>
                <w:szCs w:val="18"/>
                <w:color w:val="auto"/>
              </w:rPr>
              <w:t>Sharing of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10.07</w:t>
            </w:r>
          </w:p>
        </w:tc>
        <w:tc>
          <w:tcPr>
            <w:tcW w:w="820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10.08</w:t>
            </w:r>
          </w:p>
        </w:tc>
        <w:tc>
          <w:tcPr>
            <w:tcW w:w="8200" w:type="dxa"/>
            <w:vAlign w:val="bottom"/>
          </w:tcPr>
          <w:p>
            <w:pPr>
              <w:ind w:left="100"/>
              <w:spacing w:after="0"/>
              <w:rPr>
                <w:sz w:val="20"/>
                <w:szCs w:val="20"/>
                <w:color w:val="auto"/>
              </w:rPr>
            </w:pPr>
            <w:r>
              <w:rPr>
                <w:rFonts w:ascii="Arial" w:cs="Arial" w:eastAsia="Arial" w:hAnsi="Arial"/>
                <w:sz w:val="18"/>
                <w:szCs w:val="18"/>
                <w:color w:val="auto"/>
              </w:rPr>
              <w:t>Usury</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10.09</w:t>
            </w:r>
          </w:p>
        </w:tc>
        <w:tc>
          <w:tcPr>
            <w:tcW w:w="8200" w:type="dxa"/>
            <w:vAlign w:val="bottom"/>
          </w:tcPr>
          <w:p>
            <w:pPr>
              <w:ind w:left="100"/>
              <w:spacing w:after="0"/>
              <w:rPr>
                <w:sz w:val="20"/>
                <w:szCs w:val="20"/>
                <w:color w:val="auto"/>
              </w:rPr>
            </w:pPr>
            <w:r>
              <w:rPr>
                <w:rFonts w:ascii="Arial" w:cs="Arial" w:eastAsia="Arial" w:hAnsi="Arial"/>
                <w:sz w:val="18"/>
                <w:szCs w:val="18"/>
                <w:color w:val="auto"/>
              </w:rPr>
              <w:t>Counterparts, Electronic Execution of Assignments and Certain Other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10.10</w:t>
            </w:r>
          </w:p>
        </w:tc>
        <w:tc>
          <w:tcPr>
            <w:tcW w:w="820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10.11  Nature of Lenders’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10.12</w:t>
            </w:r>
          </w:p>
        </w:tc>
        <w:tc>
          <w:tcPr>
            <w:tcW w:w="820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10.13</w:t>
            </w:r>
          </w:p>
        </w:tc>
        <w:tc>
          <w:tcPr>
            <w:tcW w:w="8200" w:type="dxa"/>
            <w:vAlign w:val="bottom"/>
          </w:tcPr>
          <w:p>
            <w:pPr>
              <w:ind w:left="100"/>
              <w:spacing w:after="0"/>
              <w:rPr>
                <w:sz w:val="20"/>
                <w:szCs w:val="20"/>
                <w:color w:val="auto"/>
              </w:rPr>
            </w:pPr>
            <w:r>
              <w:rPr>
                <w:rFonts w:ascii="Arial" w:cs="Arial" w:eastAsia="Arial" w:hAnsi="Arial"/>
                <w:sz w:val="18"/>
                <w:szCs w:val="18"/>
                <w:color w:val="auto"/>
              </w:rPr>
              <w:t>Indemnity by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10.14</w:t>
            </w:r>
          </w:p>
        </w:tc>
        <w:tc>
          <w:tcPr>
            <w:tcW w:w="8200" w:type="dxa"/>
            <w:vAlign w:val="bottom"/>
          </w:tcPr>
          <w:p>
            <w:pPr>
              <w:ind w:left="100"/>
              <w:spacing w:after="0"/>
              <w:rPr>
                <w:sz w:val="20"/>
                <w:szCs w:val="20"/>
                <w:color w:val="auto"/>
              </w:rPr>
            </w:pPr>
            <w:r>
              <w:rPr>
                <w:rFonts w:ascii="Arial" w:cs="Arial" w:eastAsia="Arial" w:hAnsi="Arial"/>
                <w:sz w:val="18"/>
                <w:szCs w:val="18"/>
                <w:color w:val="auto"/>
              </w:rPr>
              <w:t>Nonliability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10.15</w:t>
            </w:r>
          </w:p>
        </w:tc>
        <w:tc>
          <w:tcPr>
            <w:tcW w:w="8200" w:type="dxa"/>
            <w:vAlign w:val="bottom"/>
          </w:tcPr>
          <w:p>
            <w:pPr>
              <w:ind w:left="100"/>
              <w:spacing w:after="0"/>
              <w:rPr>
                <w:sz w:val="20"/>
                <w:szCs w:val="20"/>
                <w:color w:val="auto"/>
              </w:rPr>
            </w:pPr>
            <w:r>
              <w:rPr>
                <w:rFonts w:ascii="Arial" w:cs="Arial" w:eastAsia="Arial" w:hAnsi="Arial"/>
                <w:sz w:val="18"/>
                <w:szCs w:val="18"/>
                <w:color w:val="auto"/>
              </w:rPr>
              <w:t>No Third Parties Benefitted</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10.16</w:t>
            </w:r>
          </w:p>
        </w:tc>
        <w:tc>
          <w:tcPr>
            <w:tcW w:w="82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10.17</w:t>
            </w:r>
          </w:p>
        </w:tc>
        <w:tc>
          <w:tcPr>
            <w:tcW w:w="82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10.18</w:t>
            </w:r>
          </w:p>
        </w:tc>
        <w:tc>
          <w:tcPr>
            <w:tcW w:w="820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10.19</w:t>
            </w:r>
          </w:p>
        </w:tc>
        <w:tc>
          <w:tcPr>
            <w:tcW w:w="8200" w:type="dxa"/>
            <w:vAlign w:val="bottom"/>
          </w:tcPr>
          <w:p>
            <w:pPr>
              <w:ind w:left="100"/>
              <w:spacing w:after="0"/>
              <w:rPr>
                <w:sz w:val="20"/>
                <w:szCs w:val="20"/>
                <w:color w:val="auto"/>
              </w:rPr>
            </w:pPr>
            <w:r>
              <w:rPr>
                <w:rFonts w:ascii="Arial" w:cs="Arial" w:eastAsia="Arial" w:hAnsi="Arial"/>
                <w:sz w:val="18"/>
                <w:szCs w:val="18"/>
                <w:color w:val="auto"/>
              </w:rPr>
              <w:t>Time of the Essence</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10.20</w:t>
            </w:r>
          </w:p>
        </w:tc>
        <w:tc>
          <w:tcPr>
            <w:tcW w:w="8200" w:type="dxa"/>
            <w:vAlign w:val="bottom"/>
          </w:tcPr>
          <w:p>
            <w:pPr>
              <w:ind w:left="100"/>
              <w:spacing w:after="0"/>
              <w:rPr>
                <w:sz w:val="20"/>
                <w:szCs w:val="20"/>
                <w:color w:val="auto"/>
              </w:rPr>
            </w:pPr>
            <w:r>
              <w:rPr>
                <w:rFonts w:ascii="Arial" w:cs="Arial" w:eastAsia="Arial" w:hAnsi="Arial"/>
                <w:sz w:val="18"/>
                <w:szCs w:val="18"/>
                <w:color w:val="auto"/>
              </w:rPr>
              <w:t>Status of Lenders and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10.21</w:t>
            </w:r>
          </w:p>
        </w:tc>
        <w:tc>
          <w:tcPr>
            <w:tcW w:w="8200" w:type="dxa"/>
            <w:vAlign w:val="bottom"/>
          </w:tcPr>
          <w:p>
            <w:pPr>
              <w:ind w:left="100"/>
              <w:spacing w:after="0"/>
              <w:rPr>
                <w:sz w:val="20"/>
                <w:szCs w:val="20"/>
                <w:color w:val="auto"/>
              </w:rPr>
            </w:pPr>
            <w:r>
              <w:rPr>
                <w:rFonts w:ascii="Arial" w:cs="Arial" w:eastAsia="Arial" w:hAnsi="Arial"/>
                <w:sz w:val="18"/>
                <w:szCs w:val="18"/>
                <w:color w:val="auto"/>
              </w:rPr>
              <w:t>Removal and Replacement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10.22</w:t>
            </w:r>
          </w:p>
        </w:tc>
        <w:tc>
          <w:tcPr>
            <w:tcW w:w="8200" w:type="dxa"/>
            <w:vAlign w:val="bottom"/>
          </w:tcPr>
          <w:p>
            <w:pPr>
              <w:ind w:left="100"/>
              <w:spacing w:after="0"/>
              <w:rPr>
                <w:sz w:val="20"/>
                <w:szCs w:val="20"/>
                <w:color w:val="auto"/>
              </w:rPr>
            </w:pPr>
            <w:r>
              <w:rPr>
                <w:rFonts w:ascii="Arial" w:cs="Arial" w:eastAsia="Arial" w:hAnsi="Arial"/>
                <w:sz w:val="18"/>
                <w:szCs w:val="18"/>
                <w:color w:val="auto"/>
              </w:rPr>
              <w:t>Governing Law; Submission to Jurisdiction;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10.23</w:t>
            </w:r>
          </w:p>
        </w:tc>
        <w:tc>
          <w:tcPr>
            <w:tcW w:w="8200" w:type="dxa"/>
            <w:vAlign w:val="bottom"/>
          </w:tcPr>
          <w:p>
            <w:pPr>
              <w:ind w:left="100"/>
              <w:spacing w:after="0"/>
              <w:rPr>
                <w:sz w:val="20"/>
                <w:szCs w:val="20"/>
                <w:color w:val="auto"/>
              </w:rPr>
            </w:pPr>
            <w:r>
              <w:rPr>
                <w:rFonts w:ascii="Arial" w:cs="Arial" w:eastAsia="Arial" w:hAnsi="Arial"/>
                <w:sz w:val="18"/>
                <w:szCs w:val="18"/>
                <w:color w:val="auto"/>
              </w:rPr>
              <w:t>Waiver of Right to Trial by Jury</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10.24</w:t>
            </w:r>
          </w:p>
        </w:tc>
        <w:tc>
          <w:tcPr>
            <w:tcW w:w="820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10.25</w:t>
            </w:r>
          </w:p>
        </w:tc>
        <w:tc>
          <w:tcPr>
            <w:tcW w:w="820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10.26</w:t>
            </w:r>
          </w:p>
        </w:tc>
        <w:tc>
          <w:tcPr>
            <w:tcW w:w="820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117" w:lineRule="exact"/>
        <w:rPr>
          <w:sz w:val="20"/>
          <w:szCs w:val="20"/>
          <w:color w:val="auto"/>
        </w:rPr>
      </w:pP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117" w:lineRule="exact"/>
        <w:rPr>
          <w:sz w:val="20"/>
          <w:szCs w:val="20"/>
          <w:color w:val="auto"/>
        </w:rPr>
      </w:pPr>
    </w:p>
    <w:p>
      <w:pPr>
        <w:ind w:left="860" w:hanging="8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117" w:lineRule="exact"/>
        <w:rPr>
          <w:sz w:val="20"/>
          <w:szCs w:val="20"/>
          <w:color w:val="auto"/>
        </w:rPr>
      </w:pPr>
    </w:p>
    <w:p>
      <w:pPr>
        <w:ind w:left="860" w:hanging="852"/>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117" w:lineRule="exact"/>
        <w:rPr>
          <w:sz w:val="20"/>
          <w:szCs w:val="20"/>
          <w:color w:val="auto"/>
        </w:rPr>
      </w:pPr>
    </w:p>
    <w:p>
      <w:pPr>
        <w:ind w:left="860" w:hanging="85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F-1</w:t>
            </w: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Form of U.S. Tax Compliance Certificate (For Non-U.S. Lenders That Are Not Partnerships For U.S. Federal Income Tax Purposes)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F-2</w:t>
            </w: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Form of U.S. Tax Compliance Certificate (For Non-U.S. Participants That Are Not Partnerships For U.S. Federal Income Tax Purposes)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F-3</w:t>
            </w: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Form of U.S. Tax Compliance Certificate (For Non-U.S. Participants That Are Partnerships For U.S. Federal Income Tax Purposes)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F-4</w:t>
            </w:r>
          </w:p>
        </w:tc>
        <w:tc>
          <w:tcPr>
            <w:tcW w:w="10100" w:type="dxa"/>
            <w:vAlign w:val="bottom"/>
          </w:tcPr>
          <w:p>
            <w:pPr>
              <w:ind w:left="300"/>
              <w:spacing w:after="0"/>
              <w:rPr>
                <w:sz w:val="20"/>
                <w:szCs w:val="20"/>
                <w:color w:val="auto"/>
              </w:rPr>
            </w:pPr>
            <w:r>
              <w:rPr>
                <w:rFonts w:ascii="Arial" w:cs="Arial" w:eastAsia="Arial" w:hAnsi="Arial"/>
                <w:sz w:val="18"/>
                <w:szCs w:val="18"/>
                <w:color w:val="auto"/>
                <w:w w:val="96"/>
              </w:rPr>
              <w:t>Form of U.S. Tax Compliance Certificate (For Non-U.S. Lenders That Are Partnerships For U.S. Federal Income Tax Purposes)</w:t>
            </w:r>
          </w:p>
        </w:tc>
      </w:tr>
    </w:tbl>
    <w:p>
      <w:pPr>
        <w:spacing w:after="0" w:line="94"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Target Acquisition Certificate</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SCHEDULES</w:t>
      </w:r>
    </w:p>
    <w:p>
      <w:pPr>
        <w:spacing w:after="0" w:line="239"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Monetization Transactions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Commitments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6.08</w:t>
      </w:r>
      <w:r>
        <w:rPr>
          <w:rFonts w:ascii="Arial" w:cs="Arial" w:eastAsia="Arial" w:hAnsi="Arial"/>
          <w:sz w:val="16"/>
          <w:szCs w:val="16"/>
          <w:color w:val="auto"/>
        </w:rPr>
        <w:t>Unrestricted Subsidiaries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10.02</w:t>
      </w:r>
      <w:r>
        <w:rPr>
          <w:rFonts w:ascii="Arial" w:cs="Arial" w:eastAsia="Arial" w:hAnsi="Arial"/>
          <w:sz w:val="16"/>
          <w:szCs w:val="16"/>
          <w:color w:val="auto"/>
        </w:rPr>
        <w:t>Addresses for Notices</w:t>
      </w:r>
    </w:p>
    <w:p>
      <w:pPr>
        <w:spacing w:after="0" w:line="387" w:lineRule="exact"/>
        <w:rPr>
          <w:sz w:val="20"/>
          <w:szCs w:val="20"/>
          <w:color w:val="auto"/>
        </w:rPr>
      </w:pPr>
    </w:p>
    <w:p>
      <w:pPr>
        <w:jc w:val="right"/>
        <w:ind w:right="48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40" w:top="854" w:right="99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TERM LOAN CREDIT AGREEMENT</w:t>
      </w:r>
    </w:p>
    <w:p>
      <w:pPr>
        <w:spacing w:after="0" w:line="229"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This TERM LOAN CREDIT AGREEMENT is entered into as of April 25, 2018, by and among Comcast Corporation, a Pennsylvania corporation (“Borrower”), each lender from time to time party hereto (collectively, “Lenders” and individually, a “Lender”), BANK OF AMERICA, N.A., as Administrative Agent, and WELLS FARGO BANK, NATIONAL ASSOCIATION, as syndication agent (in such capacity, “Syndication Agent”).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Borrower has requested that the Lenders and Administrative Agent provide the Term Loan Facility (as defined below), and the Lenders and Administrative Agent are willing to do so on the terms and conditions set forth herein;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“3-Year Dollar Tranche Term Loan”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“3-Year Sterling Tranche Term Loan” has the meaning set forth in Section 2.01(a).</w:t>
      </w:r>
    </w:p>
    <w:p>
      <w:pPr>
        <w:spacing w:after="0" w:line="225"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“3-Year Tranche Term Commitment” means, for each Lender, the amount set forth under the heading “3-Year Tranche Term Commitment” opposite such Lender’s name on Schedule 2.01 or in the Assignment and Assumption pursuant to which such Lender became a party to this Agreement, as such amount may be reduced or adjusted from time to time in accordance with the terms of this Agreement (collectively, the “3-Year Tranche Term Commitments”). As of the Effective Date, the aggregate amount of the 3-Year Tranche Term Commitments of all Lenders is £3,000,000,000.</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“3-Year Tranche Term Loans” means, collectively the 3-Year Dollar Tranche Term Loans and the 3-Year Sterling Tranche Term Loans.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“5-Year Dollar Tranche Term Loan” has the meaning set forth in Section 2.01(b).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“5-Year Sterling Tranche Term Loan” has the meaning set forth in Section 2.01(b).</w:t>
      </w:r>
    </w:p>
    <w:p>
      <w:pPr>
        <w:spacing w:after="0" w:line="225"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“5-Year Tranche Term Commitment” means, for each Lender, the amount set forth under the heading “5-Year Tranche Term Commitment” opposite such Lender’s name on Schedule 2.01 or in the Assignment and Assumption pursuant to which such Lender became a party to this Agreement, as such amount may be reduced or adjusted from time to time in accordance with the terms of this Agreement (collectively, the “5-Year Tranche Term Commitments”). As of the Effective Date, the aggregate amount of the 5-Year Tranche Term Commitments of all Lenders is £4,000,000,000.</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“5-Year Tranche Term Loans” means, collectively the 5-Year Dollar Tranche Term Loans and the 5-Year Sterling Tranche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2" w:name="page13"/>
    <w:bookmarkEnd w:id="12"/>
    <w:p>
      <w:pPr>
        <w:ind w:left="1128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“Acceptance Condition” means, with respect to an Offer, the condition set forth in the Offer Documents with respect to the number of acceptances to an Offer which must be secured to declare such Offer unconditional as to acceptances which shall be more than 50% of the Target shares carrying voting rights.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the Target Acquisition or any other acquisition that is a Material Acquisition in accordance with clause (ii) of the definition thereof and any related transactions or series of related transactions in respect of the Target Acquisition or any other acquisition that is a Material Acquisition in accordance with clause (ii) of the definition thereof (including for the purpose of refinancing or replacing all or a portion of any pre-existing Indebtedness of the Target Group or the Person(s) or assets to be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the Target Acquisition or such Material Acquisition and, pending such release, such proceeds are held in escrow (and, if the definitive agreement (or, in the case of a tender offer or similar transaction, the definitive offer document) for the Target Acquisition or such Material Acquisition is terminated prior to the consummation thereof or if the Target Acquisition or such Material Acquisition is otherwise not consummated by the date specified in the 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the Target Acquisition or such Material Acquisition is not consummated by the date specified in the definitive documentation relating to such Indebtedness (and if the definitive agreement (or, in the case of a tender offer or similar transaction, the definitive offer document) for the Target Acquisition or such Material Acquisition is terminated in accordance with its terms prior to the consummation of the Target Acquisition or such Material Acquisition or the Target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68"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“Administrative Agent” means Bank of America, N.A., in its capacity as administrative agent under any of the Loan Documents, or any successor administrative agent permitted under the Loan Documents.</w:t>
      </w:r>
    </w:p>
    <w:p>
      <w:pPr>
        <w:spacing w:after="0" w:line="170"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left="11280"/>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and Syndication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“Aggregate Exposure” means, with respect to any Lender at any time, an amount equal to the sum of such Lender’s Loans then outstanding and such Lender’s Commitments then in effect.</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“Agreement” means this Term Loan Credit Agreement, as amended, restated, extended, supplemented or otherwise modified in writing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“Announcement Date” has the meaning set forth in the definition of Certain Funds Period.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“Annualized EBITDA” means, at any date of determination, EBITDA for the two (2) fiscal quarter periods then most recently ended times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(2).</w:t>
      </w:r>
    </w:p>
    <w:p>
      <w:pPr>
        <w:spacing w:after="0" w:line="21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“Applicable Amount” means, with respect to the Loans and Commitments of any Class, the rate per annum, in basis points, set forth under the relevant column heading below based upon the applicable Debt Ratings: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40" w:type="dxa"/>
            <w:vAlign w:val="bottom"/>
            <w:tcBorders>
              <w:top w:val="single" w:sz="8" w:color="auto"/>
              <w:left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5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3-Year Tranche Term Commitments / 5-Year Tranche Term</w:t>
            </w:r>
          </w:p>
        </w:tc>
        <w:tc>
          <w:tcPr>
            <w:tcW w:w="20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3-Year Tranche Term</w:t>
            </w:r>
          </w:p>
        </w:tc>
        <w:tc>
          <w:tcPr>
            <w:tcW w:w="202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5-Year Tranche Term</w:t>
            </w: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w:t>
            </w: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Loans</w:t>
            </w:r>
          </w:p>
        </w:tc>
        <w:tc>
          <w:tcPr>
            <w:tcW w:w="12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Loans</w:t>
            </w:r>
          </w:p>
        </w:tc>
        <w:tc>
          <w:tcPr>
            <w:tcW w:w="1240" w:type="dxa"/>
            <w:vAlign w:val="bottom"/>
            <w:tcBorders>
              <w:bottom w:val="single" w:sz="8" w:color="auto"/>
              <w:right w:val="single" w:sz="8" w:color="auto"/>
            </w:tcBorders>
          </w:tcPr>
          <w:p>
            <w:pPr>
              <w:spacing w:after="0"/>
              <w:rPr>
                <w:sz w:val="20"/>
                <w:szCs w:val="20"/>
                <w:color w:val="auto"/>
              </w:rPr>
            </w:pPr>
          </w:p>
        </w:tc>
      </w:tr>
      <w:tr>
        <w:trPr>
          <w:trHeight w:val="191"/>
        </w:trPr>
        <w:tc>
          <w:tcPr>
            <w:tcW w:w="1040" w:type="dxa"/>
            <w:vAlign w:val="bottom"/>
            <w:tcBorders>
              <w:left w:val="single" w:sz="8" w:color="auto"/>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rPr>
              <w:t>Pricing</w:t>
            </w:r>
          </w:p>
        </w:tc>
        <w:tc>
          <w:tcPr>
            <w:tcW w:w="116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w w:val="97"/>
              </w:rPr>
              <w:t>Debt Ratings</w:t>
            </w:r>
          </w:p>
        </w:tc>
        <w:tc>
          <w:tcPr>
            <w:tcW w:w="51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Base</w:t>
            </w:r>
          </w:p>
        </w:tc>
        <w:tc>
          <w:tcPr>
            <w:tcW w:w="12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Eurodollar</w:t>
            </w:r>
          </w:p>
        </w:tc>
        <w:tc>
          <w:tcPr>
            <w:tcW w:w="7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Base</w:t>
            </w:r>
          </w:p>
        </w:tc>
        <w:tc>
          <w:tcPr>
            <w:tcW w:w="124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Eurodollar</w:t>
            </w:r>
          </w:p>
        </w:tc>
      </w:tr>
      <w:tr>
        <w:trPr>
          <w:trHeight w:val="234"/>
        </w:trPr>
        <w:tc>
          <w:tcPr>
            <w:tcW w:w="1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Level</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3"/>
              </w:rPr>
              <w:t>S&amp;P/Moody’s</w:t>
            </w: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Commitment Fee</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Rate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Rate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r>
      <w:tr>
        <w:trPr>
          <w:trHeight w:val="210"/>
        </w:trPr>
        <w:tc>
          <w:tcPr>
            <w:tcW w:w="1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A+/A1</w:t>
            </w: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62.5</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75.0</w:t>
            </w:r>
          </w:p>
        </w:tc>
      </w:tr>
      <w:tr>
        <w:trPr>
          <w:trHeight w:val="210"/>
        </w:trPr>
        <w:tc>
          <w:tcPr>
            <w:tcW w:w="1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A/A2</w:t>
            </w: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75.0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87.5</w:t>
            </w:r>
          </w:p>
        </w:tc>
      </w:tr>
      <w:tr>
        <w:trPr>
          <w:trHeight w:val="210"/>
        </w:trPr>
        <w:tc>
          <w:tcPr>
            <w:tcW w:w="1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A-/A3</w:t>
            </w: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87.5</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100.0</w:t>
            </w:r>
          </w:p>
        </w:tc>
      </w:tr>
      <w:tr>
        <w:trPr>
          <w:trHeight w:val="210"/>
        </w:trPr>
        <w:tc>
          <w:tcPr>
            <w:tcW w:w="1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BBB+/Baa1</w:t>
            </w:r>
          </w:p>
        </w:tc>
        <w:tc>
          <w:tcPr>
            <w:tcW w:w="5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0.0</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100.0</w:t>
            </w:r>
          </w:p>
        </w:tc>
        <w:tc>
          <w:tcPr>
            <w:tcW w:w="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112.5</w:t>
            </w:r>
          </w:p>
        </w:tc>
      </w:tr>
      <w:tr>
        <w:trPr>
          <w:trHeight w:val="547"/>
        </w:trPr>
        <w:tc>
          <w:tcPr>
            <w:tcW w:w="1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ind w:left="11280"/>
        <w:spacing w:after="0"/>
        <w:rPr>
          <w:sz w:val="20"/>
          <w:szCs w:val="20"/>
          <w:color w:val="auto"/>
        </w:rPr>
      </w:pPr>
      <w:r>
        <w:rPr>
          <w:rFonts w:ascii="Arial" w:cs="Arial" w:eastAsia="Arial" w:hAnsi="Arial"/>
          <w:sz w:val="18"/>
          <w:szCs w:val="18"/>
          <w:color w:val="auto"/>
        </w:rPr>
        <w:t>4</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00" w:type="dxa"/>
            <w:vAlign w:val="bottom"/>
            <w:tcBorders>
              <w:top w:val="single" w:sz="8" w:color="auto"/>
              <w:left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BBB/Baa2</w:t>
            </w:r>
          </w:p>
        </w:tc>
        <w:tc>
          <w:tcPr>
            <w:tcW w:w="136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w w:val="85"/>
              </w:rPr>
              <w:t>11.0</w:t>
            </w:r>
          </w:p>
        </w:tc>
        <w:tc>
          <w:tcPr>
            <w:tcW w:w="1360" w:type="dxa"/>
            <w:vAlign w:val="bottom"/>
            <w:tcBorders>
              <w:top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w w:val="91"/>
              </w:rPr>
              <w:t>12.5</w:t>
            </w:r>
          </w:p>
        </w:tc>
        <w:tc>
          <w:tcPr>
            <w:tcW w:w="1640" w:type="dxa"/>
            <w:vAlign w:val="bottom"/>
            <w:tcBorders>
              <w:top w:val="single" w:sz="8" w:color="auto"/>
              <w:bottom w:val="single" w:sz="8" w:color="auto"/>
              <w:right w:val="single" w:sz="8" w:color="auto"/>
            </w:tcBorders>
          </w:tcPr>
          <w:p>
            <w:pPr>
              <w:jc w:val="right"/>
              <w:ind w:right="1130"/>
              <w:spacing w:after="0"/>
              <w:rPr>
                <w:sz w:val="20"/>
                <w:szCs w:val="20"/>
                <w:color w:val="auto"/>
              </w:rPr>
            </w:pPr>
            <w:r>
              <w:rPr>
                <w:rFonts w:ascii="Arial" w:cs="Arial" w:eastAsia="Arial" w:hAnsi="Arial"/>
                <w:sz w:val="18"/>
                <w:szCs w:val="18"/>
                <w:color w:val="auto"/>
                <w:w w:val="88"/>
              </w:rPr>
              <w:t>112.5</w:t>
            </w:r>
          </w:p>
        </w:tc>
        <w:tc>
          <w:tcPr>
            <w:tcW w:w="1360" w:type="dxa"/>
            <w:vAlign w:val="bottom"/>
            <w:tcBorders>
              <w:top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w w:val="91"/>
              </w:rPr>
              <w:t>25.0</w:t>
            </w:r>
          </w:p>
        </w:tc>
        <w:tc>
          <w:tcPr>
            <w:tcW w:w="1680" w:type="dxa"/>
            <w:vAlign w:val="bottom"/>
            <w:tcBorders>
              <w:top w:val="single" w:sz="8" w:color="auto"/>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w w:val="93"/>
              </w:rPr>
              <w:t>125.0</w:t>
            </w:r>
          </w:p>
        </w:tc>
      </w:tr>
    </w:tbl>
    <w:p>
      <w:pPr>
        <w:spacing w:after="0" w:line="202"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81"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interest shall also be paid on the Business Day which falls every three months after the beginning of such Interest Period; and (b) as to any other Obligations, the last Business Day of each calendar quarter and the maturity date of such Obligation, except as otherwise provided herein.</w:t>
      </w:r>
    </w:p>
    <w:p>
      <w:pPr>
        <w:spacing w:after="0" w:line="154"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“Applicable Percentage” means as to any Lender at any time, the percentage which the sum of such Lender’s undrawn Commitment of any Class and the aggregate principal amount of such Lender’s Loans then outstanding in respect of Commitments of such Class constitutes of the aggregate principal amount of the sum of the undrawn Commitments of such Class and the Loans then outstanding in respect of Commitments of such Class.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City time.</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“Approved Fund”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“Arranger” means each of MLPFS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and WFS, in its respective capacity as a Joint Lead Arranger and Joint Bookrunner hereunder (collectively, the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any other form (including electronic documentation generated by use of an electronic platform) approved by the Administrative Agent and the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“Attorney Costs” means the reasonable and documented or invoiced fees and disbursements of a law firm or other external counsel.</w:t>
      </w:r>
    </w:p>
    <w:p>
      <w:pPr>
        <w:spacing w:after="0" w:line="237"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66"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means Bank of America, N.A.</w:t>
      </w:r>
    </w:p>
    <w:p>
      <w:pPr>
        <w:spacing w:after="0" w:line="225" w:lineRule="exact"/>
        <w:rPr>
          <w:sz w:val="20"/>
          <w:szCs w:val="20"/>
          <w:color w:val="auto"/>
        </w:rPr>
      </w:pPr>
    </w:p>
    <w:p>
      <w:pPr>
        <w:ind w:right="140" w:firstLine="1297"/>
        <w:spacing w:after="0" w:line="271" w:lineRule="auto"/>
        <w:rPr>
          <w:sz w:val="20"/>
          <w:szCs w:val="20"/>
          <w:color w:val="auto"/>
        </w:rPr>
      </w:pPr>
      <w:r>
        <w:rPr>
          <w:rFonts w:ascii="Arial" w:cs="Arial" w:eastAsia="Arial" w:hAnsi="Arial"/>
          <w:sz w:val="17"/>
          <w:szCs w:val="17"/>
          <w:color w:val="auto"/>
        </w:rPr>
        <w:t>“Base Rate” means for any day a fluctuating rate per annum equal to the highest of (a) the Federal Funds Rate in effect for such day plus 1/2 of 1%, (b) the rate of interest in effect for such day as publicly announced from time to time by Bank of America as its “prime rate” in effect at its principal office in New York City (the prime rate not being intended to be the lowest rate of interest charged by Bank of America in connection with extensions of credit to debtors) and (c) the Eurodollar Rate that would be calculated as of such day (or, if such day is not a Business Day, as of the next preceding Business Day) in respect of a proposed Eurodollar Loan with a one month Interest Period plus 1%.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 Rate Loan” means a Loan made hereunder that bears interest based upon the Base Rate and is funded in Dollars.</w:t>
      </w:r>
    </w:p>
    <w:p>
      <w:pPr>
        <w:spacing w:after="0" w:line="22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 as defined in Section 4975 of the Code or (c)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6" w:name="page17"/>
    <w:bookmarkEnd w:id="16"/>
    <w:p>
      <w:pPr>
        <w:ind w:left="11280"/>
        <w:spacing w:after="0"/>
        <w:rPr>
          <w:sz w:val="20"/>
          <w:szCs w:val="20"/>
          <w:color w:val="auto"/>
        </w:rPr>
      </w:pPr>
      <w:r>
        <w:rPr>
          <w:rFonts w:ascii="Arial" w:cs="Arial" w:eastAsia="Arial" w:hAnsi="Arial"/>
          <w:sz w:val="17"/>
          <w:szCs w:val="17"/>
          <w:color w:val="auto"/>
        </w:rPr>
        <w:t>6</w:t>
      </w:r>
    </w:p>
    <w:p>
      <w:pPr>
        <w:spacing w:after="0" w:line="1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whose assets include (for purposes of ERISA Section 3(42) or otherwise for purposes of Title I of ERISA or Section 4975 of the Code) the assets of any such “employee benefit plan” or “plan”.</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“Bidco” means a wholly-owned Subsidiary of Borrower formed for the purpose of acquiring all or a portion of the Target shares as set forth in the Offer Document.</w:t>
      </w:r>
    </w:p>
    <w:p>
      <w:pPr>
        <w:spacing w:after="0" w:line="170"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Loans of the same Class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Materials” has the meaning set forth in Section 6.02.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Commitments” means the Commitments (as defined in the Bridge Credit Agreement).</w:t>
      </w:r>
    </w:p>
    <w:p>
      <w:pPr>
        <w:spacing w:after="0" w:line="225" w:lineRule="exact"/>
        <w:rPr>
          <w:sz w:val="20"/>
          <w:szCs w:val="20"/>
          <w:color w:val="auto"/>
        </w:rPr>
      </w:pPr>
    </w:p>
    <w:p>
      <w:pPr>
        <w:ind w:right="480" w:firstLine="1297"/>
        <w:spacing w:after="0" w:line="308" w:lineRule="auto"/>
        <w:rPr>
          <w:sz w:val="20"/>
          <w:szCs w:val="20"/>
          <w:color w:val="auto"/>
        </w:rPr>
      </w:pPr>
      <w:r>
        <w:rPr>
          <w:rFonts w:ascii="Arial" w:cs="Arial" w:eastAsia="Arial" w:hAnsi="Arial"/>
          <w:sz w:val="17"/>
          <w:szCs w:val="17"/>
          <w:color w:val="auto"/>
        </w:rPr>
        <w:t>“Bridge Credit Agreement” means that certain 364-Day Bridge Credit Agreement dated as of April 25, 2018, by and among Comcast Corporation, the lenders party thereto, Bank of America, as administrative agent, and Wells Fargo, as syndication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Loans” means the Loans (as defined in the Bridge Credit Agreement).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“Business Day” means any day other than a Saturday, Sunday or other day on which commercial banks in New York, New York or in London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“Business Day”, when used in connection with any Eurodollar Rate Loan (or Base Rate Loan the rate of which is based on the Eurodollar Rate), shall also exclude any day on which banks are not open for dealings in Dollar or Sterling deposits in the London interbank market.</w:t>
      </w:r>
    </w:p>
    <w:p>
      <w:pPr>
        <w:spacing w:after="0" w:line="18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Period” means the period from and including the Effective Date to and including the first to occur of:</w:t>
      </w:r>
    </w:p>
    <w:p>
      <w:pPr>
        <w:spacing w:after="0" w:line="225" w:lineRule="exact"/>
        <w:rPr>
          <w:sz w:val="20"/>
          <w:szCs w:val="20"/>
          <w:color w:val="auto"/>
        </w:rPr>
      </w:pPr>
    </w:p>
    <w:p>
      <w:pPr>
        <w:ind w:right="800" w:firstLine="1305"/>
        <w:spacing w:after="0" w:line="277" w:lineRule="auto"/>
        <w:tabs>
          <w:tab w:leader="none" w:pos="15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11:59 p.m. (New York City time) on the first to occur of (i) the date that is 15 months from the issuance of the initial Rule 2.7 Announcement (the date of such issuance, the “Announcement Date”) and (ii) September 30, 2019;</w:t>
      </w:r>
    </w:p>
    <w:p>
      <w:pPr>
        <w:spacing w:after="0" w:line="170" w:lineRule="exact"/>
        <w:rPr>
          <w:rFonts w:ascii="Arial" w:cs="Arial" w:eastAsia="Arial" w:hAnsi="Arial"/>
          <w:sz w:val="18"/>
          <w:szCs w:val="18"/>
          <w:color w:val="auto"/>
        </w:rPr>
      </w:pPr>
    </w:p>
    <w:p>
      <w:pPr>
        <w:ind w:right="100" w:firstLine="1305"/>
        <w:spacing w:after="0" w:line="277" w:lineRule="auto"/>
        <w:tabs>
          <w:tab w:leader="none" w:pos="15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an Offer lapses, terminates or is withdrawn (unless, within ten Business Days of such date, Borrower has notified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7" w:name="page18"/>
    <w:bookmarkEnd w:id="17"/>
    <w:p>
      <w:pPr>
        <w:ind w:left="11280"/>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Agent that it intends to launch a Scheme or a new Offer and a Rule 2.7 Announcement in respect of that Scheme or Offer, as applicable, is issued;</w:t>
      </w:r>
    </w:p>
    <w:p>
      <w:pPr>
        <w:spacing w:after="0" w:line="237" w:lineRule="exact"/>
        <w:rPr>
          <w:sz w:val="20"/>
          <w:szCs w:val="20"/>
          <w:color w:val="auto"/>
        </w:rPr>
      </w:pPr>
    </w:p>
    <w:p>
      <w:pPr>
        <w:ind w:right="20" w:firstLine="1305"/>
        <w:spacing w:after="0" w:line="259" w:lineRule="auto"/>
        <w:tabs>
          <w:tab w:leader="none" w:pos="15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which is twenty-one (21) days after the later of (i) the date on which an Offer has become or has been declared unconditional in all respects and (ii) the date on which an Offer has closed for acceptances (unless, in each case, compulsory squeeze-out procedures for the acquisition of minority shareholdings in the Target pursuant to Part 28 of the Companies Act (“Compulsory Acquisition Procedures”) have commenced before such date);</w:t>
      </w:r>
    </w:p>
    <w:p>
      <w:pPr>
        <w:spacing w:after="0" w:line="186" w:lineRule="exact"/>
        <w:rPr>
          <w:rFonts w:ascii="Arial" w:cs="Arial" w:eastAsia="Arial" w:hAnsi="Arial"/>
          <w:sz w:val="18"/>
          <w:szCs w:val="18"/>
          <w:color w:val="auto"/>
        </w:rPr>
      </w:pPr>
    </w:p>
    <w:p>
      <w:pPr>
        <w:ind w:right="120" w:firstLine="1305"/>
        <w:spacing w:after="0" w:line="264" w:lineRule="auto"/>
        <w:tabs>
          <w:tab w:leader="none" w:pos="15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on which the Target becomes a direct or indirect wholly-owned Subsidiary of Borrower and Borrower has paid all sums due pursuant to or in connection with, the Target Acquisition and any surrender or cancellation of options or awards over the shares of the Target;</w:t>
      </w:r>
    </w:p>
    <w:p>
      <w:pPr>
        <w:spacing w:after="0" w:line="181" w:lineRule="exact"/>
        <w:rPr>
          <w:rFonts w:ascii="Arial" w:cs="Arial" w:eastAsia="Arial" w:hAnsi="Arial"/>
          <w:sz w:val="18"/>
          <w:szCs w:val="18"/>
          <w:color w:val="auto"/>
        </w:rPr>
      </w:pPr>
    </w:p>
    <w:p>
      <w:pPr>
        <w:ind w:right="140" w:firstLine="1305"/>
        <w:spacing w:after="0" w:line="264" w:lineRule="auto"/>
        <w:tabs>
          <w:tab w:leader="none" w:pos="15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Target Acquisition is effected by way of a Scheme, 11:59 p.m. (New York City time) on the date falling 14 days after the Scheme Effective Date or, if later, the date immediately following any extension of the period for settlement of consideration provided by the Panel pursuant to the Takeover Code; and</w:t>
      </w:r>
    </w:p>
    <w:p>
      <w:pPr>
        <w:spacing w:after="0" w:line="181" w:lineRule="exact"/>
        <w:rPr>
          <w:rFonts w:ascii="Arial" w:cs="Arial" w:eastAsia="Arial" w:hAnsi="Arial"/>
          <w:sz w:val="18"/>
          <w:szCs w:val="18"/>
          <w:color w:val="auto"/>
        </w:rPr>
      </w:pPr>
    </w:p>
    <w:p>
      <w:pPr>
        <w:ind w:firstLine="1305"/>
        <w:spacing w:after="0" w:line="264" w:lineRule="auto"/>
        <w:tabs>
          <w:tab w:leader="none" w:pos="15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 Scheme lapses, terminates or is withdrawn (or the same is rejected by the High Court or is not approved by the requisite shareholders of the Target (unless, within ten Business Days of such date, Borrower has notified Administrative Agent that it intends to launch an Offer and a Rule 2.7 Announcement in respect of that Offer is issued).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Termination Date” means the date that is the last day of the Certain Funds Period.</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193"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“Class”, when used in reference to (a) any Loan or Borrowing, refers to whether such Loan, or the Loans comprising such Borrowing, are 3-Year Sterling Tranche Term Loans, 3-Year Dollar Tranche Term Loans, 5-Year Sterling Tranche Term Loans or 5-Year Dollar Tranche Term Loans, (b) any Commitment, refers to whether such Commitment is a 3-Year Tranche Term Commitment or a 5-Year Tranche Term Commitment and (c) any Lender, refers to whether such Lender has a Loan or Commitment of a particular Class.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“Clean-Up Period Termination Date” means the date that is 120 days after the Final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“Comcast Cable” means Comcast Cable Communications,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left="11280"/>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“Commitment” means, for each Lender, the sum of its 3-Year Tranche Term Commitment and its 5-Year Tranche Term Commitment. As of the Effective Date, the aggregate amount of the Commitments of all Lenders is £7,000,000,000.</w:t>
      </w:r>
    </w:p>
    <w:p>
      <w:pPr>
        <w:spacing w:after="0" w:line="170"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or any Lender by means of electronic communications pursuant to Section 10.02(e), including through an Electronic System.</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“Companies Act” means the Companies Act 2006 of the United Kingdom, as amended.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“Compliance Certificate” means a certificate substantially in the form of Exhibit C, properly completed and signed by a Responsible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Borrower.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“Compulsory Acquisition Procedures” has the meaning set forth in the definition of Certain Funds Period.</w:t>
      </w:r>
    </w:p>
    <w:p>
      <w:pPr>
        <w:spacing w:after="0" w:line="22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6.01(a) or, at any time prior to the initial delivery of such consolidated balance sheet pursuant to Section 6.01(a), the consolidated balance sheet of Borrower and its consolidated Subsidiaries as set forth in Borrower’s annual report most recently filed on Form 10-K with the U.S. Securities and Exchange Commission.</w:t>
      </w:r>
    </w:p>
    <w:p>
      <w:pPr>
        <w:spacing w:after="0" w:line="15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89"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left="11280"/>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“Default Rate” means an interest rate equal to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81" w:lineRule="exact"/>
        <w:rPr>
          <w:sz w:val="20"/>
          <w:szCs w:val="20"/>
          <w:color w:val="auto"/>
        </w:rPr>
      </w:pPr>
    </w:p>
    <w:p>
      <w:pPr>
        <w:ind w:right="120" w:firstLine="1297"/>
        <w:spacing w:after="0" w:line="284"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within three Business Days of the date on which it shall have been required to fund the same (or, in the case of any Borrowing on the Initial Closing Date, on the Initial Closing Date), (b) notified Borrower, Administrative Agent or any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w:t>
      </w:r>
    </w:p>
    <w:p>
      <w:pPr>
        <w:spacing w:after="0" w:line="3" w:lineRule="exact"/>
        <w:rPr>
          <w:sz w:val="20"/>
          <w:szCs w:val="20"/>
          <w:color w:val="auto"/>
        </w:rPr>
      </w:pPr>
    </w:p>
    <w:p>
      <w:pPr>
        <w:ind w:firstLine="8"/>
        <w:spacing w:after="0" w:line="26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otherwise failed to pay over to Administrative Agent or any other Lender any other amount required to be paid by it hereunder within three Business Days of the date when due, unless the subject of a good faith dispute, (e)(i)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and Administrative Agent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11200"/>
        <w:spacing w:after="0"/>
        <w:rPr>
          <w:sz w:val="20"/>
          <w:szCs w:val="20"/>
          <w:color w:val="auto"/>
        </w:rPr>
      </w:pPr>
      <w:r>
        <w:rPr>
          <w:rFonts w:ascii="Arial" w:cs="Arial" w:eastAsia="Arial" w:hAnsi="Arial"/>
          <w:sz w:val="17"/>
          <w:szCs w:val="17"/>
          <w:color w:val="auto"/>
        </w:rPr>
        <w:t>10</w:t>
      </w:r>
    </w:p>
    <w:p>
      <w:pPr>
        <w:spacing w:after="0" w:line="129"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 plus (e) any and all Transaction Costs incurred by Borrower and/or its Restricted Subsidiaries (in each case whether paid in cash or accrued).</w:t>
      </w:r>
    </w:p>
    <w:p>
      <w:pPr>
        <w:spacing w:after="0" w:line="189"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w:t>
      </w:r>
    </w:p>
    <w:p>
      <w:pPr>
        <w:spacing w:after="0" w:line="229" w:lineRule="exact"/>
        <w:rPr>
          <w:sz w:val="20"/>
          <w:szCs w:val="20"/>
          <w:color w:val="auto"/>
        </w:rPr>
      </w:pPr>
    </w:p>
    <w:p>
      <w:pPr>
        <w:ind w:right="740" w:firstLine="1297"/>
        <w:spacing w:after="0" w:line="210"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ClearPar®, Debt Domain, Syndtrak, FpML messaging and any other Internet or extranet-based site.</w:t>
      </w:r>
    </w:p>
    <w:p>
      <w:pPr>
        <w:spacing w:after="0" w:line="202"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p>
      <w:pPr>
        <w:ind w:left="11200"/>
        <w:spacing w:after="0"/>
        <w:rPr>
          <w:sz w:val="20"/>
          <w:szCs w:val="20"/>
          <w:color w:val="auto"/>
        </w:rPr>
      </w:pPr>
      <w:r>
        <w:rPr>
          <w:rFonts w:ascii="Arial" w:cs="Arial" w:eastAsia="Arial" w:hAnsi="Arial"/>
          <w:sz w:val="18"/>
          <w:szCs w:val="18"/>
          <w:color w:val="auto"/>
        </w:rPr>
        <w:t>11</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“Equity Interests” means shares,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“ERISA” means the Employee Retirement Income Security Act of 1974, as amended, and the rules and regulations promulgated thereunder.</w:t>
      </w:r>
    </w:p>
    <w:p>
      <w:pPr>
        <w:spacing w:after="0" w:line="248"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Rate” means:</w:t>
      </w:r>
    </w:p>
    <w:p>
      <w:pPr>
        <w:spacing w:after="0" w:line="225" w:lineRule="exact"/>
        <w:rPr>
          <w:sz w:val="20"/>
          <w:szCs w:val="20"/>
          <w:color w:val="auto"/>
        </w:rPr>
      </w:pPr>
    </w:p>
    <w:p>
      <w:pPr>
        <w:jc w:val="both"/>
        <w:ind w:left="660" w:firstLine="645"/>
        <w:spacing w:after="0" w:line="276" w:lineRule="auto"/>
        <w:tabs>
          <w:tab w:leader="none" w:pos="19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(“LIBOR”) or successor rate, which rate is approved by the Administrative Agent, as published on the applicable Bloomberg screen page (or such other comparable commercially available source providing such quotations as may be designated by the Administrative Agent from time to time in its reasonable discretion) at approximately 11:00 a.m., London time, two Business Days prior to the commencement of such Interest Period, for Dollar deposits (for delivery on the first day of such Interest Period) with a term equivalent to such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ind w:left="11200"/>
        <w:spacing w:after="0"/>
        <w:rPr>
          <w:sz w:val="20"/>
          <w:szCs w:val="20"/>
          <w:color w:val="auto"/>
        </w:rPr>
      </w:pPr>
      <w:r>
        <w:rPr>
          <w:rFonts w:ascii="Arial" w:cs="Arial" w:eastAsia="Arial" w:hAnsi="Arial"/>
          <w:sz w:val="18"/>
          <w:szCs w:val="18"/>
          <w:color w:val="auto"/>
        </w:rPr>
        <w:t>12</w:t>
      </w:r>
    </w:p>
    <w:p>
      <w:pPr>
        <w:spacing w:after="0" w:line="117" w:lineRule="exact"/>
        <w:rPr>
          <w:sz w:val="20"/>
          <w:szCs w:val="20"/>
          <w:color w:val="auto"/>
        </w:rPr>
      </w:pPr>
    </w:p>
    <w:p>
      <w:pPr>
        <w:ind w:left="660" w:firstLine="645"/>
        <w:spacing w:after="0" w:line="342" w:lineRule="auto"/>
        <w:tabs>
          <w:tab w:leader="none" w:pos="18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LIBOR, at or about 11:00 a.m., London time determined two Business Days prior to such date for Dollars deposits with a term of one month commencing that day; and</w:t>
      </w:r>
    </w:p>
    <w:p>
      <w:pPr>
        <w:spacing w:after="0" w:line="123" w:lineRule="exact"/>
        <w:rPr>
          <w:rFonts w:ascii="Arial" w:cs="Arial" w:eastAsia="Arial" w:hAnsi="Arial"/>
          <w:sz w:val="16"/>
          <w:szCs w:val="16"/>
          <w:color w:val="auto"/>
        </w:rPr>
      </w:pPr>
    </w:p>
    <w:p>
      <w:pPr>
        <w:ind w:left="1860" w:hanging="555"/>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Eurodollar Rate shall be less than zero, such rate shall be deemed zero for purposes of this Agreement;</w:t>
      </w:r>
    </w:p>
    <w:p>
      <w:pPr>
        <w:spacing w:after="0" w:line="225" w:lineRule="exact"/>
        <w:rPr>
          <w:sz w:val="20"/>
          <w:szCs w:val="20"/>
          <w:color w:val="auto"/>
        </w:rPr>
      </w:pPr>
    </w:p>
    <w:p>
      <w:pPr>
        <w:ind w:right="440" w:firstLine="1297"/>
        <w:spacing w:after="0" w:line="312" w:lineRule="auto"/>
        <w:rPr>
          <w:sz w:val="20"/>
          <w:szCs w:val="20"/>
          <w:color w:val="auto"/>
        </w:rPr>
      </w:pPr>
      <w:r>
        <w:rPr>
          <w:rFonts w:ascii="Arial" w:cs="Arial" w:eastAsia="Arial" w:hAnsi="Arial"/>
          <w:sz w:val="16"/>
          <w:szCs w:val="16"/>
          <w:color w:val="auto"/>
        </w:rPr>
        <w:t>provided that to the extent a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4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“Eurodollar Rate Loan” means a Loan bearing interest based on the Eurodollar Rate. For the avoidance of doubt, each Loan denominated in a currency other than Dollars shall be a Eurodollar Rate Loan.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right="60" w:firstLine="1297"/>
        <w:spacing w:after="0" w:line="284" w:lineRule="auto"/>
        <w:rPr>
          <w:sz w:val="20"/>
          <w:szCs w:val="20"/>
          <w:color w:val="auto"/>
        </w:rPr>
      </w:pPr>
      <w:r>
        <w:rPr>
          <w:rFonts w:ascii="Arial" w:cs="Arial" w:eastAsia="Arial" w:hAnsi="Arial"/>
          <w:sz w:val="16"/>
          <w:szCs w:val="16"/>
          <w:color w:val="auto"/>
        </w:rPr>
        <w:t>“Exchange Rate” means on any day (a) with respect to Dollars, the rate at which Dollars may be exchanged into Sterling and (b) with respect to Sterling, the rate at which Sterling may be exchanged into Dollars, in each case as set forth at approximately 11:00 a.m. (London time) on such day on the Bloomberg World Currency Page for such currency; in the event that such rate does not appear on any Bloomberg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w:t>
      </w:r>
    </w:p>
    <w:p>
      <w:pPr>
        <w:spacing w:after="0" w:line="5"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 xml:space="preserve">10:00 a.m. (New York City time) on such date for the purchase of Sterling or Dollars, as applicable,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any time of any such determination, for any reason, no such spot rate is being quoted, Administrative Agent may, in consultation with Borrower, use any reasonable method it deems appropriate to determine such rate, and such determination shall be conclusive absent manifest error.</w:t>
      </w:r>
    </w:p>
    <w:p>
      <w:pPr>
        <w:spacing w:after="0" w:line="15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“Existing Restricted Subsidiaries” means all Subsidiaries of Borrower in existence as such on March 28, 2018 and not designated as “Unrestricted Subsidiaries” pursuant to the terms of the Revolving Credit Agreement as of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of Credit” means a Borrowing, Conversion or Continuation of Loans and (collectively, the “Extensions of Credit”).</w:t>
      </w:r>
    </w:p>
    <w:p>
      <w:pPr>
        <w:spacing w:after="0" w:line="225"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law, regulation, rule, promulgation, or official agreement implementing an official intergovernmental agreement with respect to such sections or regulations.</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“Federal Funds Rate” means, for any day, the rate per annum equal to the weighted average of the rates on overnight Federal funds transactions with members of the Federal Reserve System, as published by the Federal Reserve Bank of New York on the Business Day next succeeding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left="11200"/>
        <w:spacing w:after="0"/>
        <w:rPr>
          <w:sz w:val="20"/>
          <w:szCs w:val="20"/>
          <w:color w:val="auto"/>
        </w:rPr>
      </w:pPr>
      <w:r>
        <w:rPr>
          <w:rFonts w:ascii="Arial" w:cs="Arial" w:eastAsia="Arial" w:hAnsi="Arial"/>
          <w:sz w:val="17"/>
          <w:szCs w:val="17"/>
          <w:color w:val="auto"/>
        </w:rPr>
        <w:t>13</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If the Federal Funds Rate shall be less than zero, such rate shall be deemed to be zero for purposes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“Fee Letter” means that certain Fee Letter, dated as of March 28, 2018, by and among Borrower, MLPFS, Bank of America, WFS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Wells Fargo.</w:t>
      </w:r>
    </w:p>
    <w:p>
      <w:pPr>
        <w:spacing w:after="0" w:line="21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“Final Closing Date” means the first date on which the conditions set forth in clause (c) (unless Compulsory Acquisition Procedures have commenced before such date), (d) or (e) of the definition of Certain Funds Period shall have occurred.</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“Guarantors” means Comcast Cable, NBCU and each Restricted Subsidiary that becomes a party to the Guarantee Agreement pursuant to Section 6.10 (in each case to the extent not released as contemplated by this Agreement).</w:t>
      </w:r>
    </w:p>
    <w:p>
      <w:pPr>
        <w:spacing w:after="0" w:line="170"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 Court” means the High Court of Justice of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ind w:left="11200"/>
        <w:spacing w:after="0"/>
        <w:rPr>
          <w:sz w:val="20"/>
          <w:szCs w:val="20"/>
          <w:color w:val="auto"/>
        </w:rPr>
      </w:pPr>
      <w:r>
        <w:rPr>
          <w:rFonts w:ascii="Arial" w:cs="Arial" w:eastAsia="Arial" w:hAnsi="Arial"/>
          <w:sz w:val="17"/>
          <w:szCs w:val="17"/>
          <w:color w:val="auto"/>
        </w:rPr>
        <w:t>14</w:t>
      </w:r>
    </w:p>
    <w:p>
      <w:pPr>
        <w:spacing w:after="0" w:line="129"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firstLine="8"/>
        <w:spacing w:after="0" w:line="269"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Indebtedness shall not include (i) 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amount of any Indebtedness described in clause (e) above shall be the lesser of the amount of the Indebtedness or the fair market value of the property securing such Indebtedness.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“Initial Closing Date” means the date upon which all the conditions precedent in Section 4.02 have been satisfied or waived with respect to the initial Borrowing of Loans hereunder and such initial Borrowing of Loans occurs.</w:t>
      </w:r>
    </w:p>
    <w:p>
      <w:pPr>
        <w:spacing w:after="0" w:line="170"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“Interest Period” means, for each Eurodollar Rate Loan, (a) initially, the period commencing on the date such Eurodollar Rate Loan is disbursed or Continued as, or Converted into, such Eurodollar Rate Loan and (b) thereafter, the period commencing on the last day of the preceding Interest Period, and ending, in each case, on the earlier of (i) the scheduled maturity date of such Loan, or (ii) one, two, three, six or, if agreed to by each Lender, 12 months or periods less than one month,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660" w:right="200" w:firstLine="645"/>
        <w:spacing w:after="0" w:line="342" w:lineRule="auto"/>
        <w:tabs>
          <w:tab w:leader="none" w:pos="17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ind w:left="660" w:right="260" w:firstLine="645"/>
        <w:spacing w:after="0" w:line="264" w:lineRule="auto"/>
        <w:tabs>
          <w:tab w:leader="none" w:pos="1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660" w:right="100" w:firstLine="645"/>
        <w:spacing w:after="0" w:line="277" w:lineRule="auto"/>
        <w:tabs>
          <w:tab w:leader="none" w:pos="18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Administrative Agent otherwise consents, there may not be more than ten (10) Interest Periods for Eurodollar Rate Loans in effect at any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5" w:name="page26"/>
    <w:bookmarkEnd w:id="25"/>
    <w:p>
      <w:pPr>
        <w:ind w:left="11200"/>
        <w:spacing w:after="0"/>
        <w:rPr>
          <w:sz w:val="20"/>
          <w:szCs w:val="20"/>
          <w:color w:val="auto"/>
        </w:rPr>
      </w:pPr>
      <w:r>
        <w:rPr>
          <w:rFonts w:ascii="Arial" w:cs="Arial" w:eastAsia="Arial" w:hAnsi="Arial"/>
          <w:sz w:val="16"/>
          <w:szCs w:val="16"/>
          <w:color w:val="auto"/>
        </w:rPr>
        <w:t>15</w:t>
      </w:r>
    </w:p>
    <w:p>
      <w:pPr>
        <w:spacing w:after="0" w:line="140" w:lineRule="exact"/>
        <w:rPr>
          <w:sz w:val="20"/>
          <w:szCs w:val="20"/>
          <w:color w:val="auto"/>
        </w:rPr>
      </w:pPr>
    </w:p>
    <w:p>
      <w:pPr>
        <w:jc w:val="both"/>
        <w:ind w:right="520" w:firstLine="1297"/>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“Lender” means each lender from time to time party hereto and, subject to the terms and conditions of this Agreement, their respective successors and assigns (but not any purchaser of a participation hereunder unless otherwise a party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or any Lender.</w:t>
      </w:r>
    </w:p>
    <w:p>
      <w:pPr>
        <w:spacing w:after="0" w:line="225"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any time after (x) in connection with the Target Acquisition or with respect to any acquisition that is a Material Acquisition in accordance with clause (ii) of the definition thereof to which the United Kingdom City Code on Takeovers and Mergers (or any comparable laws, rules or regulations in any other jurisdiction) applies, the date on which (i) the Rule 2.7 Announcement is issued in connection with the Target Acquisition or (ii)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has the meaning set forth in the definition of Eurodollar Rate.</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“LIBOR Screen Rate” means, the LIBOR quote on the applicable screen page the Administrative Agent designates to determine LIBOR (or such other comparable commercially available source providing such quotations as may be designated by the Administrative Agent from time to time).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Successor Rate” has the meaning set forth in Section 3.03(b).</w:t>
      </w:r>
    </w:p>
    <w:p>
      <w:pPr>
        <w:spacing w:after="0" w:line="225" w:lineRule="exact"/>
        <w:rPr>
          <w:sz w:val="20"/>
          <w:szCs w:val="20"/>
          <w:color w:val="auto"/>
        </w:rPr>
      </w:pPr>
    </w:p>
    <w:p>
      <w:pPr>
        <w:ind w:right="220" w:firstLine="1297"/>
        <w:spacing w:after="0" w:line="302" w:lineRule="auto"/>
        <w:rPr>
          <w:sz w:val="20"/>
          <w:szCs w:val="20"/>
          <w:color w:val="auto"/>
        </w:rPr>
      </w:pPr>
      <w:r>
        <w:rPr>
          <w:rFonts w:ascii="Arial" w:cs="Arial" w:eastAsia="Arial" w:hAnsi="Arial"/>
          <w:sz w:val="16"/>
          <w:szCs w:val="16"/>
          <w:color w:val="auto"/>
        </w:rPr>
        <w:t>“LIBOR Successor Rate Conforming Changes” means, with respect to any proposed LIBOR Successor Rate, any conforming changes to the definitions of “Base Rate” and “Interest Period”, timing and frequency of determining rates and making payments of interest and other administrative matters as may 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16</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81"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any 3-Year Tranche Term Loan or any 5-Year Tranche Term Loan, as applicable.</w:t>
      </w:r>
    </w:p>
    <w:p>
      <w:pPr>
        <w:spacing w:after="0" w:line="225"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“Loan Documents” means this Agreement, the Guarantee Agreement, each Note, each Request for Extension of Credit, each Compliance Certificate, each fee letter (including the Fee Letter) and each other instrument or agreement from time to time delivered by any Loan Party pursuant to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“Major Event of Default” means an Event of Default arising from any of the following with respect to Borrower and the Guarantors only (and not, for the avoidance of doubt, (a) in relation to any other Subsidiary of Borrower or the Target Group or (b) in respect of any obligation to procure any action by any other Subsidiary of Borrower or the Target Group):</w:t>
      </w:r>
    </w:p>
    <w:p>
      <w:pPr>
        <w:spacing w:after="0" w:line="181" w:lineRule="exact"/>
        <w:rPr>
          <w:sz w:val="20"/>
          <w:szCs w:val="20"/>
          <w:color w:val="auto"/>
        </w:rPr>
      </w:pPr>
    </w:p>
    <w:p>
      <w:pPr>
        <w:ind w:left="1780" w:hanging="475"/>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8.01(a);</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8.01(b);</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8.01(c), but solely as it relates to the failure to perform or observe any of covenants set forth in Section 7.03 (</w:t>
      </w:r>
      <w:r>
        <w:rPr>
          <w:rFonts w:ascii="Arial" w:cs="Arial" w:eastAsia="Arial" w:hAnsi="Arial"/>
          <w:sz w:val="18"/>
          <w:szCs w:val="18"/>
          <w:i w:val="1"/>
          <w:iCs w:val="1"/>
          <w:color w:val="auto"/>
        </w:rPr>
        <w:t>Fundamental Changes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8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8.01(d), but solely as it relates to the failure to perform or observe any of the covenants set forth in Section 6.04 (</w:t>
      </w:r>
      <w:r>
        <w:rPr>
          <w:rFonts w:ascii="Arial" w:cs="Arial" w:eastAsia="Arial" w:hAnsi="Arial"/>
          <w:sz w:val="18"/>
          <w:szCs w:val="18"/>
          <w:i w:val="1"/>
          <w:iCs w:val="1"/>
          <w:color w:val="auto"/>
        </w:rPr>
        <w:t>Preservation of Existence</w:t>
      </w:r>
      <w:r>
        <w:rPr>
          <w:rFonts w:ascii="Arial" w:cs="Arial" w:eastAsia="Arial" w:hAnsi="Arial"/>
          <w:sz w:val="18"/>
          <w:szCs w:val="18"/>
          <w:color w:val="auto"/>
        </w:rPr>
        <w:t>) but only insofar as it refers to “existence” therein, 6.11(a) and (c)(ii) (only) (</w:t>
      </w:r>
      <w:r>
        <w:rPr>
          <w:rFonts w:ascii="Arial" w:cs="Arial" w:eastAsia="Arial" w:hAnsi="Arial"/>
          <w:sz w:val="18"/>
          <w:szCs w:val="18"/>
          <w:i w:val="1"/>
          <w:iCs w:val="1"/>
          <w:color w:val="auto"/>
        </w:rPr>
        <w:t>Scheme and Offer</w:t>
      </w:r>
      <w:r>
        <w:rPr>
          <w:rFonts w:ascii="Arial" w:cs="Arial" w:eastAsia="Arial" w:hAnsi="Arial"/>
          <w:sz w:val="18"/>
          <w:szCs w:val="18"/>
          <w:color w:val="auto"/>
        </w:rPr>
        <w:t>), 7.01 (</w:t>
      </w:r>
      <w:r>
        <w:rPr>
          <w:rFonts w:ascii="Arial" w:cs="Arial" w:eastAsia="Arial" w:hAnsi="Arial"/>
          <w:sz w:val="18"/>
          <w:szCs w:val="18"/>
          <w:i w:val="1"/>
          <w:iCs w:val="1"/>
          <w:color w:val="auto"/>
        </w:rPr>
        <w:t>Liens</w:t>
      </w:r>
      <w:r>
        <w:rPr>
          <w:rFonts w:ascii="Arial" w:cs="Arial" w:eastAsia="Arial" w:hAnsi="Arial"/>
          <w:sz w:val="18"/>
          <w:szCs w:val="18"/>
          <w:color w:val="auto"/>
        </w:rPr>
        <w:t>), 7.05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or 7.07 (</w:t>
      </w:r>
      <w:r>
        <w:rPr>
          <w:rFonts w:ascii="Arial" w:cs="Arial" w:eastAsia="Arial" w:hAnsi="Arial"/>
          <w:sz w:val="18"/>
          <w:szCs w:val="18"/>
          <w:i w:val="1"/>
          <w:iCs w:val="1"/>
          <w:color w:val="auto"/>
        </w:rPr>
        <w:t>Scheme and Offer</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1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circumstance constituting an Event of Default under Section 8.01(e), but solely as it relates to the inaccuracy of any representation or warranty set forth in Section 5.01 (</w:t>
      </w:r>
      <w:r>
        <w:rPr>
          <w:rFonts w:ascii="Arial" w:cs="Arial" w:eastAsia="Arial" w:hAnsi="Arial"/>
          <w:sz w:val="16"/>
          <w:szCs w:val="16"/>
          <w:i w:val="1"/>
          <w:iCs w:val="1"/>
          <w:color w:val="auto"/>
        </w:rPr>
        <w:t>Existence and Qualification; Compliance with Laws</w:t>
      </w:r>
      <w:r>
        <w:rPr>
          <w:rFonts w:ascii="Arial" w:cs="Arial" w:eastAsia="Arial" w:hAnsi="Arial"/>
          <w:sz w:val="16"/>
          <w:szCs w:val="16"/>
          <w:color w:val="auto"/>
        </w:rPr>
        <w:t>), 5.02 (</w:t>
      </w:r>
      <w:r>
        <w:rPr>
          <w:rFonts w:ascii="Arial" w:cs="Arial" w:eastAsia="Arial" w:hAnsi="Arial"/>
          <w:sz w:val="16"/>
          <w:szCs w:val="16"/>
          <w:i w:val="1"/>
          <w:iCs w:val="1"/>
          <w:color w:val="auto"/>
        </w:rPr>
        <w:t>Power; Authorization; Enforceable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5.03(a)(i), (ii) and (iii) (</w:t>
      </w:r>
      <w:r>
        <w:rPr>
          <w:rFonts w:ascii="Arial" w:cs="Arial" w:eastAsia="Arial" w:hAnsi="Arial"/>
          <w:sz w:val="16"/>
          <w:szCs w:val="16"/>
          <w:i w:val="1"/>
          <w:iCs w:val="1"/>
          <w:color w:val="auto"/>
        </w:rPr>
        <w:t>No Legal Bar</w:t>
      </w:r>
      <w:r>
        <w:rPr>
          <w:rFonts w:ascii="Arial" w:cs="Arial" w:eastAsia="Arial" w:hAnsi="Arial"/>
          <w:sz w:val="16"/>
          <w:szCs w:val="16"/>
          <w:color w:val="auto"/>
        </w:rPr>
        <w:t>) (but only in respect of Section 5.03(iii) with respect to any Contractual Obligation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for borrowed money incurred or issued by a Loan Party in an aggregate principal amount equal to or greater than the Threshold Amount), 5.06 (</w:t>
      </w:r>
      <w:r>
        <w:rPr>
          <w:rFonts w:ascii="Arial" w:cs="Arial" w:eastAsia="Arial" w:hAnsi="Arial"/>
          <w:sz w:val="16"/>
          <w:szCs w:val="16"/>
          <w:i w:val="1"/>
          <w:iCs w:val="1"/>
          <w:color w:val="auto"/>
        </w:rPr>
        <w:t>Use of Proceeds</w:t>
      </w:r>
      <w:r>
        <w:rPr>
          <w:rFonts w:ascii="Arial" w:cs="Arial" w:eastAsia="Arial" w:hAnsi="Arial"/>
          <w:sz w:val="16"/>
          <w:szCs w:val="16"/>
          <w:color w:val="auto"/>
        </w:rPr>
        <w:t>) (solely with respect to the second sentence thereof) or 5.08 (</w:t>
      </w:r>
      <w:r>
        <w:rPr>
          <w:rFonts w:ascii="Arial" w:cs="Arial" w:eastAsia="Arial" w:hAnsi="Arial"/>
          <w:sz w:val="16"/>
          <w:szCs w:val="16"/>
          <w:i w:val="1"/>
          <w:iCs w:val="1"/>
          <w:color w:val="auto"/>
        </w:rPr>
        <w:t>Target Acquisition Documents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17</w:t>
      </w:r>
    </w:p>
    <w:p>
      <w:pPr>
        <w:spacing w:after="0" w:line="117" w:lineRule="exact"/>
        <w:rPr>
          <w:sz w:val="20"/>
          <w:szCs w:val="20"/>
          <w:color w:val="auto"/>
        </w:rPr>
      </w:pPr>
    </w:p>
    <w:p>
      <w:pPr>
        <w:ind w:left="1880" w:hanging="575"/>
        <w:spacing w:after="0"/>
        <w:tabs>
          <w:tab w:leader="none" w:pos="1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8.01(g); and</w:t>
      </w:r>
    </w:p>
    <w:p>
      <w:pPr>
        <w:spacing w:after="0" w:line="225" w:lineRule="exact"/>
        <w:rPr>
          <w:rFonts w:ascii="Arial" w:cs="Arial" w:eastAsia="Arial" w:hAnsi="Arial"/>
          <w:sz w:val="18"/>
          <w:szCs w:val="18"/>
          <w:color w:val="auto"/>
        </w:rPr>
      </w:pPr>
    </w:p>
    <w:p>
      <w:pPr>
        <w:jc w:val="both"/>
        <w:ind w:left="660" w:right="80" w:firstLine="645"/>
        <w:spacing w:after="0" w:line="264" w:lineRule="auto"/>
        <w:tabs>
          <w:tab w:leader="none" w:pos="18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8.01(i) (but excluding, in relation to involuntary proceedings, any Event of Default caused by a frivolous or vexatious (and, in either case, lacking in merit) action, proceeding or petition in respect of which no order or decree in respect of such involuntary proceeding shall have been entered).</w:t>
      </w:r>
    </w:p>
    <w:p>
      <w:pPr>
        <w:spacing w:after="0" w:line="181"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93"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3" w:lineRule="exact"/>
        <w:rPr>
          <w:sz w:val="20"/>
          <w:szCs w:val="20"/>
          <w:color w:val="auto"/>
        </w:rPr>
      </w:pPr>
    </w:p>
    <w:p>
      <w:pPr>
        <w:ind w:right="160" w:firstLine="1297"/>
        <w:spacing w:after="0" w:line="293" w:lineRule="auto"/>
        <w:rPr>
          <w:sz w:val="20"/>
          <w:szCs w:val="20"/>
          <w:color w:val="auto"/>
        </w:rPr>
      </w:pPr>
      <w:r>
        <w:rPr>
          <w:rFonts w:ascii="Arial" w:cs="Arial" w:eastAsia="Arial" w:hAnsi="Arial"/>
          <w:sz w:val="16"/>
          <w:szCs w:val="16"/>
          <w:color w:val="auto"/>
        </w:rPr>
        <w:t>“Materially Adverse Amendment” means a modification, amendment or waiver to or of the terms or conditions of any Target Acquisition Document that is, when compared to the terms and conditions that are included in the draft of the Rule 2.7 Announcement delivered pursuant to Section 4.01(c), materially prejudicial to the interests of the Lenders (taken as a whole), it being acknowledged that (a) a waiver of a pre-condition which then becomes a condition to be satisfied in connection with the Target Acquisition or an increase to the price of the Target Acquisition would not be materially prejudicial to the interests of the Lenders (taken as a whole), and (b) any modification, amendment or waiver required by the Takeover Code, the Panel, any other competent regulatory body or by a court of competent jurisdiction shall not be a Materially Adverse Amendment.</w:t>
      </w:r>
    </w:p>
    <w:p>
      <w:pPr>
        <w:spacing w:after="0" w:line="16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“Maturity Date” means (a) with respect to the 3-Year Tranche Term Loans, the third anniversary of the Initial Closing Date and (b) with respect to the 5-Year Tranche Term Loans, the fifth anniversary of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color w:val="auto"/>
        </w:rPr>
        <w:t>18</w:t>
      </w:r>
    </w:p>
    <w:p>
      <w:pPr>
        <w:spacing w:after="0" w:line="11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Minimum Amount</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Multiples in excess thereof</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Borrowing or prepayment of, or Conversion into,</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£10,000,000 or $15,000,000, as applicable</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 or $1,500,000, as applicable</w:t>
            </w:r>
          </w:p>
        </w:tc>
      </w:tr>
      <w:tr>
        <w:trPr>
          <w:trHeight w:val="230"/>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Rate 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£10,000,000 or $15,000,000, as applicable</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 or $1,500,000, as applicable</w:t>
            </w:r>
          </w:p>
        </w:tc>
      </w:tr>
      <w:tr>
        <w:trPr>
          <w:trHeight w:val="230"/>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Reduction of Commitments</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£15,000,000 or $20,000,000, as applicable</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£2,500,000 or $3,000,000, as applicable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Assignments</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£15,000,000 or $20,000,000, as applicable</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“MLPFS” means Merrill Lynch, Pierce, Fenner &amp; Smith Incorporated.</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“NBCU” means NBCUniversal Media,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jc w:val="both"/>
        <w:ind w:right="500" w:firstLine="1297"/>
        <w:spacing w:after="0" w:line="312" w:lineRule="auto"/>
        <w:rPr>
          <w:sz w:val="20"/>
          <w:szCs w:val="20"/>
          <w:color w:val="auto"/>
        </w:rPr>
      </w:pPr>
      <w:r>
        <w:rPr>
          <w:rFonts w:ascii="Arial" w:cs="Arial" w:eastAsia="Arial" w:hAnsi="Arial"/>
          <w:sz w:val="16"/>
          <w:szCs w:val="16"/>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4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“Offer” means a public offer by, or made on behalf of, Borrower in accordance with the Takeover Code and the provisions of the Companies Act for Borrower (or a Subsidiary thereof, including Bidco) to acquire all of the shares of the Target not owned, held or agreed to be acquired by Borrower (or a Subsidiary thereof, including Bidco).</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“Offer Documents” means (a) any Offer Press Release, (b) any document published in accordance with the Takeover Code pursuant to which an Offer is made to the shareholders of the Target (including, without limitation, any revision to an Offer and any alternative Offer) and (c) any other document designated in writing as such by Borrower and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left="11200"/>
        <w:spacing w:after="0"/>
        <w:rPr>
          <w:sz w:val="20"/>
          <w:szCs w:val="20"/>
          <w:color w:val="auto"/>
        </w:rPr>
      </w:pPr>
      <w:r>
        <w:rPr>
          <w:rFonts w:ascii="Arial" w:cs="Arial" w:eastAsia="Arial" w:hAnsi="Arial"/>
          <w:sz w:val="17"/>
          <w:szCs w:val="17"/>
          <w:color w:val="auto"/>
        </w:rPr>
        <w:t>19</w:t>
      </w:r>
    </w:p>
    <w:p>
      <w:pPr>
        <w:spacing w:after="0" w:line="129"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“Offer Press Release” means a press release announcing, in compliance with Rule 2.7, a firm intention to make an Offer or, as the case may be, a switch to an Offer in accordance with Section 8 of Appendix 7 to the Takeover Code.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ind w:right="440" w:firstLine="1297"/>
        <w:spacing w:after="0" w:line="312" w:lineRule="auto"/>
        <w:rPr>
          <w:sz w:val="20"/>
          <w:szCs w:val="20"/>
          <w:color w:val="auto"/>
        </w:rPr>
      </w:pPr>
      <w:r>
        <w:rPr>
          <w:rFonts w:ascii="Arial" w:cs="Arial" w:eastAsia="Arial" w:hAnsi="Arial"/>
          <w:sz w:val="16"/>
          <w:szCs w:val="16"/>
          <w:color w:val="auto"/>
        </w:rPr>
        <w:t>“Outstanding Obligations” means, as of any date, and giving effect to making any Extension of Credit requested on such date and all payments, repayments and prepayments made on such date, (a) when reference is made to all Lenders, the aggregate outstanding principal amount of all Loans and (b) when reference is made to one Lender, the aggregate outstanding principal amount of all Loans made by such Lender.</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“Panel” means The Panel on Takeovers and Mergers established in 1968 and designated as the supervisory authority in the United Kingdom to carry out certain regulatory functions in relation to takeovers pursuant to the EU Directive on Takeover Bids (2004/25/EC).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“PATRIOT Act” has the meaning set forth in Section 10.24.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“Permanent Financing” means the issuance of debt securities by Borrower or a Subsidiary thereof, through a public offering or in a private placement, the proceeds of which are used (in whole or in part) to consummate the Target Acquisition or to replace or refinance some or all of the Bridge Loans.</w:t>
      </w:r>
    </w:p>
    <w:p>
      <w:pPr>
        <w:spacing w:after="0" w:line="181"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“Public Lenders” has the meaning set forth in Section 6.02.</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“Reference Statements” means (a) the audited consolidated financial statements of Borrower and its Subsidiaries for the most recent fiscal year ended prior to the Effective Date as to which such financial statements are available and (b) the unaudited interim consolidated financial statements of Borrower and its Subsidiaries for each quarterly period, if any, ended subsequent to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referenced in clause (a) above and prior to the Effective Date as to which such financial statements are available.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“Request for Extension of Credit” means, unless otherwise specified herein, with respect to a Borrowing, Conversion or Continuation of Loans, a written request substantially in the form of Exhibit B or such other form as may be 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“Required 3-Year Dollar Tranche Lenders” means, as of any date of determination, Lenders (excluding any Lender that is a Defaulting Lender, until all matters that caused such Lender to be a Defaulting Lender have been remedied) holding more than 50% of the aggregate principal amount of the 3-Year Dollar Tranche Term Loans outstanding at such time.</w:t>
      </w:r>
    </w:p>
    <w:p>
      <w:pPr>
        <w:spacing w:after="0" w:line="181"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“Required 3-Year Sterling Tranche Lenders” means, as of any date of determination, Lenders (excluding any Lender that is a Defaulting Lender, until all matters that caused such Lender to be a Defaulting Lender have been remedied) holding more than 50% of the sum of (x) the unused 3-Year Tranche Term Commitments at such time and (y) the aggregate principal amount of the 3-Year Sterling Tranche Term Loans outstanding at such time.</w:t>
      </w:r>
    </w:p>
    <w:p>
      <w:pPr>
        <w:spacing w:after="0" w:line="147"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“Required 3-Year Tranche Lenders” means, as of any date of determination, Lenders (excluding any Lender that is a Defaulting Lender, until all matters that caused such Lender to be a Defaulting Lender have been remedied) holding more than 50% of the sum of (x) the unused 3-Year Tranche Term Commitments at such time and (y) the aggregate principal amount of the 3-Year Tranche Term Loans outstanding at such time.</w:t>
      </w:r>
    </w:p>
    <w:p>
      <w:pPr>
        <w:spacing w:after="0" w:line="166"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“Required 5-Year Dollar Tranche Lenders” means, as of any date of determination, Lenders (excluding any Lender that is a Defaulting Lender, until all matters that caused such Lender to be a Defaulting Lender have been remedied) holding more than 50% of the aggregate principal amount of the 5-Year Dollar Tranche Term Loans outstanding at such time.</w:t>
      </w:r>
    </w:p>
    <w:p>
      <w:pPr>
        <w:spacing w:after="0" w:line="181"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“Required 5-Year Sterling Tranche Lenders” means, as of any date of determination, Lenders (excluding any Lender that is a Defaulting Lender, until all matters that caused such Lender to be a Defaulting Lender have been remedied) holding more than 50% of the sum of (x) the unused 5-Year Tranche Term Commitments at such time and (y) the aggregate principal amount of the 5-Year Sterling Tranche Term Loans outstanding at such time.</w:t>
      </w:r>
    </w:p>
    <w:p>
      <w:pPr>
        <w:spacing w:after="0" w:line="147"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“Required 5-Year Tranche Lenders” means, as of any date of determination, Lenders (excluding any Lender that is a Defaulting Lender, until all matters that caused such Lender to be a Defaulting Lender have been remedied) holding more than 50% of the sum of (a) the unused 5-Year Tranche Term Commitments at such time and (b) the aggregate principal amount of the 5-Year Tranche Term Loans outstanding at such time.</w:t>
      </w:r>
    </w:p>
    <w:p>
      <w:pPr>
        <w:spacing w:after="0" w:line="16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the sum of (x) the unused Commitments at such time and (y) the aggregate principal amount of the Loans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1" w:name="page32"/>
    <w:bookmarkEnd w:id="31"/>
    <w:p>
      <w:pPr>
        <w:ind w:left="11200"/>
        <w:spacing w:after="0"/>
        <w:rPr>
          <w:sz w:val="20"/>
          <w:szCs w:val="20"/>
          <w:color w:val="auto"/>
        </w:rPr>
      </w:pPr>
      <w:r>
        <w:rPr>
          <w:rFonts w:ascii="Arial" w:cs="Arial" w:eastAsia="Arial" w:hAnsi="Arial"/>
          <w:sz w:val="18"/>
          <w:szCs w:val="18"/>
          <w:color w:val="auto"/>
        </w:rPr>
        <w:t>21</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Applicable Time</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Date of Action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Delivery of Request for Extension of Credit for, or</w:t>
            </w:r>
          </w:p>
        </w:tc>
        <w:tc>
          <w:tcPr>
            <w:tcW w:w="378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notice for, or determination of any LIBOR Screen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Rate related to:</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Borrowing of Base Rate Loans</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One Business Day prior to such Loans Borrowing</w:t>
            </w:r>
          </w:p>
        </w:tc>
        <w:tc>
          <w:tcPr>
            <w:tcW w:w="0" w:type="dxa"/>
            <w:vAlign w:val="bottom"/>
          </w:tcPr>
          <w:p>
            <w:pPr>
              <w:spacing w:after="0"/>
              <w:rPr>
                <w:sz w:val="1"/>
                <w:szCs w:val="1"/>
                <w:color w:val="auto"/>
              </w:rPr>
            </w:pPr>
          </w:p>
        </w:tc>
      </w:tr>
      <w:tr>
        <w:trPr>
          <w:trHeight w:val="21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of Base Rate Loans</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Same Business Day as such Loans prepayment</w:t>
            </w:r>
          </w:p>
        </w:tc>
        <w:tc>
          <w:tcPr>
            <w:tcW w:w="0" w:type="dxa"/>
            <w:vAlign w:val="bottom"/>
          </w:tcPr>
          <w:p>
            <w:pPr>
              <w:spacing w:after="0"/>
              <w:rPr>
                <w:sz w:val="1"/>
                <w:szCs w:val="1"/>
                <w:color w:val="auto"/>
              </w:rPr>
            </w:pPr>
          </w:p>
        </w:tc>
      </w:tr>
      <w:tr>
        <w:trPr>
          <w:trHeight w:val="21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 into Base Rate Loans</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11:00 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Same day as such Conversion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11:00 a.m.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denominated in Dollars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6"/>
              </w:rPr>
              <w:t>Determination of a LIBOR Screen Rate at 11:00</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a.m. (London Time) 2 Business Days prior to the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requested Borrowing, Continuation or Conversion</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Borrowing, prepayment or Continuation of, or</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 a.m.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Business Days prior to such prepayment,</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 into, Eurodollar Rate Loans</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Borrowing, Continuation or Conversion</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denominated in Sterling</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1"/>
              </w:rPr>
              <w:t>Determination of a LIBOR Screen Rate 11:00 a.m.</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tcPr>
          <w:p>
            <w:pPr>
              <w:spacing w:after="0"/>
              <w:rPr>
                <w:sz w:val="17"/>
                <w:szCs w:val="17"/>
                <w:color w:val="auto"/>
              </w:rPr>
            </w:pPr>
          </w:p>
        </w:tc>
        <w:tc>
          <w:tcPr>
            <w:tcW w:w="3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(London Time) on the first Business Day of such</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requested Borrowing, Continuation or Conversion</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Voluntary reduction in or termination of</w:t>
            </w:r>
          </w:p>
        </w:tc>
        <w:tc>
          <w:tcPr>
            <w:tcW w:w="3780" w:type="dxa"/>
            <w:vAlign w:val="bottom"/>
            <w:tcBorders>
              <w:right w:val="single" w:sz="8" w:color="auto"/>
            </w:tcBorders>
          </w:tcPr>
          <w:p>
            <w:pPr>
              <w:ind w:left="1460"/>
              <w:spacing w:after="0" w:line="195" w:lineRule="exact"/>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Business Days prior to such reduction or</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Commitments</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termination</w:t>
            </w: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Payments by Lenders or Borrower to Administrative</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 p.m.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Agent (other than Payments by Lenders to</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Administrative Agent of Base Rate Loans)</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Payments by Lenders to Administrative Agent of</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 p.m.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Base Rate Loans</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and, solely for purposes of notices given pursuant to Section 2, any other officer of the applicable Loan Party so designated by any of the foregoing officers in a notice to the Administrative Agent or any other officer of the applicable Loan Party designated in or pursuant to an agreement between the applicable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left="11200"/>
        <w:spacing w:after="0"/>
        <w:rPr>
          <w:sz w:val="20"/>
          <w:szCs w:val="20"/>
          <w:color w:val="auto"/>
        </w:rPr>
      </w:pPr>
      <w:r>
        <w:rPr>
          <w:rFonts w:ascii="Arial" w:cs="Arial" w:eastAsia="Arial" w:hAnsi="Arial"/>
          <w:sz w:val="16"/>
          <w:szCs w:val="16"/>
          <w:color w:val="auto"/>
        </w:rPr>
        <w:t>22</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the Administrative Agent.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225"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“Revolving Credit Agreement” means that certain Credit Agreement dated as of May 26, 2016, by and among Comcast Corporation, the lenders party thereto, JPMorgan Chase Bank, N.A., as administrative agent, Citibank, N.A., as syndication agent, and Morgan Stanley MUFG Loan Partners, LLC (acting through Morgan Stanley Senior Funding, Inc. and MUFG Bank, Ltd. (f/k/a The Bank of Tokyo-Mitsubishi UFJ, Ltd.), Wells Fargo and Mizuho Bank, Ltd., as co-documentation agents (as it may be amended, restated, amended and restated, supplemented or otherwise modified from time to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 2.7” means Rule 2.7 of the Takeover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“Rule 2.7 Announcement” means (in relation to a Scheme) a Scheme Press Release or (in relation to an Offer) an Offer Press Release.</w:t>
      </w:r>
    </w:p>
    <w:p>
      <w:pPr>
        <w:spacing w:after="0" w:line="248"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166"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“Scheduled Unavailability Date” has the meaning set forth in Section 3.03(b).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3" w:name="page34"/>
    <w:bookmarkEnd w:id="33"/>
    <w:p>
      <w:pPr>
        <w:ind w:left="11200"/>
        <w:spacing w:after="0"/>
        <w:rPr>
          <w:sz w:val="20"/>
          <w:szCs w:val="20"/>
          <w:color w:val="auto"/>
        </w:rPr>
      </w:pPr>
      <w:r>
        <w:rPr>
          <w:rFonts w:ascii="Arial" w:cs="Arial" w:eastAsia="Arial" w:hAnsi="Arial"/>
          <w:sz w:val="17"/>
          <w:szCs w:val="17"/>
          <w:color w:val="auto"/>
        </w:rPr>
        <w:t>23</w:t>
      </w:r>
    </w:p>
    <w:p>
      <w:pPr>
        <w:spacing w:after="0" w:line="12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“Scheme” means a scheme of arrangement made pursuant to Part 26 of the Companies Act between the Target and the holders of the Target shares in relation to the transfer of the entire issued share capital of the Target to Bidco (or another Subsidiary of Borrower) as contemplated by a Scheme Circular (as such Scheme Circular may be amended in accordance with the terms of this Agreement) as such Scheme may from time to time be amended, added to, revised, renewed or waived in accordance with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“Scheme Circular” means any circular to the shareholders of the Target to be issued by the Target setting out the proposals for any Scheme.</w:t>
      </w:r>
    </w:p>
    <w:p>
      <w:pPr>
        <w:spacing w:after="0" w:line="248"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“Scheme Documents” means (a) any Scheme Press Release, (b) the Scheme Circular (if any) and (c) any other document designated in writing as such by Borrower and Administrative Agent.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“Scheme Effective Date” means the date on which a copy of the High Court order sanctioning a Scheme is duly filed on behalf of the Target with the Registrar of Companies in accordance with section 899 of the Companies Act.</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“Scheme Press Release” means a press release to be issued by or on behalf of Borrower or the Target announcing, in compliance with Rule 2.7, a firm intention to make an offer which is to be implemented by means of a Scheme or, as the case may be, a switch to a Scheme in accordance with Section 8 of Appendix 7 of the Takeover Code.</w:t>
      </w:r>
    </w:p>
    <w:p>
      <w:pPr>
        <w:spacing w:after="0" w:line="181"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“Significant Subsidiary” means (i) for so long as each shall remain a Guarantor hereunder, Comcast Cable and NBCU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“Sterling” and “£” means lawful money of the United Kingdom.</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“Sterling Amount” means, at any time, for any amount, (i) if denominated in Sterling, the amount thereof and (ii) if denominated in Dollars, the amount thereof converted to Sterling in accordance with Section 1.09.</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“Takeover Code” means the City Code on Takeovers and Mergers (as amended) issued by the Panel.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Sky plc, incorporated in England and Wales with registered number 02247735.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left="11200"/>
        <w:spacing w:after="0"/>
        <w:rPr>
          <w:sz w:val="20"/>
          <w:szCs w:val="20"/>
          <w:color w:val="auto"/>
        </w:rPr>
      </w:pPr>
      <w:r>
        <w:rPr>
          <w:rFonts w:ascii="Arial" w:cs="Arial" w:eastAsia="Arial" w:hAnsi="Arial"/>
          <w:sz w:val="16"/>
          <w:szCs w:val="16"/>
          <w:color w:val="auto"/>
        </w:rPr>
        <w:t>24</w:t>
      </w:r>
    </w:p>
    <w:p>
      <w:pPr>
        <w:spacing w:after="0" w:line="140"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“Target Acquisition” means the acquisition by Borrower or one of its Subsidiaries (which may include Bidco) of at least a majority of the share capital of the Target. For the avoidance of doubt, the Target Acquisition may, at Borrower’s election, involve acquisition of greater than a majority of the share capital of the Target and may be consummated in several stages.</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“Target Acquisition Certificate” means a certificate substantially in the form of Exhibit G, properly completed and signed by a Responsible Officer of Borrower.</w:t>
      </w:r>
    </w:p>
    <w:p>
      <w:pPr>
        <w:spacing w:after="0" w:line="170" w:lineRule="exact"/>
        <w:rPr>
          <w:sz w:val="20"/>
          <w:szCs w:val="20"/>
          <w:color w:val="auto"/>
        </w:rPr>
      </w:pPr>
    </w:p>
    <w:p>
      <w:pPr>
        <w:ind w:right="600" w:firstLine="1297"/>
        <w:spacing w:after="0" w:line="308" w:lineRule="auto"/>
        <w:rPr>
          <w:sz w:val="20"/>
          <w:szCs w:val="20"/>
          <w:color w:val="auto"/>
        </w:rPr>
      </w:pPr>
      <w:r>
        <w:rPr>
          <w:rFonts w:ascii="Arial" w:cs="Arial" w:eastAsia="Arial" w:hAnsi="Arial"/>
          <w:sz w:val="17"/>
          <w:szCs w:val="17"/>
          <w:color w:val="auto"/>
        </w:rPr>
        <w:t>“Target Acquisition Documents” means any Rule 2.7 Announcement, any Offer Documents, any Scheme Documents and any other document designated in writing by Borrower and Administrative Agent as a “Target Acquisition Document”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Group” means the Target and its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“Term Loan Facility” means the Commitments and the Extensions of Credit made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 Costs” means all fees, costs and expenses incurred or payable by Borrower or any of its Subsidiaries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“Transactions” means, collectively, (a) the execution, delivery and performance by each Loan Party of the Loan Documents (including this Agreement) to which it is to be a party and any Borrowings hereunder (at any time), (b) the execution, delivery and performance by each Loan Party of the Loan Documents (as defined in the Bridge Credit Agreement) to which it is to be a party and the borrowing of the Loans (as defined in the Bridge Credit Agreement) on the Initial Closing Date or at any time thereafter, (c) the execution, delivery and performance by each Loan Party of any amendments or modifications to the Revolving Credit Agreement undertaken in connection with the Target Acquisition and any other documents executed in connection with any such amendments or modifications, (d) any Permanent Financing transaction and/or the incurrence of any other interim financing for the Target Acquisition and any refinancing thereof, (e) the consummation of the Target Acquisition (including any acquisition of Target shares after the Initial Closing Date) and (f) the payment of the Transaction Costs.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“type” of Loan means, as to any Loan, its nature as a Base Rate Loan or a Eurodollar Rate Loan.</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means Wells Fargo Bank, National Association.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“WFS” means Wells Fargo Securities LLC.</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5" w:name="page36"/>
    <w:bookmarkEnd w:id="35"/>
    <w:p>
      <w:pPr>
        <w:ind w:left="11200"/>
        <w:spacing w:after="0"/>
        <w:rPr>
          <w:sz w:val="20"/>
          <w:szCs w:val="20"/>
          <w:color w:val="auto"/>
        </w:rPr>
      </w:pPr>
      <w:r>
        <w:rPr>
          <w:rFonts w:ascii="Arial" w:cs="Arial" w:eastAsia="Arial" w:hAnsi="Arial"/>
          <w:sz w:val="18"/>
          <w:szCs w:val="18"/>
          <w:color w:val="auto"/>
        </w:rPr>
        <w:t>25</w:t>
      </w:r>
    </w:p>
    <w:p>
      <w:pPr>
        <w:spacing w:after="0" w:line="11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left="260" w:right="360" w:firstLine="1288"/>
        <w:spacing w:after="0" w:line="277" w:lineRule="auto"/>
        <w:tabs>
          <w:tab w:leader="none" w:pos="20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include one another.</w:t>
      </w:r>
    </w:p>
    <w:p>
      <w:pPr>
        <w:spacing w:after="0" w:line="210" w:lineRule="exact"/>
        <w:rPr>
          <w:rFonts w:ascii="Arial" w:cs="Arial" w:eastAsia="Arial" w:hAnsi="Arial"/>
          <w:sz w:val="16"/>
          <w:szCs w:val="16"/>
          <w:color w:val="auto"/>
        </w:rPr>
      </w:pPr>
    </w:p>
    <w:p>
      <w:pPr>
        <w:ind w:left="260" w:firstLine="1288"/>
        <w:spacing w:after="0" w:line="312" w:lineRule="auto"/>
        <w:tabs>
          <w:tab w:leader="none" w:pos="20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2060" w:hanging="512"/>
        <w:spacing w:after="0"/>
        <w:tabs>
          <w:tab w:leader="none" w:pos="2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69"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6" w:name="page37"/>
    <w:bookmarkEnd w:id="36"/>
    <w:p>
      <w:pPr>
        <w:ind w:left="11200"/>
        <w:spacing w:after="0"/>
        <w:rPr>
          <w:sz w:val="20"/>
          <w:szCs w:val="20"/>
          <w:color w:val="auto"/>
        </w:rPr>
      </w:pPr>
      <w:r>
        <w:rPr>
          <w:rFonts w:ascii="Arial" w:cs="Arial" w:eastAsia="Arial" w:hAnsi="Arial"/>
          <w:sz w:val="18"/>
          <w:szCs w:val="18"/>
          <w:color w:val="auto"/>
        </w:rPr>
        <w:t>26</w:t>
      </w:r>
    </w:p>
    <w:p>
      <w:pPr>
        <w:spacing w:after="0" w:line="117" w:lineRule="exact"/>
        <w:rPr>
          <w:sz w:val="20"/>
          <w:szCs w:val="20"/>
          <w:color w:val="auto"/>
        </w:rPr>
      </w:pPr>
    </w:p>
    <w:p>
      <w:pPr>
        <w:jc w:val="both"/>
        <w:ind w:right="180" w:firstLine="1297"/>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73" w:lineRule="exact"/>
        <w:rPr>
          <w:sz w:val="20"/>
          <w:szCs w:val="20"/>
          <w:color w:val="auto"/>
        </w:rPr>
      </w:pPr>
    </w:p>
    <w:p>
      <w:pPr>
        <w:jc w:val="both"/>
        <w:ind w:right="80" w:firstLine="1297"/>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Rates</w:t>
      </w:r>
      <w:r>
        <w:rPr>
          <w:rFonts w:ascii="Arial" w:cs="Arial" w:eastAsia="Arial" w:hAnsi="Arial"/>
          <w:sz w:val="18"/>
          <w:szCs w:val="18"/>
          <w:color w:val="auto"/>
        </w:rPr>
        <w:t xml:space="preserv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liability arising out of the bad faith, willful misconduct or gross negligence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p>
      <w:pPr>
        <w:ind w:left="11200"/>
        <w:spacing w:after="0"/>
        <w:rPr>
          <w:sz w:val="20"/>
          <w:szCs w:val="20"/>
          <w:color w:val="auto"/>
        </w:rPr>
      </w:pPr>
      <w:r>
        <w:rPr>
          <w:rFonts w:ascii="Arial" w:cs="Arial" w:eastAsia="Arial" w:hAnsi="Arial"/>
          <w:sz w:val="17"/>
          <w:szCs w:val="17"/>
          <w:color w:val="auto"/>
        </w:rPr>
        <w:t>27</w:t>
      </w:r>
    </w:p>
    <w:p>
      <w:pPr>
        <w:spacing w:after="0" w:line="12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Currency Equivalents</w:t>
      </w:r>
      <w:r>
        <w:rPr>
          <w:rFonts w:ascii="Arial" w:cs="Arial" w:eastAsia="Arial" w:hAnsi="Arial"/>
          <w:sz w:val="18"/>
          <w:szCs w:val="18"/>
          <w:color w:val="auto"/>
        </w:rPr>
        <w:t>. In connection with a Borrowing of Loans denominated in Dollars pursuant to the terms hereof, the Administrative Agent shall determine the Sterling Amount of such requested Borrowing based on the Exchange Rate on or about the date of the related notice requesting such Borrowing.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COMMITMENTS AND EXTENSIONS OF CREDIT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Commitments</w:t>
      </w:r>
      <w:r>
        <w:rPr>
          <w:rFonts w:ascii="Arial" w:cs="Arial" w:eastAsia="Arial" w:hAnsi="Arial"/>
          <w:sz w:val="16"/>
          <w:szCs w:val="16"/>
          <w:color w:val="auto"/>
        </w:rPr>
        <w:t>.</w:t>
      </w:r>
    </w:p>
    <w:p>
      <w:pPr>
        <w:spacing w:after="0" w:line="225" w:lineRule="exact"/>
        <w:rPr>
          <w:sz w:val="20"/>
          <w:szCs w:val="20"/>
          <w:color w:val="auto"/>
        </w:rPr>
      </w:pPr>
    </w:p>
    <w:p>
      <w:pPr>
        <w:ind w:left="260" w:right="40" w:firstLine="1288"/>
        <w:spacing w:after="0" w:line="269" w:lineRule="auto"/>
        <w:tabs>
          <w:tab w:leader="none" w:pos="20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during the Certain Funds Period, each Lender with a 3-Year Tranche Term Commitment severally agrees to make, Convert and Continue loans in Sterling (each such loan, a “3-Year Sterling Tranche Term Loan”) or, if requested by Borrower, in Dollars (each such loan, a “3-Year Dollar Tranche Term Loan”) in such amounts and currency as Borrower may from time to time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the Sterling Amount of the 3-Year Tranche Term Loans to be made by any Lender at any time shall not exceed such Lender’s 3-Year Tranche Term Commitment at such time and (ii) to the extent that any of the three (3) draws permitted pursuant to Section 2.01(c) include different currencies, the 3-Year Term Loans shall be subdivided into separate tranches. 3-Year Tranche Term Loans borrowed pursuant to this Section 2.01(a) and repaid or prepaid may not be reborrowed. Upon (i) the making of any 3-Year Sterling Tranche Term Loan by a Lender, such Lender’s 3-Year Tranche Term Commitment shall be permanently reduced by the Sterling Amount of such 3-Year Tranche Term Loan and (ii) the making of any 3-Year Dollar Tranche Term Loan by a Lender, such Lender’s 3-Year Tranche Term Commitment shall be permanently reduced by the Sterling Amount (which shall be determined based on the applicable Exchange Rate as of the date of the delivery of the Request for Extension of Credit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2.02(a)</w:t>
      </w:r>
      <w:r>
        <w:rPr>
          <w:rFonts w:ascii="Arial" w:cs="Arial" w:eastAsia="Arial" w:hAnsi="Arial"/>
          <w:sz w:val="17"/>
          <w:szCs w:val="17"/>
          <w:color w:val="auto"/>
        </w:rPr>
        <w:t>) of such 3-Year Dollar Tranche Term Loan.</w:t>
      </w:r>
    </w:p>
    <w:p>
      <w:pPr>
        <w:spacing w:after="0" w:line="182" w:lineRule="exact"/>
        <w:rPr>
          <w:rFonts w:ascii="Arial" w:cs="Arial" w:eastAsia="Arial" w:hAnsi="Arial"/>
          <w:sz w:val="17"/>
          <w:szCs w:val="17"/>
          <w:color w:val="auto"/>
        </w:rPr>
      </w:pPr>
    </w:p>
    <w:p>
      <w:pPr>
        <w:ind w:left="260" w:right="40" w:firstLine="1288"/>
        <w:spacing w:after="0" w:line="286" w:lineRule="auto"/>
        <w:tabs>
          <w:tab w:leader="none" w:pos="208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during the Certain Funds Period, each Lender with a 5-Year Tranche Term Commitment severally agrees to make, Convert and Continue loans in Sterling (each such loan, a “5-Year Sterling Tranche Term Loan”) or, if requested by Borrower, in Dollars (each such loan, a “5-Year Dollar Tranche Term Loan”) in such amounts as Borrower may from time to time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Sterling Amount of the 5-Year Tranche Term Loans to be made by any Lender at any time shall not exceed such Lender’s</w:t>
      </w:r>
    </w:p>
    <w:p>
      <w:pPr>
        <w:spacing w:after="0" w:line="1" w:lineRule="exact"/>
        <w:rPr>
          <w:rFonts w:ascii="Arial" w:cs="Arial" w:eastAsia="Arial" w:hAnsi="Arial"/>
          <w:sz w:val="16"/>
          <w:szCs w:val="16"/>
          <w:color w:val="auto"/>
        </w:rPr>
      </w:pPr>
    </w:p>
    <w:p>
      <w:pPr>
        <w:ind w:left="260"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5-Year Tranche Term Commitment at such time and (ii) to the extent that any of the three (3) draws permitted pursuant to Section 2.01(c) include different currencies, the 5-Year Term Loans shall be subdivided into separate tranches. 5-Year Tranche Term Loans borrowed pursuant to this Section 2.01(b) and repaid or prepaid may not be reborrowed. Upon (i) the making of any 5-Year Sterling Tranche Term Loan by a Lender, such Lender’s 5-Year Tranche Term Commitment shall be permanently reduced by the Sterling Amount of such 5-Year Tranche Term Loan and (ii) the making of any 5-Year Dollar Tranche Term Loan by a Lender, such Lender’s 5-Year Tranche Term Commitment shall be permanently reduced by the Sterling Amount (which shall be determined based on the applicable Exchange Rate as of the date of the delivery of the </w:t>
      </w:r>
      <w:r>
        <w:rPr>
          <w:rFonts w:ascii="Arial" w:cs="Arial" w:eastAsia="Arial" w:hAnsi="Arial"/>
          <w:sz w:val="18"/>
          <w:szCs w:val="18"/>
          <w:u w:val="single" w:color="auto"/>
          <w:color w:val="auto"/>
        </w:rPr>
        <w:t>Request for Extension of Credit</w:t>
      </w:r>
      <w:r>
        <w:rPr>
          <w:rFonts w:ascii="Arial" w:cs="Arial" w:eastAsia="Arial" w:hAnsi="Arial"/>
          <w:sz w:val="18"/>
          <w:szCs w:val="18"/>
          <w:color w:val="auto"/>
        </w:rPr>
        <w:t xml:space="preserve"> under Section 2.02(a)) of such 5-Year Dollar Tranche Term Loan.</w:t>
      </w:r>
    </w:p>
    <w:p>
      <w:pPr>
        <w:spacing w:after="0" w:line="193" w:lineRule="exact"/>
        <w:rPr>
          <w:rFonts w:ascii="Arial" w:cs="Arial" w:eastAsia="Arial" w:hAnsi="Arial"/>
          <w:sz w:val="16"/>
          <w:szCs w:val="16"/>
          <w:color w:val="auto"/>
        </w:rPr>
      </w:pPr>
    </w:p>
    <w:p>
      <w:pPr>
        <w:ind w:left="260" w:right="60" w:firstLine="1288"/>
        <w:spacing w:after="0" w:line="302" w:lineRule="auto"/>
        <w:tabs>
          <w:tab w:leader="none" w:pos="2071"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Loans hereunder shall be available to be drawn on no more than three occasions (in the aggregate) during the Certain Funds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borrowings of 3-Year Tranche Term Loans and 5-Year Tranche Term Loans funded in connection with one Request for Extension of Credit shall be deemed to constitute one drawing for purposes of this Section 2.01(c);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any Lender shall have failed to make any Loan of a Class required to be made by it under </w:t>
      </w:r>
      <w:r>
        <w:rPr>
          <w:rFonts w:ascii="Arial" w:cs="Arial" w:eastAsia="Arial" w:hAnsi="Arial"/>
          <w:sz w:val="16"/>
          <w:szCs w:val="16"/>
          <w:u w:val="single" w:color="auto"/>
          <w:color w:val="auto"/>
        </w:rPr>
        <w:t>Section 2.01</w:t>
      </w:r>
      <w:r>
        <w:rPr>
          <w:rFonts w:ascii="Arial" w:cs="Arial" w:eastAsia="Arial" w:hAnsi="Arial"/>
          <w:sz w:val="16"/>
          <w:szCs w:val="16"/>
          <w:color w:val="auto"/>
        </w:rPr>
        <w:t>, and the Borrower shall request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8" w:name="page39"/>
    <w:bookmarkEnd w:id="38"/>
    <w:p>
      <w:pPr>
        <w:ind w:left="10940"/>
        <w:spacing w:after="0"/>
        <w:rPr>
          <w:sz w:val="20"/>
          <w:szCs w:val="20"/>
          <w:color w:val="auto"/>
        </w:rPr>
      </w:pPr>
      <w:r>
        <w:rPr>
          <w:rFonts w:ascii="Arial" w:cs="Arial" w:eastAsia="Arial" w:hAnsi="Arial"/>
          <w:sz w:val="18"/>
          <w:szCs w:val="18"/>
          <w:color w:val="auto"/>
        </w:rPr>
        <w:t>28</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borrowing of Loans of such same Class, the Borrower shall not be deemed to have requested an additional Borrowing. With respect to any such Borrowing, Borrower may select from which Class or Classes of Commitments such Loans are to be made.</w:t>
      </w:r>
    </w:p>
    <w:p>
      <w:pPr>
        <w:spacing w:after="0" w:line="170"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Borrowings</w:t>
      </w:r>
      <w:r>
        <w:rPr>
          <w:rFonts w:ascii="Arial" w:cs="Arial" w:eastAsia="Arial" w:hAnsi="Arial"/>
          <w:sz w:val="16"/>
          <w:szCs w:val="16"/>
          <w:color w:val="auto"/>
        </w:rPr>
        <w:t>.</w:t>
      </w:r>
    </w:p>
    <w:p>
      <w:pPr>
        <w:spacing w:after="0" w:line="225" w:lineRule="exact"/>
        <w:rPr>
          <w:sz w:val="20"/>
          <w:szCs w:val="20"/>
          <w:color w:val="auto"/>
        </w:rPr>
      </w:pPr>
    </w:p>
    <w:p>
      <w:pPr>
        <w:ind w:firstLine="1288"/>
        <w:spacing w:after="0" w:line="255" w:lineRule="auto"/>
        <w:tabs>
          <w:tab w:leader="none" w:pos="18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 may request a Borrowing of Loans in a Minimum Amount therefor by (A) telephone, or (B) delivering a Request for Extension of Credit therefor by Requisite Notice to Administrative Agent not later than the Requisite Time therefor; provided that any telephonic notice must be confirmed immediately by delivery to the Administrative Agent of a Request for Extension of Credit. All Borrowings denominated in Dollars shall constitute Eurodollar Rate Loans with an Interest Period of one month unless properly and timely otherwise designated as set forth in the prior sentence. All Borrowings denominated in Sterling shall constitute Eurodollar Rate Loans. Requests for Borrowings may be made contingent on the closing of the Target Acquisition (or a portion of the Target Acquisition).</w:t>
      </w:r>
    </w:p>
    <w:p>
      <w:pPr>
        <w:spacing w:after="0" w:line="193" w:lineRule="exact"/>
        <w:rPr>
          <w:rFonts w:ascii="Arial" w:cs="Arial" w:eastAsia="Arial" w:hAnsi="Arial"/>
          <w:sz w:val="18"/>
          <w:szCs w:val="18"/>
          <w:color w:val="auto"/>
        </w:rPr>
      </w:pPr>
    </w:p>
    <w:p>
      <w:pPr>
        <w:ind w:right="80" w:firstLine="1288"/>
        <w:spacing w:after="0" w:line="257" w:lineRule="auto"/>
        <w:tabs>
          <w:tab w:leader="none" w:pos="18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Applicable Percentage thereof. Each Lender (subject to clause (d) below) shall make the funds for its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8" w:lineRule="exact"/>
        <w:rPr>
          <w:rFonts w:ascii="Arial" w:cs="Arial" w:eastAsia="Arial" w:hAnsi="Arial"/>
          <w:sz w:val="18"/>
          <w:szCs w:val="18"/>
          <w:color w:val="auto"/>
        </w:rPr>
      </w:pPr>
    </w:p>
    <w:p>
      <w:pPr>
        <w:ind w:right="160" w:firstLine="1288"/>
        <w:spacing w:after="0" w:line="312" w:lineRule="auto"/>
        <w:tabs>
          <w:tab w:leader="none" w:pos="18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failure of any Lender to make any Loan on any date shall not relieve any other Lender of any obligation to make a Loan on such date, but the Commitments of the Lenders are several and no Lender shall be responsible for the failure of any other Lender to so make its Loan. Borrower shall have the right to replace any Lender which fails to make a Loan when obligated to do so in accordance with Section 10.21.</w:t>
      </w:r>
    </w:p>
    <w:p>
      <w:pPr>
        <w:spacing w:after="0" w:line="146" w:lineRule="exact"/>
        <w:rPr>
          <w:rFonts w:ascii="Arial" w:cs="Arial" w:eastAsia="Arial" w:hAnsi="Arial"/>
          <w:sz w:val="16"/>
          <w:szCs w:val="16"/>
          <w:color w:val="auto"/>
        </w:rPr>
      </w:pPr>
    </w:p>
    <w:p>
      <w:pPr>
        <w:ind w:right="120" w:firstLine="1288"/>
        <w:spacing w:after="0" w:line="302" w:lineRule="auto"/>
        <w:tabs>
          <w:tab w:leader="none" w:pos="18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Lender may, at its option, make any Loan available to Borrower by causing any foreign or domestic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Borrower to repay such Loan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4"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Reduction or Termination of Commitments</w:t>
      </w:r>
      <w:r>
        <w:rPr>
          <w:rFonts w:ascii="Arial" w:cs="Arial" w:eastAsia="Arial" w:hAnsi="Arial"/>
          <w:sz w:val="16"/>
          <w:szCs w:val="16"/>
          <w:color w:val="auto"/>
        </w:rPr>
        <w:t>.</w:t>
      </w:r>
    </w:p>
    <w:p>
      <w:pPr>
        <w:spacing w:after="0" w:line="225" w:lineRule="exact"/>
        <w:rPr>
          <w:sz w:val="20"/>
          <w:szCs w:val="20"/>
          <w:color w:val="auto"/>
        </w:rPr>
      </w:pPr>
    </w:p>
    <w:p>
      <w:pPr>
        <w:ind w:right="20" w:firstLine="1288"/>
        <w:spacing w:after="0" w:line="255" w:lineRule="auto"/>
        <w:tabs>
          <w:tab w:leader="none" w:pos="18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Requisite Notice to Administrative Agent not later than the Requisite Time therefor, Borrower may at any time and from time to time, without premium or penalty, permanently and irrevocably reduce or terminate any of the Commitments. Any such Requisite Notice may state that such Requisite Notice is conditioned on the effectiveness of other credit facilities or other financing transactions, in which case such Requisite Notice may be revoked by Borrower (by written notice to Administrative Agent on or prior to the specified effective time) if such condition is not satisfied. Any such reduction or termination shall be accompanied by payment of all accrued and unpaid commitment fees with respect to the portion of the Commitments being reduced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328930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39" w:name="page40"/>
    <w:bookmarkEnd w:id="39"/>
    <w:p>
      <w:pPr>
        <w:ind w:left="10940"/>
        <w:spacing w:after="0"/>
        <w:rPr>
          <w:sz w:val="20"/>
          <w:szCs w:val="20"/>
          <w:color w:val="auto"/>
        </w:rPr>
      </w:pPr>
      <w:r>
        <w:rPr>
          <w:rFonts w:ascii="Arial" w:cs="Arial" w:eastAsia="Arial" w:hAnsi="Arial"/>
          <w:sz w:val="18"/>
          <w:szCs w:val="18"/>
          <w:color w:val="auto"/>
        </w:rPr>
        <w:t>29</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Administrative Agent shall promptly notify Lenders of any such request for reduction or termination of the Commitments. Each Lender’s Commitment in respect of a Class shall be reduced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amount of such reduction with respect to such Class.</w:t>
      </w:r>
    </w:p>
    <w:p>
      <w:pPr>
        <w:spacing w:after="0" w:line="170" w:lineRule="exact"/>
        <w:rPr>
          <w:sz w:val="20"/>
          <w:szCs w:val="20"/>
          <w:color w:val="auto"/>
        </w:rPr>
      </w:pPr>
    </w:p>
    <w:p>
      <w:pPr>
        <w:ind w:right="220" w:firstLine="1288"/>
        <w:spacing w:after="0" w:line="308" w:lineRule="auto"/>
        <w:tabs>
          <w:tab w:leader="none" w:pos="1821"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previously terminated, the Commitments shall permanently terminate in full at 11:59 p.m. (New York City time) on the Certain Funds Termination Date (after giving effect to any Borrowings made or to be made on the Certain Funds Termination Date).</w:t>
      </w:r>
    </w:p>
    <w:p>
      <w:pPr>
        <w:spacing w:after="0" w:line="147"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u w:val="single" w:color="auto"/>
          <w:color w:val="auto"/>
        </w:rPr>
        <w:t>Prepayments and Repayments of Loans</w:t>
      </w:r>
      <w:r>
        <w:rPr>
          <w:rFonts w:ascii="Arial" w:cs="Arial" w:eastAsia="Arial" w:hAnsi="Arial"/>
          <w:sz w:val="15"/>
          <w:szCs w:val="15"/>
          <w:color w:val="auto"/>
        </w:rPr>
        <w:t>.</w:t>
      </w:r>
    </w:p>
    <w:p>
      <w:pPr>
        <w:spacing w:after="0" w:line="225" w:lineRule="exact"/>
        <w:rPr>
          <w:sz w:val="20"/>
          <w:szCs w:val="20"/>
          <w:color w:val="auto"/>
        </w:rPr>
      </w:pPr>
    </w:p>
    <w:p>
      <w:pPr>
        <w:ind w:right="20" w:firstLine="1288"/>
        <w:spacing w:after="0" w:line="289" w:lineRule="auto"/>
        <w:tabs>
          <w:tab w:leader="none" w:pos="18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Requisite Notice to Administrative Agent not later than the Requisite Time therefor, Borrower may at any time and from time to time voluntarily prepay Loans made to it in part in the Minimum Amount therefor or in full without premium or penalty. Administrative Agent will promptly notify each relevant Lender thereof and of such Lender’s percentage of such prepayment. Any such Requisite Notice may state that such Requisite Notice is conditioned on the consummation of any portion of the Target Acquisition or any other transaction, including the establishment of other credit facilities or the consummation of any other financing transactions, in which case such Requisite Notice may be revoked by Borrower (by written notice to Administrative Agent on or prior to the specified effective time) if such condition is not satisfied. Any prepayment of a Eurodollar Rate Loan shall be accompanied by all accrued interest thereon, together with the costs set forth in Section 3.05. Each prepayment of Loans shall be applied to the Class or Classes of Loans specified by Borrower in the applicable Requisite Notice, and each prepayment of Term Loans of any Class or Classes shall be applied against payments otherwise required under Section 2.06(b) (if any) in direct order of maturity (unless otherwise directed by Borrower).</w:t>
      </w:r>
    </w:p>
    <w:p>
      <w:pPr>
        <w:spacing w:after="0" w:line="166" w:lineRule="exact"/>
        <w:rPr>
          <w:rFonts w:ascii="Arial" w:cs="Arial" w:eastAsia="Arial" w:hAnsi="Arial"/>
          <w:sz w:val="16"/>
          <w:szCs w:val="16"/>
          <w:color w:val="auto"/>
        </w:rPr>
      </w:pPr>
    </w:p>
    <w:p>
      <w:pPr>
        <w:ind w:firstLine="1288"/>
        <w:spacing w:after="0" w:line="254" w:lineRule="auto"/>
        <w:tabs>
          <w:tab w:leader="none" w:pos="1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shall repay to Administrative Agent, for the ratable account of each Lender of 5-Year Tranche Term Loans, 5-Year Tranche Term Loans in an amount equal to (i) 8.0% (payable in equal quarterly installments in arrears) of the aggregate principal amount of the 5-Year Tranche Term Loans made during the Certain Funds Period on each Applicable Payment Date occurring after the third anniversary of the Initial Closing Date and on or prior to the fourth anniversary of the Initial Closing Date and (ii) 12.0% (payable in equal quarterly installments in arrears) of the aggregate principal amount of the 5-Year Tranche Term Loans made during the Certain Funds Period on each Applicable Payment Date occurring after the fourth anniversary of the Initial Closing Date and prior to the Maturity Date (which amounts, in each case, shall be reduced as a result of the application of optional prepayments made pursuant to Section 2.06(a)). For the avoidance of doubt, no amortization payments shall be required in respect of any 3-Year Tranche Term Loans.</w:t>
      </w:r>
    </w:p>
    <w:p>
      <w:pPr>
        <w:spacing w:after="0" w:line="192" w:lineRule="exact"/>
        <w:rPr>
          <w:rFonts w:ascii="Arial" w:cs="Arial" w:eastAsia="Arial" w:hAnsi="Arial"/>
          <w:sz w:val="18"/>
          <w:szCs w:val="18"/>
          <w:color w:val="auto"/>
        </w:rPr>
      </w:pPr>
    </w:p>
    <w:p>
      <w:pPr>
        <w:ind w:right="120" w:firstLine="1288"/>
        <w:spacing w:after="0" w:line="277" w:lineRule="auto"/>
        <w:tabs>
          <w:tab w:leader="none" w:pos="18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shall pay to Administrative Agent for the ratable account of each Lender of the applicable Class, on the Maturity Date applicable to the Loans of such Class, the aggregate principal amount of the Loans of such Class then outstanding.</w:t>
      </w:r>
    </w:p>
    <w:p>
      <w:pPr>
        <w:spacing w:after="0" w:line="170" w:lineRule="exact"/>
        <w:rPr>
          <w:rFonts w:ascii="Arial" w:cs="Arial" w:eastAsia="Arial" w:hAnsi="Arial"/>
          <w:sz w:val="18"/>
          <w:szCs w:val="18"/>
          <w:color w:val="auto"/>
        </w:rPr>
      </w:pPr>
    </w:p>
    <w:p>
      <w:pPr>
        <w:ind w:right="100" w:firstLine="1288"/>
        <w:spacing w:after="0" w:line="297" w:lineRule="auto"/>
        <w:tabs>
          <w:tab w:leader="none" w:pos="1821"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repayment of 5-Year Tranche Term Loans by Borrower pursuant to this Section 2.06 shall be applied to the 5-Year Sterling Tranche Term Loans and the 5-Year Dollar Tranche Term Loans on a pro rata basis; provided that (i) the amount of each quarterly installment due on the aggregate principal amount of the 5-Year Sterling Tranche Term Loans shall be calculated on the aggregate amount of 5-Year Sterling Tranche Term Loans made during the Certain Funds Period and (ii) the amount of each quarterly installment due on the aggregate principal amount of the 5-Year Dollar Tranche Term Loans shall be calculated on the aggregate amount of 5-Year Dollar Tranche Term Loans made during the Certain Funds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306705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40" w:name="page41"/>
    <w:bookmarkEnd w:id="40"/>
    <w:p>
      <w:pPr>
        <w:ind w:left="10940"/>
        <w:spacing w:after="0"/>
        <w:rPr>
          <w:sz w:val="20"/>
          <w:szCs w:val="20"/>
          <w:color w:val="auto"/>
        </w:rPr>
      </w:pPr>
      <w:r>
        <w:rPr>
          <w:rFonts w:ascii="Arial" w:cs="Arial" w:eastAsia="Arial" w:hAnsi="Arial"/>
          <w:sz w:val="17"/>
          <w:szCs w:val="17"/>
          <w:color w:val="auto"/>
        </w:rPr>
        <w:t>30</w:t>
      </w:r>
    </w:p>
    <w:p>
      <w:pPr>
        <w:spacing w:after="0" w:line="129" w:lineRule="exact"/>
        <w:rPr>
          <w:sz w:val="20"/>
          <w:szCs w:val="20"/>
          <w:color w:val="auto"/>
        </w:rPr>
      </w:pPr>
    </w:p>
    <w:p>
      <w:pPr>
        <w:ind w:left="1800" w:hanging="512"/>
        <w:spacing w:after="0"/>
        <w:tabs>
          <w:tab w:leader="none" w:pos="1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prepayment and repayment of Loans by Borrower pursuant to this Section 2.06 shall be made in the same currency in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Loans were made.</w:t>
      </w:r>
    </w:p>
    <w:p>
      <w:pPr>
        <w:spacing w:after="0" w:line="21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Loans</w:t>
      </w:r>
      <w:r>
        <w:rPr>
          <w:rFonts w:ascii="Arial" w:cs="Arial" w:eastAsia="Arial" w:hAnsi="Arial"/>
          <w:sz w:val="16"/>
          <w:szCs w:val="16"/>
          <w:color w:val="auto"/>
        </w:rPr>
        <w:t>.</w:t>
      </w:r>
    </w:p>
    <w:p>
      <w:pPr>
        <w:spacing w:after="0" w:line="225" w:lineRule="exact"/>
        <w:rPr>
          <w:sz w:val="20"/>
          <w:szCs w:val="20"/>
          <w:color w:val="auto"/>
        </w:rPr>
      </w:pPr>
    </w:p>
    <w:p>
      <w:pPr>
        <w:ind w:right="120" w:firstLine="1288"/>
        <w:spacing w:after="0" w:line="259" w:lineRule="auto"/>
        <w:tabs>
          <w:tab w:leader="none" w:pos="18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86" w:lineRule="exact"/>
        <w:rPr>
          <w:rFonts w:ascii="Arial" w:cs="Arial" w:eastAsia="Arial" w:hAnsi="Arial"/>
          <w:sz w:val="18"/>
          <w:szCs w:val="18"/>
          <w:color w:val="auto"/>
        </w:rPr>
      </w:pPr>
    </w:p>
    <w:p>
      <w:pPr>
        <w:ind w:right="60" w:firstLine="1288"/>
        <w:spacing w:after="0" w:line="297" w:lineRule="auto"/>
        <w:tabs>
          <w:tab w:leader="none" w:pos="18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8" w:lineRule="exact"/>
        <w:rPr>
          <w:rFonts w:ascii="Arial" w:cs="Arial" w:eastAsia="Arial" w:hAnsi="Arial"/>
          <w:sz w:val="16"/>
          <w:szCs w:val="16"/>
          <w:color w:val="auto"/>
        </w:rPr>
      </w:pPr>
    </w:p>
    <w:p>
      <w:pPr>
        <w:jc w:val="both"/>
        <w:ind w:right="600" w:firstLine="1288"/>
        <w:spacing w:after="0" w:line="342" w:lineRule="auto"/>
        <w:tabs>
          <w:tab w:leader="none" w:pos="18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Administrative Agent shall record in the Register the Commitment and Loans from time to time of each Lender, and each repayment or prepayment in respect thereof. Any recordation shall be conclusive and binding on Borrower and each Lender, absent manifest error.</w:t>
      </w:r>
    </w:p>
    <w:p>
      <w:pPr>
        <w:spacing w:after="0" w:line="123" w:lineRule="exact"/>
        <w:rPr>
          <w:rFonts w:ascii="Arial" w:cs="Arial" w:eastAsia="Arial" w:hAnsi="Arial"/>
          <w:sz w:val="16"/>
          <w:szCs w:val="16"/>
          <w:color w:val="auto"/>
        </w:rPr>
      </w:pPr>
    </w:p>
    <w:p>
      <w:pPr>
        <w:ind w:right="160" w:firstLine="1288"/>
        <w:spacing w:after="0" w:line="279" w:lineRule="auto"/>
        <w:tabs>
          <w:tab w:leader="none" w:pos="1821"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Lender shall record on its internal loan accounts or records (and may record on the Note(s) held by such Lender) the amount of each Loan made by it and each payment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71" w:lineRule="exact"/>
        <w:rPr>
          <w:rFonts w:ascii="Arial" w:cs="Arial" w:eastAsia="Arial" w:hAnsi="Arial"/>
          <w:sz w:val="17"/>
          <w:szCs w:val="17"/>
          <w:color w:val="auto"/>
        </w:rPr>
      </w:pPr>
    </w:p>
    <w:p>
      <w:pPr>
        <w:ind w:right="20" w:firstLine="1288"/>
        <w:spacing w:after="0" w:line="291" w:lineRule="auto"/>
        <w:tabs>
          <w:tab w:leader="none" w:pos="18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Borrower, Administrative Agent and Lenders shall deem and treat the Persons listed as Lenders in the Register as the holders of the corresponding Commitments and Extensions of Credit listed therein for all purposes hereof, and no assignment or transfer of any such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167"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and Conversion Option</w:t>
      </w:r>
      <w:r>
        <w:rPr>
          <w:rFonts w:ascii="Arial" w:cs="Arial" w:eastAsia="Arial" w:hAnsi="Arial"/>
          <w:sz w:val="16"/>
          <w:szCs w:val="16"/>
          <w:color w:val="auto"/>
        </w:rPr>
        <w:t>.</w:t>
      </w:r>
    </w:p>
    <w:p>
      <w:pPr>
        <w:spacing w:after="0" w:line="225" w:lineRule="exact"/>
        <w:rPr>
          <w:sz w:val="20"/>
          <w:szCs w:val="20"/>
          <w:color w:val="auto"/>
        </w:rPr>
      </w:pPr>
    </w:p>
    <w:p>
      <w:pPr>
        <w:ind w:right="120" w:firstLine="1288"/>
        <w:spacing w:after="0" w:line="264" w:lineRule="auto"/>
        <w:tabs>
          <w:tab w:leader="none" w:pos="18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321310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233" w:right="259" w:bottom="1440" w:gutter="0" w:footer="0" w:header="0"/>
        </w:sectPr>
      </w:pPr>
    </w:p>
    <w:bookmarkStart w:id="41" w:name="page42"/>
    <w:bookmarkEnd w:id="41"/>
    <w:p>
      <w:pPr>
        <w:ind w:left="10940"/>
        <w:spacing w:after="0"/>
        <w:rPr>
          <w:sz w:val="20"/>
          <w:szCs w:val="20"/>
          <w:color w:val="auto"/>
        </w:rPr>
      </w:pPr>
      <w:r>
        <w:rPr>
          <w:rFonts w:ascii="Arial" w:cs="Arial" w:eastAsia="Arial" w:hAnsi="Arial"/>
          <w:sz w:val="17"/>
          <w:szCs w:val="17"/>
          <w:color w:val="auto"/>
        </w:rPr>
        <w:t>31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Loans with an Interest Period of one month unless properly and timely otherwise designated as set forth in the prior sentence.</w:t>
      </w:r>
    </w:p>
    <w:p>
      <w:pPr>
        <w:spacing w:after="0" w:line="225" w:lineRule="exact"/>
        <w:rPr>
          <w:sz w:val="20"/>
          <w:szCs w:val="20"/>
          <w:color w:val="auto"/>
        </w:rPr>
      </w:pPr>
    </w:p>
    <w:p>
      <w:pPr>
        <w:ind w:right="40" w:firstLine="1288"/>
        <w:spacing w:after="0" w:line="257" w:lineRule="auto"/>
        <w:tabs>
          <w:tab w:leader="none" w:pos="1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Borrower pays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Dollar-denominated Loans from being requested as, Converted into, or Continued as Eurodollar Rate Loans, and Required Lenders may demand that any or all of the then outstanding Dollar-denominated Eurodollar Rate Loans be Converted immediately into Base Rate Loans.</w:t>
      </w:r>
    </w:p>
    <w:p>
      <w:pPr>
        <w:spacing w:after="0" w:line="188" w:lineRule="exact"/>
        <w:rPr>
          <w:rFonts w:ascii="Arial" w:cs="Arial" w:eastAsia="Arial" w:hAnsi="Arial"/>
          <w:sz w:val="18"/>
          <w:szCs w:val="18"/>
          <w:color w:val="auto"/>
        </w:rPr>
      </w:pPr>
    </w:p>
    <w:p>
      <w:pPr>
        <w:ind w:right="280" w:firstLine="1288"/>
        <w:spacing w:after="0" w:line="264" w:lineRule="auto"/>
        <w:tabs>
          <w:tab w:leader="none" w:pos="18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and Lenders of the interest rate applicable to any Eurodollar Rate Loan upon determination of the same. Administrative Agent shall from time to time notify Borrower and Lenders of any change in Bank of America’s prime rate used in determining the Base Rate promptly following the public announcement of such change.</w:t>
      </w:r>
    </w:p>
    <w:p>
      <w:pPr>
        <w:spacing w:after="0" w:line="18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firstLine="1288"/>
        <w:spacing w:after="0" w:line="259" w:lineRule="auto"/>
        <w:tabs>
          <w:tab w:leader="none" w:pos="18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6" w:lineRule="exact"/>
        <w:rPr>
          <w:rFonts w:ascii="Arial" w:cs="Arial" w:eastAsia="Arial" w:hAnsi="Arial"/>
          <w:sz w:val="18"/>
          <w:szCs w:val="18"/>
          <w:color w:val="auto"/>
        </w:rPr>
      </w:pPr>
    </w:p>
    <w:p>
      <w:pPr>
        <w:ind w:left="1580" w:hanging="535"/>
        <w:spacing w:after="0"/>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 and</w:t>
      </w:r>
    </w:p>
    <w:p>
      <w:pPr>
        <w:spacing w:after="0" w:line="225" w:lineRule="exact"/>
        <w:rPr>
          <w:rFonts w:ascii="Arial" w:cs="Arial" w:eastAsia="Arial" w:hAnsi="Arial"/>
          <w:sz w:val="18"/>
          <w:szCs w:val="18"/>
          <w:color w:val="auto"/>
        </w:rPr>
      </w:pPr>
    </w:p>
    <w:p>
      <w:pPr>
        <w:ind w:left="-260" w:right="240" w:firstLine="1305"/>
        <w:spacing w:after="0" w:line="277" w:lineRule="auto"/>
        <w:tabs>
          <w:tab w:leader="none" w:pos="16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Eurodollar Rate Loans, the Eurodollar Rate for the Interest Period in effect for such Borrowing plus the Applicable Amount for such type of Loan.</w:t>
      </w:r>
    </w:p>
    <w:p>
      <w:pPr>
        <w:spacing w:after="0" w:line="170" w:lineRule="exact"/>
        <w:rPr>
          <w:rFonts w:ascii="Arial" w:cs="Arial" w:eastAsia="Arial" w:hAnsi="Arial"/>
          <w:sz w:val="18"/>
          <w:szCs w:val="18"/>
          <w:color w:val="auto"/>
        </w:rPr>
      </w:pPr>
    </w:p>
    <w:p>
      <w:pPr>
        <w:ind w:right="140" w:firstLine="1288"/>
        <w:spacing w:after="0" w:line="279" w:lineRule="auto"/>
        <w:tabs>
          <w:tab w:leader="none" w:pos="1821"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71" w:lineRule="exact"/>
        <w:rPr>
          <w:rFonts w:ascii="Arial" w:cs="Arial" w:eastAsia="Arial" w:hAnsi="Arial"/>
          <w:sz w:val="17"/>
          <w:szCs w:val="17"/>
          <w:color w:val="auto"/>
        </w:rPr>
      </w:pPr>
    </w:p>
    <w:p>
      <w:pPr>
        <w:ind w:right="40" w:firstLine="1288"/>
        <w:spacing w:after="0" w:line="277" w:lineRule="auto"/>
        <w:tabs>
          <w:tab w:leader="none" w:pos="18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On any Business Day, Borrower may call Administrative Agent and request information as to the then current Eurodollar Rate or Base Rate, and Administrative Agent shall provide such information.</w:t>
      </w:r>
    </w:p>
    <w:p>
      <w:pPr>
        <w:spacing w:after="0" w:line="170"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right="80" w:firstLine="1288"/>
        <w:spacing w:after="0" w:line="276" w:lineRule="auto"/>
        <w:tabs>
          <w:tab w:leader="none" w:pos="181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Borrower shall pay to Administrative Agent, for the account of each Lender pro rata according to its Applicable Percentage, a commitment fee equal to the Applicable Amount times the average daily amount of such Lender’s Commitment then outstanding, subject to adjustment as set forth in Section 2.14(a). The commitment fee shall accrue at all times from and including the date that is 45 days after the Effective Date until (and shall be due and payable on) the earlier of (x) with respect to any Commitments, the date on which such Commitments have terminated, including pursuant to any Borrowing or otherwise in accordance with Section 2.05 and (y) the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315595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233" w:right="259" w:bottom="1440" w:gutter="0" w:footer="0" w:header="0"/>
        </w:sectPr>
      </w:pPr>
    </w:p>
    <w:bookmarkStart w:id="42" w:name="page43"/>
    <w:bookmarkEnd w:id="42"/>
    <w:p>
      <w:pPr>
        <w:ind w:left="1120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color w:val="auto"/>
        </w:rPr>
        <w:t>Funds Termination Date. The commitment fee shall accrue at all applicable times, including at any time during which one or more conditions in Section 4 are not met.</w:t>
      </w:r>
    </w:p>
    <w:p>
      <w:pPr>
        <w:spacing w:after="0" w:line="170" w:lineRule="exact"/>
        <w:rPr>
          <w:sz w:val="20"/>
          <w:szCs w:val="20"/>
          <w:color w:val="auto"/>
        </w:rPr>
      </w:pPr>
    </w:p>
    <w:p>
      <w:pPr>
        <w:ind w:left="260" w:right="100" w:firstLine="1288"/>
        <w:spacing w:after="0" w:line="308" w:lineRule="auto"/>
        <w:tabs>
          <w:tab w:leader="none" w:pos="208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4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Computation of interest on Base Rate Loans when the Base Rate is determined by Bank of America’s “prime rate” shall be calculated on the basis of a year of 365 or 366 days, as the case may be, and the actual number of days elapsed. Computation of all other types of interest and all fees shall be calculated on the basis of a year of 360 days or, in the case of any amounts denominated in Sterling, 365 days and the actual number of days elapsed.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w:t>
      </w:r>
    </w:p>
    <w:p>
      <w:pPr>
        <w:spacing w:after="0" w:line="19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272" w:lineRule="auto"/>
        <w:tabs>
          <w:tab w:leader="none" w:pos="2071"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Sterling (with respect to Loans denominated in Sterling) or Dollars (with respect to Loans denominated in Dollars). All fees due hereunder (excluding fees pursuant to Section 2.10(a)) shall be payable in Dollars. All fees due pursuant to Section 2.10(a) shall be payable in Sterling. All payments by Borrower shall be made without condition or deduction for any counterclaim, defense, recoupment or setoff.</w:t>
      </w:r>
    </w:p>
    <w:p>
      <w:pPr>
        <w:spacing w:after="0" w:line="177" w:lineRule="exact"/>
        <w:rPr>
          <w:rFonts w:ascii="Arial" w:cs="Arial" w:eastAsia="Arial" w:hAnsi="Arial"/>
          <w:sz w:val="17"/>
          <w:szCs w:val="17"/>
          <w:color w:val="auto"/>
        </w:rPr>
      </w:pPr>
    </w:p>
    <w:p>
      <w:pPr>
        <w:ind w:left="260" w:right="100" w:firstLine="1288"/>
        <w:spacing w:after="0" w:line="257" w:lineRule="auto"/>
        <w:tabs>
          <w:tab w:leader="none" w:pos="20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8" w:lineRule="exact"/>
        <w:rPr>
          <w:rFonts w:ascii="Arial" w:cs="Arial" w:eastAsia="Arial" w:hAnsi="Arial"/>
          <w:sz w:val="18"/>
          <w:szCs w:val="18"/>
          <w:color w:val="auto"/>
        </w:rPr>
      </w:pPr>
    </w:p>
    <w:p>
      <w:pPr>
        <w:ind w:left="260" w:right="200" w:firstLine="1288"/>
        <w:spacing w:after="0" w:line="264" w:lineRule="auto"/>
        <w:tabs>
          <w:tab w:leader="none" w:pos="20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color w:val="auto"/>
        </w:rPr>
      </w:pPr>
    </w:p>
    <w:p>
      <w:pPr>
        <w:ind w:left="260" w:right="120" w:firstLine="1288"/>
        <w:spacing w:after="0" w:line="257" w:lineRule="auto"/>
        <w:tabs>
          <w:tab w:leader="none" w:pos="20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Section 4.04, 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3" w:name="page44"/>
    <w:bookmarkEnd w:id="43"/>
    <w:p>
      <w:pPr>
        <w:ind w:left="11200"/>
        <w:spacing w:after="0"/>
        <w:rPr>
          <w:sz w:val="20"/>
          <w:szCs w:val="20"/>
          <w:color w:val="auto"/>
        </w:rPr>
      </w:pPr>
      <w:r>
        <w:rPr>
          <w:rFonts w:ascii="Arial" w:cs="Arial" w:eastAsia="Arial" w:hAnsi="Arial"/>
          <w:sz w:val="18"/>
          <w:szCs w:val="18"/>
          <w:color w:val="auto"/>
        </w:rPr>
        <w:t>33</w:t>
      </w:r>
    </w:p>
    <w:p>
      <w:pPr>
        <w:spacing w:after="0" w:line="117" w:lineRule="exact"/>
        <w:rPr>
          <w:sz w:val="20"/>
          <w:szCs w:val="20"/>
          <w:color w:val="auto"/>
        </w:rPr>
      </w:pPr>
    </w:p>
    <w:p>
      <w:pPr>
        <w:ind w:left="1300" w:right="80" w:firstLine="653"/>
        <w:spacing w:after="0" w:line="259" w:lineRule="auto"/>
        <w:tabs>
          <w:tab w:leader="none" w:pos="21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ind w:left="1300" w:right="20" w:firstLine="653"/>
        <w:spacing w:after="0" w:line="270" w:lineRule="auto"/>
        <w:tabs>
          <w:tab w:leader="none" w:pos="2213"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following the Certain Funds Termination Date.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Commitment or to prejudice any rights which Administrative Agent or Borrower may have against any Lender as a result of any default by such Lender hereunder.</w:t>
      </w:r>
    </w:p>
    <w:p>
      <w:pPr>
        <w:spacing w:after="0" w:line="181" w:lineRule="exact"/>
        <w:rPr>
          <w:rFonts w:ascii="Arial" w:cs="Arial" w:eastAsia="Arial" w:hAnsi="Arial"/>
          <w:sz w:val="17"/>
          <w:szCs w:val="17"/>
          <w:color w:val="auto"/>
        </w:rPr>
      </w:pPr>
    </w:p>
    <w:p>
      <w:pPr>
        <w:ind w:left="260" w:firstLine="1288"/>
        <w:spacing w:after="0" w:line="259" w:lineRule="auto"/>
        <w:tabs>
          <w:tab w:leader="none" w:pos="20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2060" w:hanging="512"/>
        <w:spacing w:after="0"/>
        <w:tabs>
          <w:tab w:leader="none" w:pos="2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Fees set forth in Section 2.10(a) shall cease to accrue on the unfunded portion of the Commitments of such Defaulting Lender;</w:t>
      </w:r>
    </w:p>
    <w:p>
      <w:pPr>
        <w:spacing w:after="0" w:line="248" w:lineRule="exact"/>
        <w:rPr>
          <w:rFonts w:ascii="Arial" w:cs="Arial" w:eastAsia="Arial" w:hAnsi="Arial"/>
          <w:sz w:val="16"/>
          <w:szCs w:val="16"/>
          <w:color w:val="auto"/>
        </w:rPr>
      </w:pPr>
    </w:p>
    <w:p>
      <w:pPr>
        <w:ind w:left="260" w:right="20" w:firstLine="1288"/>
        <w:spacing w:after="0" w:line="264" w:lineRule="auto"/>
        <w:tabs>
          <w:tab w:leader="none" w:pos="20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Loans shall, if Borrower so directs at the time of making such voluntary prepayment, be applied to the Loans of other Lenders as if such Defaulting Lender had no Loans outstanding and the Aggregate Exposure of such Defaulting Lender in respect of its Commitment were zero; and</w:t>
      </w:r>
    </w:p>
    <w:p>
      <w:pPr>
        <w:spacing w:after="0" w:line="181" w:lineRule="exact"/>
        <w:rPr>
          <w:rFonts w:ascii="Arial" w:cs="Arial" w:eastAsia="Arial" w:hAnsi="Arial"/>
          <w:sz w:val="18"/>
          <w:szCs w:val="18"/>
          <w:color w:val="auto"/>
        </w:rPr>
      </w:pPr>
    </w:p>
    <w:p>
      <w:pPr>
        <w:ind w:left="260" w:right="120" w:firstLine="1288"/>
        <w:spacing w:after="0" w:line="276" w:lineRule="auto"/>
        <w:tabs>
          <w:tab w:leader="none" w:pos="207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Commitments or the principal amount of any Loans of such Defaulting Lender, extend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4" w:name="page45"/>
    <w:bookmarkEnd w:id="44"/>
    <w:p>
      <w:pPr>
        <w:ind w:left="10940"/>
        <w:spacing w:after="0"/>
        <w:rPr>
          <w:sz w:val="20"/>
          <w:szCs w:val="20"/>
          <w:color w:val="auto"/>
        </w:rPr>
      </w:pPr>
      <w:r>
        <w:rPr>
          <w:rFonts w:ascii="Arial" w:cs="Arial" w:eastAsia="Arial" w:hAnsi="Arial"/>
          <w:sz w:val="17"/>
          <w:szCs w:val="17"/>
          <w:color w:val="auto"/>
        </w:rPr>
        <w:t>34</w:t>
      </w:r>
    </w:p>
    <w:p>
      <w:pPr>
        <w:spacing w:after="0" w:line="1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maturity date applicable thereto or decrease the rate of interest (including any commitment fees) payable in respect thereof without the consent of such Defaulting Lender.</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288"/>
        <w:spacing w:after="0" w:line="284" w:lineRule="auto"/>
        <w:tabs>
          <w:tab w:leader="none" w:pos="180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78" w:lineRule="exact"/>
        <w:rPr>
          <w:rFonts w:ascii="Arial" w:cs="Arial" w:eastAsia="Arial" w:hAnsi="Arial"/>
          <w:sz w:val="16"/>
          <w:szCs w:val="16"/>
          <w:color w:val="auto"/>
        </w:rPr>
      </w:pPr>
    </w:p>
    <w:p>
      <w:pPr>
        <w:ind w:right="40" w:firstLine="1288"/>
        <w:spacing w:after="0" w:line="279" w:lineRule="auto"/>
        <w:tabs>
          <w:tab w:leader="none" w:pos="1821"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314960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233" w:right="259" w:bottom="1440" w:gutter="0" w:footer="0" w:header="0"/>
        </w:sectPr>
      </w:pPr>
    </w:p>
    <w:bookmarkStart w:id="45" w:name="page46"/>
    <w:bookmarkEnd w:id="45"/>
    <w:p>
      <w:pPr>
        <w:ind w:left="11200"/>
        <w:spacing w:after="0"/>
        <w:rPr>
          <w:sz w:val="20"/>
          <w:szCs w:val="20"/>
          <w:color w:val="auto"/>
        </w:rPr>
      </w:pPr>
      <w:r>
        <w:rPr>
          <w:rFonts w:ascii="Arial" w:cs="Arial" w:eastAsia="Arial" w:hAnsi="Arial"/>
          <w:sz w:val="18"/>
          <w:szCs w:val="18"/>
          <w:color w:val="auto"/>
        </w:rPr>
        <w:t>35</w:t>
      </w:r>
    </w:p>
    <w:p>
      <w:pPr>
        <w:spacing w:after="0" w:line="117" w:lineRule="exact"/>
        <w:rPr>
          <w:sz w:val="20"/>
          <w:szCs w:val="20"/>
          <w:color w:val="auto"/>
        </w:rPr>
      </w:pPr>
    </w:p>
    <w:p>
      <w:pPr>
        <w:ind w:left="260" w:right="80" w:firstLine="1288"/>
        <w:spacing w:after="0" w:line="290" w:lineRule="auto"/>
        <w:tabs>
          <w:tab w:leader="none" w:pos="20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provided, however, that Borrower shall not be obligated to indemnify such recipient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 promptly notify Borrower of its obligations hereunder.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66" w:lineRule="exact"/>
        <w:rPr>
          <w:rFonts w:ascii="Arial" w:cs="Arial" w:eastAsia="Arial" w:hAnsi="Arial"/>
          <w:sz w:val="16"/>
          <w:szCs w:val="16"/>
          <w:color w:val="auto"/>
        </w:rPr>
      </w:pPr>
    </w:p>
    <w:p>
      <w:pPr>
        <w:ind w:left="260" w:right="20" w:firstLine="1288"/>
        <w:spacing w:after="0" w:line="270" w:lineRule="auto"/>
        <w:tabs>
          <w:tab w:leader="none" w:pos="208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Indemnification by Lenders. Each Lender shall severally indemnify Administrative Agent, within 10 days after demand therefor, for (i) any Non-Excluded Taxes or Other Taxes attributable to such Lender (but only to the extent that Borrower has not already indemnified Administrative Agent for such Non-Excluded Taxes or Other Taxes and without limiting the obligation of Borrower to do so), (ii) any Taxes attributable to such Lender’s failure to comply with the provisions of Section 10.04 relating to the maintenance of a Participant Register and (iii) any excluded Taxes described in Section 3.01(a) that are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taxation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 (d).</w:t>
      </w:r>
    </w:p>
    <w:p>
      <w:pPr>
        <w:spacing w:after="0" w:line="177" w:lineRule="exact"/>
        <w:rPr>
          <w:rFonts w:ascii="Arial" w:cs="Arial" w:eastAsia="Arial" w:hAnsi="Arial"/>
          <w:sz w:val="17"/>
          <w:szCs w:val="17"/>
          <w:color w:val="auto"/>
        </w:rPr>
      </w:pPr>
    </w:p>
    <w:p>
      <w:pPr>
        <w:ind w:left="260" w:right="360" w:firstLine="1288"/>
        <w:spacing w:after="0" w:line="308" w:lineRule="auto"/>
        <w:tabs>
          <w:tab w:leader="none" w:pos="20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3.01, all obligations of Borrower to any Lender under this Section 3.01 shall be subject to, and conditioned upon such Lender’s compliance with its obligations, if any, under Section 10.20.</w:t>
      </w:r>
    </w:p>
    <w:p>
      <w:pPr>
        <w:spacing w:after="0" w:line="146" w:lineRule="exact"/>
        <w:rPr>
          <w:rFonts w:ascii="Arial" w:cs="Arial" w:eastAsia="Arial" w:hAnsi="Arial"/>
          <w:sz w:val="17"/>
          <w:szCs w:val="17"/>
          <w:color w:val="auto"/>
        </w:rPr>
      </w:pPr>
    </w:p>
    <w:p>
      <w:pPr>
        <w:ind w:left="260" w:firstLine="1288"/>
        <w:spacing w:after="0" w:line="270" w:lineRule="auto"/>
        <w:tabs>
          <w:tab w:leader="none" w:pos="20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7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Laws have made it unlawful, or that any Governmental Authority has asserted that it is unlawful, for such Lender or its applicable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left="11200"/>
        <w:spacing w:after="0"/>
        <w:rPr>
          <w:sz w:val="20"/>
          <w:szCs w:val="20"/>
          <w:color w:val="auto"/>
        </w:rPr>
      </w:pPr>
      <w:r>
        <w:rPr>
          <w:rFonts w:ascii="Arial" w:cs="Arial" w:eastAsia="Arial" w:hAnsi="Arial"/>
          <w:sz w:val="18"/>
          <w:szCs w:val="18"/>
          <w:color w:val="auto"/>
        </w:rPr>
        <w:t>36</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71" w:lineRule="auto"/>
        <w:tabs>
          <w:tab w:leader="none" w:pos="20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in connection with any Request for Extension of Credit involving any Eurodollar Rate Loan, (a) 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Borrower and all Lenders. Thereafter, the obligation of Lenders to make or maintain such Eurodollar Rate Loan shall be suspended until Administrative Agent revokes such notice. Upon receipt of such notice, Borrower may revoke any pending request for a Borrowing of Eurodollar Rate Loans or, failing that, be deemed to have converted such request into a request for a Borrowing of Base Rate Loans in the amount specified therein.</w:t>
      </w:r>
    </w:p>
    <w:p>
      <w:pPr>
        <w:spacing w:after="0" w:line="178" w:lineRule="exact"/>
        <w:rPr>
          <w:rFonts w:ascii="Arial" w:cs="Arial" w:eastAsia="Arial" w:hAnsi="Arial"/>
          <w:sz w:val="17"/>
          <w:szCs w:val="17"/>
          <w:color w:val="auto"/>
        </w:rPr>
      </w:pPr>
    </w:p>
    <w:p>
      <w:pPr>
        <w:ind w:left="260" w:right="160" w:firstLine="1288"/>
        <w:spacing w:after="0" w:line="286" w:lineRule="auto"/>
        <w:tabs>
          <w:tab w:leader="none" w:pos="208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65" w:lineRule="exact"/>
        <w:rPr>
          <w:rFonts w:ascii="Arial" w:cs="Arial" w:eastAsia="Arial" w:hAnsi="Arial"/>
          <w:sz w:val="17"/>
          <w:szCs w:val="17"/>
          <w:color w:val="auto"/>
        </w:rPr>
      </w:pPr>
    </w:p>
    <w:p>
      <w:pPr>
        <w:jc w:val="both"/>
        <w:ind w:left="1300" w:right="540" w:firstLine="653"/>
        <w:spacing w:after="0" w:line="264" w:lineRule="auto"/>
        <w:tabs>
          <w:tab w:leader="none" w:pos="21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ind w:left="1300" w:right="80" w:firstLine="653"/>
        <w:spacing w:after="0" w:line="286" w:lineRule="auto"/>
        <w:tabs>
          <w:tab w:leader="none" w:pos="2213"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165" w:lineRule="exact"/>
        <w:rPr>
          <w:rFonts w:ascii="Arial" w:cs="Arial" w:eastAsia="Arial" w:hAnsi="Arial"/>
          <w:sz w:val="17"/>
          <w:szCs w:val="17"/>
          <w:color w:val="auto"/>
        </w:rPr>
      </w:pPr>
    </w:p>
    <w:p>
      <w:pPr>
        <w:ind w:left="1300" w:firstLine="653"/>
        <w:spacing w:after="0" w:line="277" w:lineRule="auto"/>
        <w:tabs>
          <w:tab w:leader="none" w:pos="22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ind w:left="11200"/>
        <w:spacing w:after="0"/>
        <w:rPr>
          <w:sz w:val="20"/>
          <w:szCs w:val="20"/>
          <w:color w:val="auto"/>
        </w:rPr>
      </w:pPr>
      <w:r>
        <w:rPr>
          <w:rFonts w:ascii="Arial" w:cs="Arial" w:eastAsia="Arial" w:hAnsi="Arial"/>
          <w:sz w:val="18"/>
          <w:szCs w:val="18"/>
          <w:color w:val="auto"/>
        </w:rPr>
        <w:t>37</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amend this Agreement to replace LIBOR with an alternate benchmark rate reasonably acceptable to the Borrower and the Administrative Agent (including any mathematical or other adjustments to the benchmark (if any) incorporated therein), giving due consideration to any evolving or then existing convention for similar syndicated credit facilities for such alternative benchmarks (any such proposed rate, a “LIBOR Successor Rate”),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after the date hereof:</w:t>
      </w:r>
    </w:p>
    <w:p>
      <w:pPr>
        <w:spacing w:after="0" w:line="210" w:lineRule="exact"/>
        <w:rPr>
          <w:rFonts w:ascii="Arial" w:cs="Arial" w:eastAsia="Arial" w:hAnsi="Arial"/>
          <w:sz w:val="16"/>
          <w:szCs w:val="16"/>
          <w:color w:val="auto"/>
        </w:rPr>
      </w:pPr>
    </w:p>
    <w:p>
      <w:pPr>
        <w:ind w:left="1300" w:right="200" w:firstLine="653"/>
        <w:spacing w:after="0" w:line="312" w:lineRule="auto"/>
        <w:tabs>
          <w:tab w:leader="none" w:pos="2163" w:val="left"/>
        </w:tabs>
        <w:numPr>
          <w:ilvl w:val="1"/>
          <w:numId w:val="41"/>
        </w:numPr>
        <w:rPr>
          <w:rFonts w:ascii="Arial" w:cs="Arial" w:eastAsia="Arial" w:hAnsi="Arial"/>
          <w:sz w:val="16"/>
          <w:szCs w:val="16"/>
          <w:color w:val="auto"/>
        </w:rPr>
      </w:pPr>
      <w:r>
        <w:rPr>
          <w:rFonts w:ascii="Arial" w:cs="Arial" w:eastAsia="Arial" w:hAnsi="Arial"/>
          <w:sz w:val="16"/>
          <w:szCs w:val="16"/>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its obligation to make Eurodollar Rate Loans;</w:t>
      </w:r>
    </w:p>
    <w:p>
      <w:pPr>
        <w:spacing w:after="0" w:line="146" w:lineRule="exact"/>
        <w:rPr>
          <w:rFonts w:ascii="Arial" w:cs="Arial" w:eastAsia="Arial" w:hAnsi="Arial"/>
          <w:sz w:val="16"/>
          <w:szCs w:val="16"/>
          <w:color w:val="auto"/>
        </w:rPr>
      </w:pPr>
    </w:p>
    <w:p>
      <w:pPr>
        <w:ind w:left="1300" w:right="320" w:firstLine="653"/>
        <w:spacing w:after="0" w:line="286" w:lineRule="auto"/>
        <w:tabs>
          <w:tab w:leader="none" w:pos="2213" w:val="left"/>
        </w:tabs>
        <w:numPr>
          <w:ilvl w:val="1"/>
          <w:numId w:val="41"/>
        </w:numPr>
        <w:rPr>
          <w:rFonts w:ascii="Arial" w:cs="Arial" w:eastAsia="Arial" w:hAnsi="Arial"/>
          <w:sz w:val="17"/>
          <w:szCs w:val="17"/>
          <w:color w:val="auto"/>
        </w:rPr>
      </w:pPr>
      <w:r>
        <w:rPr>
          <w:rFonts w:ascii="Arial" w:cs="Arial" w:eastAsia="Arial" w:hAnsi="Arial"/>
          <w:sz w:val="17"/>
          <w:szCs w:val="17"/>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Commitment); or</w:t>
      </w:r>
    </w:p>
    <w:p>
      <w:pPr>
        <w:spacing w:after="0" w:line="165" w:lineRule="exact"/>
        <w:rPr>
          <w:rFonts w:ascii="Arial" w:cs="Arial" w:eastAsia="Arial" w:hAnsi="Arial"/>
          <w:sz w:val="17"/>
          <w:szCs w:val="17"/>
          <w:color w:val="auto"/>
        </w:rPr>
      </w:pPr>
    </w:p>
    <w:p>
      <w:pPr>
        <w:ind w:left="1300" w:right="420" w:firstLine="653"/>
        <w:spacing w:after="0" w:line="277" w:lineRule="auto"/>
        <w:tabs>
          <w:tab w:leader="none" w:pos="2263" w:val="left"/>
        </w:tabs>
        <w:numPr>
          <w:ilvl w:val="1"/>
          <w:numId w:val="41"/>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to reduce any sum received or receivable by such Lender Party under this Agreement with respect to any Eurodollar Rate Loans,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ind w:left="11200"/>
        <w:spacing w:after="0"/>
        <w:rPr>
          <w:sz w:val="20"/>
          <w:szCs w:val="20"/>
          <w:color w:val="auto"/>
        </w:rPr>
      </w:pPr>
      <w:r>
        <w:rPr>
          <w:rFonts w:ascii="Arial" w:cs="Arial" w:eastAsia="Arial" w:hAnsi="Arial"/>
          <w:sz w:val="18"/>
          <w:szCs w:val="18"/>
          <w:color w:val="auto"/>
        </w:rPr>
        <w:t>38</w:t>
      </w:r>
    </w:p>
    <w:p>
      <w:pPr>
        <w:spacing w:after="0" w:line="117" w:lineRule="exact"/>
        <w:rPr>
          <w:sz w:val="20"/>
          <w:szCs w:val="20"/>
          <w:color w:val="auto"/>
        </w:rPr>
      </w:pPr>
    </w:p>
    <w:p>
      <w:pPr>
        <w:ind w:left="260" w:firstLine="1288"/>
        <w:spacing w:after="0" w:line="273" w:lineRule="auto"/>
        <w:tabs>
          <w:tab w:leader="none" w:pos="2081"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8" w:lineRule="exact"/>
        <w:rPr>
          <w:rFonts w:ascii="Arial" w:cs="Arial" w:eastAsia="Arial" w:hAnsi="Arial"/>
          <w:sz w:val="17"/>
          <w:szCs w:val="17"/>
          <w:color w:val="auto"/>
        </w:rPr>
      </w:pPr>
    </w:p>
    <w:p>
      <w:pPr>
        <w:ind w:left="260" w:right="20" w:firstLine="1288"/>
        <w:spacing w:after="0" w:line="276" w:lineRule="auto"/>
        <w:tabs>
          <w:tab w:leader="none" w:pos="20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3"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24" w:lineRule="exact"/>
        <w:rPr>
          <w:sz w:val="20"/>
          <w:szCs w:val="20"/>
          <w:color w:val="auto"/>
        </w:rPr>
      </w:pPr>
    </w:p>
    <w:p>
      <w:pPr>
        <w:ind w:left="260" w:firstLine="1288"/>
        <w:spacing w:after="0" w:line="308" w:lineRule="auto"/>
        <w:tabs>
          <w:tab w:leader="none" w:pos="206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by Borrower of any Eurodollar Rate Loan on a day other than the last day of the Interest Period for such Eurodollar Rate Loan (whether voluntary, mandatory, automatic, by reason of acceleration or otherwise); or</w:t>
      </w:r>
    </w:p>
    <w:p>
      <w:pPr>
        <w:spacing w:after="0" w:line="146" w:lineRule="exact"/>
        <w:rPr>
          <w:rFonts w:ascii="Arial" w:cs="Arial" w:eastAsia="Arial" w:hAnsi="Arial"/>
          <w:sz w:val="17"/>
          <w:szCs w:val="17"/>
          <w:color w:val="auto"/>
        </w:rPr>
      </w:pPr>
    </w:p>
    <w:p>
      <w:pPr>
        <w:ind w:left="260" w:right="180" w:firstLine="1288"/>
        <w:spacing w:after="0" w:line="277" w:lineRule="auto"/>
        <w:tabs>
          <w:tab w:leader="none" w:pos="20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such Lender to make a Eurodollar Rate Loan) to prepay, borrow, Continue or Convert any Eurodollar Rate Loan on the date or in the amount notified by Borrower;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left="260" w:right="20" w:firstLine="1288"/>
        <w:spacing w:after="0" w:line="270" w:lineRule="auto"/>
        <w:tabs>
          <w:tab w:leader="none" w:pos="2061"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ind w:left="11200"/>
        <w:spacing w:after="0"/>
        <w:rPr>
          <w:sz w:val="20"/>
          <w:szCs w:val="20"/>
          <w:color w:val="auto"/>
        </w:rPr>
      </w:pPr>
      <w:r>
        <w:rPr>
          <w:rFonts w:ascii="Arial" w:cs="Arial" w:eastAsia="Arial" w:hAnsi="Arial"/>
          <w:sz w:val="18"/>
          <w:szCs w:val="18"/>
          <w:color w:val="auto"/>
        </w:rPr>
        <w:t>39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amount of such compensation, Administrative Agent or any Lender may use any reasonable averaging and attribution methods.</w:t>
      </w:r>
    </w:p>
    <w:p>
      <w:pPr>
        <w:spacing w:after="0" w:line="225" w:lineRule="exact"/>
        <w:rPr>
          <w:sz w:val="20"/>
          <w:szCs w:val="20"/>
          <w:color w:val="auto"/>
        </w:rPr>
      </w:pPr>
    </w:p>
    <w:p>
      <w:pPr>
        <w:jc w:val="both"/>
        <w:ind w:left="260" w:right="100" w:firstLine="1288"/>
        <w:spacing w:after="0" w:line="264" w:lineRule="auto"/>
        <w:tabs>
          <w:tab w:leader="none" w:pos="2081"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Eurodollar Rate Loans pursuant to Section 3.02, or upon any Lender making a claim for compensation under Section 3.01 or Section 3.04, Borrower may remove or replace such Lender in accordance with Section 10.21.</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All of Borrower’s obligations under this Section 3 shall survive termination of the Commitments and payment in full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Obligations.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This Agreement shall become effective upon the satisfaction, on or before June 30, 2018, of the conditions precedent set forth in this Section 4.01:</w:t>
      </w:r>
    </w:p>
    <w:p>
      <w:pPr>
        <w:spacing w:after="0" w:line="170" w:lineRule="exact"/>
        <w:rPr>
          <w:sz w:val="20"/>
          <w:szCs w:val="20"/>
          <w:color w:val="auto"/>
        </w:rPr>
      </w:pPr>
    </w:p>
    <w:p>
      <w:pPr>
        <w:ind w:left="260" w:right="100" w:firstLine="1288"/>
        <w:spacing w:after="0" w:line="264" w:lineRule="auto"/>
        <w:tabs>
          <w:tab w:leader="none" w:pos="20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81" w:lineRule="exact"/>
        <w:rPr>
          <w:rFonts w:ascii="Arial" w:cs="Arial" w:eastAsia="Arial" w:hAnsi="Arial"/>
          <w:sz w:val="18"/>
          <w:szCs w:val="18"/>
          <w:color w:val="auto"/>
        </w:rPr>
      </w:pPr>
    </w:p>
    <w:p>
      <w:pPr>
        <w:ind w:left="1300" w:right="80" w:firstLine="653"/>
        <w:spacing w:after="0" w:line="257" w:lineRule="auto"/>
        <w:tabs>
          <w:tab w:leader="none" w:pos="21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8" w:lineRule="exact"/>
        <w:rPr>
          <w:rFonts w:ascii="Arial" w:cs="Arial" w:eastAsia="Arial" w:hAnsi="Arial"/>
          <w:sz w:val="18"/>
          <w:szCs w:val="18"/>
          <w:color w:val="auto"/>
        </w:rPr>
      </w:pPr>
    </w:p>
    <w:p>
      <w:pPr>
        <w:ind w:left="1300" w:firstLine="653"/>
        <w:spacing w:after="0" w:line="287" w:lineRule="auto"/>
        <w:tabs>
          <w:tab w:leader="none" w:pos="22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ind w:left="11200"/>
        <w:spacing w:after="0"/>
        <w:rPr>
          <w:sz w:val="20"/>
          <w:szCs w:val="20"/>
          <w:color w:val="auto"/>
        </w:rPr>
      </w:pPr>
      <w:r>
        <w:rPr>
          <w:rFonts w:ascii="Arial" w:cs="Arial" w:eastAsia="Arial" w:hAnsi="Arial"/>
          <w:sz w:val="17"/>
          <w:szCs w:val="17"/>
          <w:color w:val="auto"/>
        </w:rPr>
        <w:t>40</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to sign the Loan Documents to which such Loan Party is a party on the Effective Date;</w:t>
      </w:r>
    </w:p>
    <w:p>
      <w:pPr>
        <w:spacing w:after="0" w:line="225" w:lineRule="exact"/>
        <w:rPr>
          <w:sz w:val="20"/>
          <w:szCs w:val="20"/>
          <w:color w:val="auto"/>
        </w:rPr>
      </w:pPr>
    </w:p>
    <w:p>
      <w:pPr>
        <w:ind w:left="1300" w:firstLine="653"/>
        <w:spacing w:after="0" w:line="257" w:lineRule="auto"/>
        <w:tabs>
          <w:tab w:leader="none" w:pos="226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that (A) 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 (B) no Default or Event of Default shall have occurred and be continuing and (C) that there has been no event or circumstance since the date of the Reference Statements which has a Material Adverse Effect;</w:t>
      </w:r>
    </w:p>
    <w:p>
      <w:pPr>
        <w:spacing w:after="0" w:line="188" w:lineRule="exact"/>
        <w:rPr>
          <w:rFonts w:ascii="Arial" w:cs="Arial" w:eastAsia="Arial" w:hAnsi="Arial"/>
          <w:sz w:val="18"/>
          <w:szCs w:val="18"/>
          <w:color w:val="auto"/>
        </w:rPr>
      </w:pPr>
    </w:p>
    <w:p>
      <w:pPr>
        <w:ind w:left="2260" w:hanging="307"/>
        <w:spacing w:after="0"/>
        <w:tabs>
          <w:tab w:leader="none" w:pos="2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opinions of counsel to Borrower in form and substance reasonably satisfactory to Administrative Agent; and</w:t>
      </w:r>
    </w:p>
    <w:p>
      <w:pPr>
        <w:spacing w:after="0" w:line="225" w:lineRule="exact"/>
        <w:rPr>
          <w:rFonts w:ascii="Arial" w:cs="Arial" w:eastAsia="Arial" w:hAnsi="Arial"/>
          <w:sz w:val="18"/>
          <w:szCs w:val="18"/>
          <w:color w:val="auto"/>
        </w:rPr>
      </w:pPr>
    </w:p>
    <w:p>
      <w:pPr>
        <w:ind w:left="1300" w:right="40" w:firstLine="653"/>
        <w:spacing w:after="0" w:line="259" w:lineRule="auto"/>
        <w:tabs>
          <w:tab w:leader="none" w:pos="22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information requested by the Arrangers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three (3) Business Days prior to the Effective Date).</w:t>
      </w:r>
    </w:p>
    <w:p>
      <w:pPr>
        <w:spacing w:after="0" w:line="186" w:lineRule="exact"/>
        <w:rPr>
          <w:rFonts w:ascii="Arial" w:cs="Arial" w:eastAsia="Arial" w:hAnsi="Arial"/>
          <w:sz w:val="18"/>
          <w:szCs w:val="18"/>
          <w:color w:val="auto"/>
        </w:rPr>
      </w:pPr>
    </w:p>
    <w:p>
      <w:pPr>
        <w:ind w:left="260" w:right="20" w:firstLine="1288"/>
        <w:spacing w:after="0" w:line="342" w:lineRule="auto"/>
        <w:tabs>
          <w:tab w:leader="none" w:pos="20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respect to any fees due and payable on or before the Effective Date pursuant to the Fee Letter, either (i) such fees shall have been paid or (ii) arrangements satisfactory to Administrative Agent and the Arrangers shall have been made with respect to the payment of such fees.</w:t>
      </w:r>
    </w:p>
    <w:p>
      <w:pPr>
        <w:spacing w:after="0" w:line="123" w:lineRule="exact"/>
        <w:rPr>
          <w:rFonts w:ascii="Arial" w:cs="Arial" w:eastAsia="Arial" w:hAnsi="Arial"/>
          <w:sz w:val="16"/>
          <w:szCs w:val="16"/>
          <w:color w:val="auto"/>
        </w:rPr>
      </w:pPr>
    </w:p>
    <w:p>
      <w:pPr>
        <w:ind w:left="260" w:right="80" w:firstLine="1288"/>
        <w:spacing w:after="0" w:line="277" w:lineRule="auto"/>
        <w:tabs>
          <w:tab w:leader="none" w:pos="20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Administrative Agent shall have received a copy, in substantially final form and in form and substance reasonably satisfactory to Administrative Agent, of the Rule 2.7 Announcement.</w:t>
      </w:r>
    </w:p>
    <w:p>
      <w:pPr>
        <w:spacing w:after="0" w:line="17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Conditions Precedent to Borrowings</w:t>
      </w:r>
      <w:r>
        <w:rPr>
          <w:rFonts w:ascii="Arial" w:cs="Arial" w:eastAsia="Arial" w:hAnsi="Arial"/>
          <w:sz w:val="16"/>
          <w:szCs w:val="16"/>
          <w:color w:val="auto"/>
        </w:rPr>
        <w:t>. The agreement of each Lender to make Extensions of Credit requested to be made by it is subject solely to the satisfaction, in each case on or before the Certain Funds Termination Date, of the applicable conditions precedent set forth in this Section</w:t>
      </w:r>
    </w:p>
    <w:p>
      <w:pPr>
        <w:spacing w:after="0"/>
        <w:rPr>
          <w:sz w:val="20"/>
          <w:szCs w:val="20"/>
          <w:color w:val="auto"/>
        </w:rPr>
      </w:pPr>
      <w:r>
        <w:rPr>
          <w:rFonts w:ascii="Arial" w:cs="Arial" w:eastAsia="Arial" w:hAnsi="Arial"/>
          <w:sz w:val="18"/>
          <w:szCs w:val="18"/>
          <w:color w:val="auto"/>
        </w:rPr>
        <w:t>4.02:</w:t>
      </w:r>
    </w:p>
    <w:p>
      <w:pPr>
        <w:spacing w:after="0" w:line="211" w:lineRule="exact"/>
        <w:rPr>
          <w:sz w:val="20"/>
          <w:szCs w:val="20"/>
          <w:color w:val="auto"/>
        </w:rPr>
      </w:pPr>
    </w:p>
    <w:p>
      <w:pPr>
        <w:ind w:left="2060" w:hanging="512"/>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 Date shall have occurred.</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the initial Extension of Credit hereunder, Administrative Agent shall have received a Target Acquisition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both"/>
        <w:ind w:left="260" w:right="240" w:firstLine="1288"/>
        <w:spacing w:after="0" w:line="264" w:lineRule="auto"/>
        <w:tabs>
          <w:tab w:leader="none" w:pos="20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Administrative Agent shall have received evidence that all fees required to be paid on or prior to the date of such Extension of Credit pursuant to the Fee Letter have been or shall be paid on or prior to such date (or other arrangements satisfactory to Administrative Agent and the Arrangers shall have been made with respect to the payment of such fees).</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Major Event of Default shall have occurred and be continuing or would result from the proposed Extension of Credit to be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made on such date.</w:t>
      </w:r>
    </w:p>
    <w:p>
      <w:pPr>
        <w:spacing w:after="0" w:line="210" w:lineRule="exact"/>
        <w:rPr>
          <w:rFonts w:ascii="Arial" w:cs="Arial" w:eastAsia="Arial" w:hAnsi="Arial"/>
          <w:sz w:val="16"/>
          <w:szCs w:val="16"/>
          <w:color w:val="auto"/>
        </w:rPr>
      </w:pPr>
    </w:p>
    <w:p>
      <w:pPr>
        <w:jc w:val="both"/>
        <w:ind w:left="260" w:right="80" w:firstLine="1288"/>
        <w:spacing w:after="0" w:line="259" w:lineRule="auto"/>
        <w:tabs>
          <w:tab w:leader="none" w:pos="21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It shall not be illegal for any Lender to lend and there is no injunction, restraining order or equivalent prohibiting any Lender from funding its portion of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has used commercially reasonable efforts to fund its such Loans through an Affiliate of such Lender not subject to such legal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occurrence of such event in relation to one Lender shall not relieve any other Lender of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right="160" w:firstLine="1297"/>
        <w:spacing w:after="0" w:line="293"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u w:val="single" w:color="auto"/>
          <w:color w:val="auto"/>
        </w:rPr>
        <w:t>Determinations Under Sections 4.01 and 4.02</w:t>
      </w:r>
      <w:r>
        <w:rPr>
          <w:rFonts w:ascii="Arial" w:cs="Arial" w:eastAsia="Arial" w:hAnsi="Arial"/>
          <w:sz w:val="16"/>
          <w:szCs w:val="16"/>
          <w:color w:val="auto"/>
        </w:rPr>
        <w:t>. For purposes of determining compliance with the conditions specified in Sections 4.01 or 4.02,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 or the date of any Extension of Credit, as applicable, specifying its objection thereto. Administrative Agent (or its counsel) shall promptly notify the Lenders and Borrower in writing of the occurrence of the Effective Date and of the occurrence of the Initial Closing Date, which writings shall be conclusive and irrevocable.</w:t>
      </w:r>
    </w:p>
    <w:p>
      <w:pPr>
        <w:spacing w:after="0" w:line="165"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4.04 </w:t>
      </w:r>
      <w:r>
        <w:rPr>
          <w:rFonts w:ascii="Arial" w:cs="Arial" w:eastAsia="Arial" w:hAnsi="Arial"/>
          <w:sz w:val="17"/>
          <w:szCs w:val="17"/>
          <w:u w:val="single" w:color="auto"/>
          <w:color w:val="auto"/>
        </w:rPr>
        <w:t>Actions by Lenders During Certain Funds Period</w:t>
      </w:r>
      <w:r>
        <w:rPr>
          <w:rFonts w:ascii="Arial" w:cs="Arial" w:eastAsia="Arial" w:hAnsi="Arial"/>
          <w:sz w:val="17"/>
          <w:szCs w:val="17"/>
          <w:color w:val="auto"/>
        </w:rPr>
        <w:t xml:space="preserve">. Notwithstanding (x) anything to the contrary in this Agreement or any other Loan Document or (y) that any condition set forth in Section 4.01 or Section 4.02 may subsequently be determined not to have been satisfied, during the Certain Funds Period (unless (i) a Major Event of Default has occurred and is continuing or, in respect of clause (c) below, would result therefrom, (ii) in respect of clause (c) below, the conditions set forth in Section 4.02, as applicable, are not satisfied or (iii) it becomes illegal for any Lender to maintain its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has used commercially reasonable efforts to maintain its Commitment through an Affiliate of such Lender not subject to a legal restriction and that the occurrence of such event in relation to one Lender shall not enable any other Lender to cancel its Commitment), each Lender shall comply with its obligations to fund Loans under the Loan Documents and no Lender shall:</w:t>
      </w:r>
    </w:p>
    <w:p>
      <w:pPr>
        <w:spacing w:after="0" w:line="178" w:lineRule="exact"/>
        <w:rPr>
          <w:sz w:val="20"/>
          <w:szCs w:val="20"/>
          <w:color w:val="auto"/>
        </w:rPr>
      </w:pPr>
    </w:p>
    <w:p>
      <w:pPr>
        <w:ind w:left="2060" w:hanging="512"/>
        <w:spacing w:after="0"/>
        <w:tabs>
          <w:tab w:leader="none" w:pos="2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cancel any of its Commitments;</w:t>
      </w:r>
    </w:p>
    <w:p>
      <w:pPr>
        <w:spacing w:after="0" w:line="225" w:lineRule="exact"/>
        <w:rPr>
          <w:rFonts w:ascii="Arial" w:cs="Arial" w:eastAsia="Arial" w:hAnsi="Arial"/>
          <w:sz w:val="18"/>
          <w:szCs w:val="18"/>
          <w:color w:val="auto"/>
        </w:rPr>
      </w:pPr>
    </w:p>
    <w:p>
      <w:pPr>
        <w:ind w:left="260" w:right="40" w:firstLine="1288"/>
        <w:spacing w:after="0" w:line="277" w:lineRule="auto"/>
        <w:tabs>
          <w:tab w:leader="none" w:pos="20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rescind, terminate or cancel any Loan Document or exercise any similar right or remedy or make or enforce any claim under any Loan Document it may have to the extent to do so would prevent or limit the funding of a Borrowing;</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refuse to fund any Loan in respect of its outstanding Commitment;</w:t>
      </w:r>
    </w:p>
    <w:p>
      <w:pPr>
        <w:spacing w:after="0" w:line="225" w:lineRule="exact"/>
        <w:rPr>
          <w:rFonts w:ascii="Arial" w:cs="Arial" w:eastAsia="Arial" w:hAnsi="Arial"/>
          <w:sz w:val="18"/>
          <w:szCs w:val="18"/>
          <w:color w:val="auto"/>
        </w:rPr>
      </w:pPr>
    </w:p>
    <w:p>
      <w:pPr>
        <w:ind w:left="2080" w:hanging="532"/>
        <w:spacing w:after="0"/>
        <w:tabs>
          <w:tab w:leader="none" w:pos="2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exercise any right of set-off or counterclaim in respect of any Loan to the extent to do so would prevent or limit the funding of</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any Borrowing; or</w:t>
      </w:r>
    </w:p>
    <w:p>
      <w:pPr>
        <w:spacing w:after="0" w:line="210" w:lineRule="exact"/>
        <w:rPr>
          <w:rFonts w:ascii="Arial" w:cs="Arial" w:eastAsia="Arial" w:hAnsi="Arial"/>
          <w:sz w:val="16"/>
          <w:szCs w:val="16"/>
          <w:color w:val="auto"/>
        </w:rPr>
      </w:pPr>
    </w:p>
    <w:p>
      <w:pPr>
        <w:ind w:left="260" w:right="340" w:firstLine="1288"/>
        <w:spacing w:after="0" w:line="277" w:lineRule="auto"/>
        <w:tabs>
          <w:tab w:leader="none" w:pos="20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cancel, accelerate or cause repayment or prepayment of any amounts owing under any Loan Document to the extent to do so would prevent or limit the funding of any Borrowing;</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the expiration of the Certain Funds Period all such rights, remedies and entitlements shall be available to the Lenders notwithstanding that they may not have been used or been available for use during the Certain Funds Period.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Borrower represents and warrants to Administrative Agent and Lenders that:</w:t>
      </w:r>
    </w:p>
    <w:p>
      <w:pPr>
        <w:spacing w:after="0" w:line="225"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2" w:name="page53"/>
    <w:bookmarkEnd w:id="52"/>
    <w:p>
      <w:pPr>
        <w:ind w:left="11200"/>
        <w:spacing w:after="0"/>
        <w:rPr>
          <w:sz w:val="20"/>
          <w:szCs w:val="20"/>
          <w:color w:val="auto"/>
        </w:rPr>
      </w:pPr>
      <w:r>
        <w:rPr>
          <w:rFonts w:ascii="Arial" w:cs="Arial" w:eastAsia="Arial" w:hAnsi="Arial"/>
          <w:sz w:val="17"/>
          <w:szCs w:val="17"/>
          <w:color w:val="auto"/>
        </w:rPr>
        <w:t>42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is in compliance with all Laws, except to the extent that noncompliance does not have a Material Adverse Effect.</w:t>
      </w:r>
    </w:p>
    <w:p>
      <w:pPr>
        <w:spacing w:after="0" w:line="225" w:lineRule="exact"/>
        <w:rPr>
          <w:sz w:val="20"/>
          <w:szCs w:val="20"/>
          <w:color w:val="auto"/>
        </w:rPr>
      </w:pPr>
    </w:p>
    <w:p>
      <w:pPr>
        <w:ind w:firstLine="1297"/>
        <w:spacing w:after="0" w:line="289"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7"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left="260" w:right="60" w:firstLine="1288"/>
        <w:spacing w:after="0" w:line="264" w:lineRule="auto"/>
        <w:tabs>
          <w:tab w:leader="none" w:pos="20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From December 31, 2017 to the Effective Date and the Initial Closing Date, there has been no event or circumstance which has a</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will use the proceeds of the Loans solely to finance a portion of the Transactions, which, for the avoidance of doubt, may include a Borrowing of Loans after the Initial Closing Date but prior to the consummation of the intended acquisition of certain Target shares.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88" w:lineRule="exact"/>
        <w:rPr>
          <w:sz w:val="20"/>
          <w:szCs w:val="20"/>
          <w:color w:val="auto"/>
        </w:rPr>
      </w:pPr>
    </w:p>
    <w:p>
      <w:pPr>
        <w:ind w:right="160" w:firstLine="1297"/>
        <w:spacing w:after="0" w:line="342"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Borrower has implemented and maintains in effect policies and procedures reasonably designed to promote compliance by Borrower, its Subsidiaries and their respective directors, officers, employees and agents with Anti-Corruption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ind w:left="11200"/>
        <w:spacing w:after="0"/>
        <w:rPr>
          <w:sz w:val="20"/>
          <w:szCs w:val="20"/>
          <w:color w:val="auto"/>
        </w:rPr>
      </w:pPr>
      <w:r>
        <w:rPr>
          <w:rFonts w:ascii="Arial" w:cs="Arial" w:eastAsia="Arial" w:hAnsi="Arial"/>
          <w:sz w:val="17"/>
          <w:szCs w:val="17"/>
          <w:color w:val="auto"/>
        </w:rPr>
        <w:t>43</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Target Acquisition Documents</w:t>
      </w:r>
      <w:r>
        <w:rPr>
          <w:rFonts w:ascii="Arial" w:cs="Arial" w:eastAsia="Arial" w:hAnsi="Arial"/>
          <w:sz w:val="16"/>
          <w:szCs w:val="16"/>
          <w:color w:val="auto"/>
        </w:rPr>
        <w:t>.</w:t>
      </w:r>
    </w:p>
    <w:p>
      <w:pPr>
        <w:spacing w:after="0" w:line="225" w:lineRule="exact"/>
        <w:rPr>
          <w:sz w:val="20"/>
          <w:szCs w:val="20"/>
          <w:color w:val="auto"/>
        </w:rPr>
      </w:pPr>
    </w:p>
    <w:p>
      <w:pPr>
        <w:ind w:left="260" w:right="520" w:firstLine="1288"/>
        <w:spacing w:after="0" w:line="277" w:lineRule="auto"/>
        <w:tabs>
          <w:tab w:leader="none" w:pos="207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 Offer, the Offer Press Release and the Offer Documents contain all material terms of the Offer (taken as a whole) as at the date on which they were published.</w:t>
      </w:r>
    </w:p>
    <w:p>
      <w:pPr>
        <w:spacing w:after="0" w:line="170" w:lineRule="exact"/>
        <w:rPr>
          <w:rFonts w:ascii="Arial" w:cs="Arial" w:eastAsia="Arial" w:hAnsi="Arial"/>
          <w:sz w:val="18"/>
          <w:szCs w:val="18"/>
          <w:color w:val="auto"/>
        </w:rPr>
      </w:pPr>
    </w:p>
    <w:p>
      <w:pPr>
        <w:ind w:left="260" w:right="400" w:firstLine="1288"/>
        <w:spacing w:after="0" w:line="277" w:lineRule="auto"/>
        <w:tabs>
          <w:tab w:leader="none" w:pos="20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Scheme, the Scheme Press Release and the Scheme Documents contain all the material terms of the Scheme (taken as a whole) as at the date on which they were published.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Subject to Section 4.04, so long as any Obligation remains unpaid, or any portion of the Commitments remains outstanding, Borrower shall, and shall (except in the case of Borrower’s reporting covenants), cause each Restricted Subsidiary to: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Administrative Agent and Lenders, in form and detail satisfactory to Administrative Agent:</w:t>
      </w:r>
    </w:p>
    <w:p>
      <w:pPr>
        <w:spacing w:after="0" w:line="225" w:lineRule="exact"/>
        <w:rPr>
          <w:sz w:val="20"/>
          <w:szCs w:val="20"/>
          <w:color w:val="auto"/>
        </w:rPr>
      </w:pPr>
    </w:p>
    <w:p>
      <w:pPr>
        <w:ind w:left="260" w:right="40" w:firstLine="1288"/>
        <w:spacing w:after="0" w:line="255" w:lineRule="auto"/>
        <w:tabs>
          <w:tab w:leader="none" w:pos="206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93" w:lineRule="exact"/>
        <w:rPr>
          <w:rFonts w:ascii="Arial" w:cs="Arial" w:eastAsia="Arial" w:hAnsi="Arial"/>
          <w:sz w:val="18"/>
          <w:szCs w:val="18"/>
          <w:color w:val="auto"/>
        </w:rPr>
      </w:pPr>
    </w:p>
    <w:p>
      <w:pPr>
        <w:ind w:left="260" w:right="60" w:firstLine="1288"/>
        <w:spacing w:after="0" w:line="255" w:lineRule="auto"/>
        <w:tabs>
          <w:tab w:leader="none" w:pos="207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89" w:lineRule="exact"/>
        <w:rPr>
          <w:rFonts w:ascii="Arial" w:cs="Arial" w:eastAsia="Arial" w:hAnsi="Arial"/>
          <w:sz w:val="18"/>
          <w:szCs w:val="18"/>
          <w:color w:val="auto"/>
        </w:rPr>
      </w:pPr>
    </w:p>
    <w:p>
      <w:pPr>
        <w:ind w:left="260" w:right="240" w:firstLine="1288"/>
        <w:spacing w:after="0" w:line="286" w:lineRule="auto"/>
        <w:tabs>
          <w:tab w:leader="none" w:pos="2071" w:val="left"/>
        </w:tabs>
        <w:numPr>
          <w:ilvl w:val="0"/>
          <w:numId w:val="54"/>
        </w:numPr>
        <w:rPr>
          <w:rFonts w:ascii="Arial" w:cs="Arial" w:eastAsia="Arial" w:hAnsi="Arial"/>
          <w:sz w:val="17"/>
          <w:szCs w:val="17"/>
          <w:color w:val="auto"/>
        </w:rPr>
      </w:pPr>
      <w:r>
        <w:rPr>
          <w:rFonts w:ascii="Arial" w:cs="Arial" w:eastAsia="Arial" w:hAnsi="Arial"/>
          <w:sz w:val="17"/>
          <w:szCs w:val="17"/>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4" w:name="page55"/>
    <w:bookmarkEnd w:id="54"/>
    <w:p>
      <w:pPr>
        <w:ind w:left="11200"/>
        <w:spacing w:after="0"/>
        <w:rPr>
          <w:sz w:val="20"/>
          <w:szCs w:val="20"/>
          <w:color w:val="auto"/>
        </w:rPr>
      </w:pPr>
      <w:r>
        <w:rPr>
          <w:rFonts w:ascii="Arial" w:cs="Arial" w:eastAsia="Arial" w:hAnsi="Arial"/>
          <w:sz w:val="17"/>
          <w:szCs w:val="17"/>
          <w:color w:val="auto"/>
        </w:rPr>
        <w:t>44</w:t>
      </w:r>
    </w:p>
    <w:p>
      <w:pPr>
        <w:spacing w:after="0" w:line="129" w:lineRule="exact"/>
        <w:rPr>
          <w:sz w:val="20"/>
          <w:szCs w:val="20"/>
          <w:color w:val="auto"/>
        </w:rPr>
      </w:pPr>
    </w:p>
    <w:p>
      <w:pPr>
        <w:ind w:left="260" w:right="260" w:hanging="9"/>
        <w:spacing w:after="0" w:line="277" w:lineRule="auto"/>
        <w:tabs>
          <w:tab w:leader="none" w:pos="5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any case, on the date on which such documents are posted on Borrower’s behalf on an Internet website to which each Lender and Administrative Agent has access.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Notices and Other Information</w:t>
      </w:r>
      <w:r>
        <w:rPr>
          <w:rFonts w:ascii="Arial" w:cs="Arial" w:eastAsia="Arial" w:hAnsi="Arial"/>
          <w:sz w:val="16"/>
          <w:szCs w:val="16"/>
          <w:color w:val="auto"/>
        </w:rPr>
        <w:t>. Deliver to Administrative Agent in form and detail satisfactory to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260" w:right="260" w:firstLine="1288"/>
        <w:spacing w:after="0" w:line="257" w:lineRule="auto"/>
        <w:tabs>
          <w:tab w:leader="none" w:pos="20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8" w:lineRule="exact"/>
        <w:rPr>
          <w:rFonts w:ascii="Arial" w:cs="Arial" w:eastAsia="Arial" w:hAnsi="Arial"/>
          <w:sz w:val="18"/>
          <w:szCs w:val="18"/>
          <w:color w:val="auto"/>
        </w:rPr>
      </w:pPr>
    </w:p>
    <w:p>
      <w:pPr>
        <w:jc w:val="both"/>
        <w:ind w:left="260" w:right="20" w:firstLine="1288"/>
        <w:spacing w:after="0" w:line="264" w:lineRule="auto"/>
        <w:tabs>
          <w:tab w:leader="none" w:pos="20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left="260" w:right="60" w:firstLine="1288"/>
        <w:spacing w:after="0" w:line="308" w:lineRule="auto"/>
        <w:tabs>
          <w:tab w:leader="none" w:pos="20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146" w:lineRule="exact"/>
        <w:rPr>
          <w:rFonts w:ascii="Arial" w:cs="Arial" w:eastAsia="Arial" w:hAnsi="Arial"/>
          <w:sz w:val="17"/>
          <w:szCs w:val="17"/>
          <w:color w:val="auto"/>
        </w:rPr>
      </w:pPr>
    </w:p>
    <w:p>
      <w:pPr>
        <w:ind w:left="260" w:right="280" w:firstLine="1288"/>
        <w:spacing w:after="0" w:line="277" w:lineRule="auto"/>
        <w:tabs>
          <w:tab w:leader="none" w:pos="2081"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ind w:left="260" w:firstLine="1288"/>
        <w:spacing w:after="0" w:line="259" w:lineRule="auto"/>
        <w:tabs>
          <w:tab w:leader="none" w:pos="20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87"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The Borrower hereby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Confidential Information, they shall be treated as set forth in Section </w:t>
      </w:r>
      <w:r>
        <w:rPr>
          <w:rFonts w:ascii="Arial" w:cs="Arial" w:eastAsia="Arial" w:hAnsi="Arial"/>
          <w:sz w:val="16"/>
          <w:szCs w:val="16"/>
          <w:u w:val="single" w:color="auto"/>
          <w:color w:val="auto"/>
        </w:rPr>
        <w:t>10.17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5" w:name="page56"/>
    <w:bookmarkEnd w:id="55"/>
    <w:p>
      <w:pPr>
        <w:ind w:left="11200"/>
        <w:spacing w:after="0"/>
        <w:rPr>
          <w:sz w:val="20"/>
          <w:szCs w:val="20"/>
          <w:color w:val="auto"/>
        </w:rPr>
      </w:pPr>
      <w:r>
        <w:rPr>
          <w:rFonts w:ascii="Arial" w:cs="Arial" w:eastAsia="Arial" w:hAnsi="Arial"/>
          <w:sz w:val="18"/>
          <w:szCs w:val="18"/>
          <w:color w:val="auto"/>
        </w:rPr>
        <w:t>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Borrower shall be under no obligation to mark any Borrower Materials “PUBLIC.”</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1"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6.08 </w:t>
      </w:r>
      <w:r>
        <w:rPr>
          <w:rFonts w:ascii="Arial" w:cs="Arial" w:eastAsia="Arial" w:hAnsi="Arial"/>
          <w:sz w:val="17"/>
          <w:szCs w:val="17"/>
          <w:u w:val="single" w:color="auto"/>
          <w:color w:val="auto"/>
        </w:rPr>
        <w:t>Designation of Unrestricted Subsidiaries</w:t>
      </w:r>
      <w:r>
        <w:rPr>
          <w:rFonts w:ascii="Arial" w:cs="Arial" w:eastAsia="Arial" w:hAnsi="Arial"/>
          <w:sz w:val="17"/>
          <w:szCs w:val="17"/>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(w) each Guarantor shall at all times be a Restricted Subsidiary for all purposes hereunder unless such Guarantor is simultaneously released as a Guarantor upon such designation as contemplated pursuant to Section 6.10, (x) unless designated as an Unrestricted Subsidiary in compliance with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ind w:left="11200"/>
        <w:spacing w:after="0"/>
        <w:rPr>
          <w:sz w:val="20"/>
          <w:szCs w:val="20"/>
          <w:color w:val="auto"/>
        </w:rPr>
      </w:pPr>
      <w:r>
        <w:rPr>
          <w:rFonts w:ascii="Arial" w:cs="Arial" w:eastAsia="Arial" w:hAnsi="Arial"/>
          <w:sz w:val="17"/>
          <w:szCs w:val="17"/>
          <w:color w:val="auto"/>
        </w:rPr>
        <w:t>46</w:t>
      </w:r>
    </w:p>
    <w:p>
      <w:pPr>
        <w:spacing w:after="0" w:line="129" w:lineRule="exact"/>
        <w:rPr>
          <w:sz w:val="20"/>
          <w:szCs w:val="20"/>
          <w:color w:val="auto"/>
        </w:rPr>
      </w:pPr>
    </w:p>
    <w:p>
      <w:pPr>
        <w:ind w:firstLine="8"/>
        <w:spacing w:after="0" w:line="271" w:lineRule="auto"/>
        <w:tabs>
          <w:tab w:leader="none" w:pos="2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below, each Cable Subsidiary shall at all times be a Restricted Subsidiary for all purposes hereunder, (y) Borrower may designate a Cable Subsidiary as an Unrestricted Subsidiary at any time when the Leverage Ratio (calculated after giving pro forma effect to such designation) is less than or equal to 4.50 to 1.00 and (z) on and after March 28, 2018, but prior to the termination of all Bridge Commitments and the repayment in full of all Bridge Loans, Borrower shall not designate any Existing Restricted Subsidiary as an Unrestricted Subsidiary to the extent that after giving effect to such designation, the Annualized EBITDA (as of the last day of the most recently ended fiscal quarter prior to such designation) of all such Existing Restricted Subsidiaries so designated as Unrestricted Subsidiaries on and after March 28, 2018 would exceed 15.0% of the Annualized EBITDA of Borrower and its Restricted Subsidiaries for the period of two fiscal quarters ended on the last day of the fiscal quarter most recently ended prior to March 28, 2018. Borrower hereby designates the Subsidiaries listed on Schedule 6.08 as Unrestricted Subsidiaries.</w:t>
      </w:r>
    </w:p>
    <w:p>
      <w:pPr>
        <w:spacing w:after="0" w:line="17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75" w:lineRule="exact"/>
        <w:rPr>
          <w:sz w:val="20"/>
          <w:szCs w:val="20"/>
          <w:color w:val="auto"/>
        </w:rPr>
      </w:pPr>
    </w:p>
    <w:p>
      <w:pPr>
        <w:jc w:val="center"/>
        <w:ind w:right="-99"/>
        <w:spacing w:after="0"/>
        <w:tabs>
          <w:tab w:leader="none" w:pos="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Scheme and Offer</w:t>
      </w:r>
      <w:r>
        <w:rPr>
          <w:rFonts w:ascii="Arial" w:cs="Arial" w:eastAsia="Arial" w:hAnsi="Arial"/>
          <w:sz w:val="16"/>
          <w:szCs w:val="16"/>
          <w:color w:val="auto"/>
        </w:rPr>
        <w:t>. Borrower agrees that from the Effective Date, Borrower will (and will procure that Bidco will):</w:t>
      </w:r>
    </w:p>
    <w:p>
      <w:pPr>
        <w:spacing w:after="0" w:line="225" w:lineRule="exact"/>
        <w:rPr>
          <w:sz w:val="20"/>
          <w:szCs w:val="20"/>
          <w:color w:val="auto"/>
        </w:rPr>
      </w:pPr>
    </w:p>
    <w:p>
      <w:pPr>
        <w:ind w:left="2060" w:hanging="512"/>
        <w:spacing w:after="0"/>
        <w:tabs>
          <w:tab w:leader="none" w:pos="2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in all material respects with:</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Takeover Code; and</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other applicable laws and regulations in relation to any Offer or Scheme,</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each case in relation to the Target Acquisition and, subject to any waivers or dispensations granted by the Panel, the U.S. Securities and Exchange Commission or any other applicable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7" w:name="page58"/>
    <w:bookmarkEnd w:id="57"/>
    <w:p>
      <w:pPr>
        <w:ind w:left="11200"/>
        <w:spacing w:after="0"/>
        <w:rPr>
          <w:sz w:val="20"/>
          <w:szCs w:val="20"/>
          <w:color w:val="auto"/>
        </w:rPr>
      </w:pPr>
      <w:r>
        <w:rPr>
          <w:rFonts w:ascii="Arial" w:cs="Arial" w:eastAsia="Arial" w:hAnsi="Arial"/>
          <w:sz w:val="17"/>
          <w:szCs w:val="17"/>
          <w:color w:val="auto"/>
        </w:rPr>
        <w:t>47</w:t>
      </w:r>
    </w:p>
    <w:p>
      <w:pPr>
        <w:spacing w:after="0" w:line="129" w:lineRule="exact"/>
        <w:rPr>
          <w:sz w:val="20"/>
          <w:szCs w:val="20"/>
          <w:color w:val="auto"/>
        </w:rPr>
      </w:pPr>
    </w:p>
    <w:p>
      <w:pPr>
        <w:ind w:left="260" w:right="360" w:firstLine="1288"/>
        <w:spacing w:after="0" w:line="277" w:lineRule="auto"/>
        <w:tabs>
          <w:tab w:leader="none" w:pos="20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promptly provide Administrative Agent with such information as it may reasonably request regarding the Target Acquisition subject to confidentiality limitations and except to the extent it is prohibited by law or regulation from doing so; and</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deliver to Administrative Agent as soon as reasonably practicable after it is published copies of:</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Offer Document and any Scheme Documents; and</w:t>
      </w:r>
    </w:p>
    <w:p>
      <w:pPr>
        <w:spacing w:after="0" w:line="225" w:lineRule="exact"/>
        <w:rPr>
          <w:rFonts w:ascii="Arial" w:cs="Arial" w:eastAsia="Arial" w:hAnsi="Arial"/>
          <w:sz w:val="18"/>
          <w:szCs w:val="18"/>
          <w:color w:val="auto"/>
        </w:rPr>
      </w:pPr>
    </w:p>
    <w:p>
      <w:pPr>
        <w:ind w:left="1300" w:firstLine="653"/>
        <w:spacing w:after="0" w:line="293" w:lineRule="auto"/>
        <w:tabs>
          <w:tab w:leader="none" w:pos="221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each Rule 2.7 Announcement (each of which shall include terms and conditions which are (taken as a whole) not materially prejudicial to the interests of the Lenders (taken as a whole) when compared to those included in the draft Rule 2.7 Announcement delivered pursuant to Section 4.01(c), it being acknowledged that a waiver of a pre-condition which then becomes a condition to be satisfied in connection with the Target Acquisition or an increase to the price of the Target Acquisition will not be materially prejudicial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modify or amend any term or condition of any Offer or Scheme to the extent required by the Code, the Panel, any other competent regulatory body or by a court of competent jurisdiction).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so long as any Obligations remain unpaid, or any portion of the Commitments remains outstanding:</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2060" w:hanging="512"/>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260" w:right="200" w:firstLine="1288"/>
        <w:spacing w:after="0" w:line="264" w:lineRule="auto"/>
        <w:tabs>
          <w:tab w:leader="none" w:pos="20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securing Indebtedness for borrowed money (including without duplication Guaranty Obligations in respect thereof) that does not exceed $750,000,000 in the aggregate,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extended to cover any other property, assets or revenues;</w:t>
      </w:r>
    </w:p>
    <w:p>
      <w:pPr>
        <w:spacing w:after="0" w:line="181" w:lineRule="exact"/>
        <w:rPr>
          <w:rFonts w:ascii="Arial" w:cs="Arial" w:eastAsia="Arial" w:hAnsi="Arial"/>
          <w:sz w:val="18"/>
          <w:szCs w:val="18"/>
          <w:color w:val="auto"/>
        </w:rPr>
      </w:pPr>
    </w:p>
    <w:p>
      <w:pPr>
        <w:ind w:left="2060" w:hanging="512"/>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2080" w:hanging="532"/>
        <w:spacing w:after="0"/>
        <w:tabs>
          <w:tab w:leader="none" w:pos="2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left="260" w:right="60" w:firstLine="1288"/>
        <w:spacing w:after="0" w:line="259" w:lineRule="auto"/>
        <w:tabs>
          <w:tab w:leader="none" w:pos="20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ind w:left="260" w:right="60" w:firstLine="1288"/>
        <w:spacing w:after="0" w:line="264" w:lineRule="auto"/>
        <w:tabs>
          <w:tab w:leader="none" w:pos="20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left="260" w:right="240" w:firstLine="1288"/>
        <w:spacing w:after="0" w:line="277" w:lineRule="auto"/>
        <w:tabs>
          <w:tab w:leader="none" w:pos="20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Liens not otherwise permitted hereby which secure Indebtedness incurred pursuant to Asset Monetization Transactions;</w:t>
      </w:r>
    </w:p>
    <w:p>
      <w:pPr>
        <w:spacing w:after="0" w:line="236" w:lineRule="exact"/>
        <w:rPr>
          <w:rFonts w:ascii="Arial" w:cs="Arial" w:eastAsia="Arial" w:hAnsi="Arial"/>
          <w:sz w:val="17"/>
          <w:szCs w:val="17"/>
          <w:color w:val="auto"/>
        </w:rPr>
      </w:pPr>
    </w:p>
    <w:p>
      <w:pPr>
        <w:jc w:val="both"/>
        <w:ind w:left="260" w:right="380" w:firstLine="1288"/>
        <w:spacing w:after="0" w:line="259" w:lineRule="auto"/>
        <w:tabs>
          <w:tab w:leader="none" w:pos="20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Liens on any assets of the Target Group which Liens (i) are existing as of the Final Closing Date, (ii) are not incurred to secure indebtedness financing the Target Acquisition and (iii) do not extend to other assets other than (x) after acquired property that is automatically subject to such Lien, (y) proceeds and products of such property and any replacement, improvement, accessions or additions thereto and (B) any modification, replacement, refinancing, renewal or extension of such Lien; and</w:t>
      </w:r>
    </w:p>
    <w:p>
      <w:pPr>
        <w:spacing w:after="0" w:line="186" w:lineRule="exact"/>
        <w:rPr>
          <w:rFonts w:ascii="Arial" w:cs="Arial" w:eastAsia="Arial" w:hAnsi="Arial"/>
          <w:sz w:val="18"/>
          <w:szCs w:val="18"/>
          <w:color w:val="auto"/>
        </w:rPr>
      </w:pPr>
    </w:p>
    <w:p>
      <w:pPr>
        <w:ind w:left="260" w:right="200" w:firstLine="1288"/>
        <w:spacing w:after="0" w:line="259" w:lineRule="auto"/>
        <w:tabs>
          <w:tab w:leader="none" w:pos="20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Tangible Assets minus (y) the amount, if any, of any unsecured Indebtedness incurred by any Restricted Subsidiary that is not a Guarantor pursuant to Section 7.02.</w:t>
      </w:r>
    </w:p>
    <w:p>
      <w:pPr>
        <w:spacing w:after="0" w:line="187"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left="260" w:right="180" w:firstLine="1288"/>
        <w:spacing w:after="0" w:line="264" w:lineRule="auto"/>
        <w:tabs>
          <w:tab w:leader="none" w:pos="20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225" w:lineRule="exact"/>
        <w:rPr>
          <w:rFonts w:ascii="Arial" w:cs="Arial" w:eastAsia="Arial" w:hAnsi="Arial"/>
          <w:sz w:val="18"/>
          <w:szCs w:val="18"/>
          <w:color w:val="auto"/>
        </w:rPr>
      </w:pPr>
    </w:p>
    <w:p>
      <w:pPr>
        <w:ind w:left="260" w:right="20" w:firstLine="1288"/>
        <w:spacing w:after="0" w:line="277" w:lineRule="auto"/>
        <w:tabs>
          <w:tab w:leader="none" w:pos="20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Indebtedness of the Target Group that (i) is existing as of the Final Closing Date and (ii) is not incurred to finance the Target Acquisition and (B) any modification, replacement, refinancing, renewal or extension of such Indebtedness; and</w:t>
      </w:r>
    </w:p>
    <w:p>
      <w:pPr>
        <w:spacing w:after="0" w:line="170" w:lineRule="exact"/>
        <w:rPr>
          <w:rFonts w:ascii="Arial" w:cs="Arial" w:eastAsia="Arial" w:hAnsi="Arial"/>
          <w:sz w:val="18"/>
          <w:szCs w:val="18"/>
          <w:color w:val="auto"/>
        </w:rPr>
      </w:pPr>
    </w:p>
    <w:p>
      <w:pPr>
        <w:ind w:left="260" w:right="180" w:firstLine="1288"/>
        <w:spacing w:after="0" w:line="264" w:lineRule="auto"/>
        <w:tabs>
          <w:tab w:leader="none" w:pos="20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Indebtedness in an aggregate principal amount for all such Restricted Subsidiaries that are not Guarantors not exceeding at any time (x) 15% of Consolidated Net Tangible Assets minus (y) the amount, if any, of Indebtedness for borrowed money (including without duplication Guaranty Obligations in respect thereof) of any Loan Party secured pursuant to Section 7.01(j)).</w:t>
      </w:r>
    </w:p>
    <w:p>
      <w:pPr>
        <w:spacing w:after="0" w:line="181"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(a) Borrower shall not (A) merge or consolidate with or into any Person or (B) liquidate, wind-up or dissolve itself or (C) sell, transfer or dispose of all or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7.03 shall be construed to prohibit Borrower from reincorporating in another jurisdiction permitted by clause (iii) below, changing its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9" w:name="page60"/>
    <w:bookmarkEnd w:id="59"/>
    <w:p>
      <w:pPr>
        <w:ind w:left="11200"/>
        <w:spacing w:after="0"/>
        <w:rPr>
          <w:sz w:val="20"/>
          <w:szCs w:val="20"/>
          <w:color w:val="auto"/>
        </w:rPr>
      </w:pPr>
      <w:r>
        <w:rPr>
          <w:rFonts w:ascii="Arial" w:cs="Arial" w:eastAsia="Arial" w:hAnsi="Arial"/>
          <w:sz w:val="18"/>
          <w:szCs w:val="18"/>
          <w:color w:val="auto"/>
        </w:rPr>
        <w:t>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 organization or merging into, or transferring all or substantially all of its assets to, another Person so long as:</w:t>
      </w:r>
    </w:p>
    <w:p>
      <w:pPr>
        <w:spacing w:after="0" w:line="225" w:lineRule="exact"/>
        <w:rPr>
          <w:sz w:val="20"/>
          <w:szCs w:val="20"/>
          <w:color w:val="auto"/>
        </w:rPr>
      </w:pPr>
    </w:p>
    <w:p>
      <w:pPr>
        <w:ind w:left="1300" w:right="40" w:firstLine="653"/>
        <w:spacing w:after="0" w:line="270" w:lineRule="auto"/>
        <w:tabs>
          <w:tab w:leader="none" w:pos="216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w:t>
      </w:r>
    </w:p>
    <w:p>
      <w:pPr>
        <w:spacing w:after="0" w:line="181" w:lineRule="exact"/>
        <w:rPr>
          <w:rFonts w:ascii="Arial" w:cs="Arial" w:eastAsia="Arial" w:hAnsi="Arial"/>
          <w:sz w:val="17"/>
          <w:szCs w:val="17"/>
          <w:color w:val="auto"/>
        </w:rPr>
      </w:pPr>
    </w:p>
    <w:p>
      <w:pPr>
        <w:ind w:left="2220" w:hanging="267"/>
        <w:spacing w:after="0"/>
        <w:tabs>
          <w:tab w:leader="none" w:pos="2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248" w:lineRule="exact"/>
        <w:rPr>
          <w:rFonts w:ascii="Arial" w:cs="Arial" w:eastAsia="Arial" w:hAnsi="Arial"/>
          <w:sz w:val="16"/>
          <w:szCs w:val="16"/>
          <w:color w:val="auto"/>
        </w:rPr>
      </w:pPr>
    </w:p>
    <w:p>
      <w:pPr>
        <w:ind w:left="1300" w:right="220" w:firstLine="653"/>
        <w:spacing w:after="0" w:line="277" w:lineRule="auto"/>
        <w:tabs>
          <w:tab w:leader="none" w:pos="22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Borrower or a Successor Corporation’s jurisdiction of organization shall be a state within in the United States of America or the District of Columbia.</w:t>
      </w:r>
    </w:p>
    <w:p>
      <w:pPr>
        <w:spacing w:after="0" w:line="170" w:lineRule="exact"/>
        <w:rPr>
          <w:sz w:val="20"/>
          <w:szCs w:val="20"/>
          <w:color w:val="auto"/>
        </w:rPr>
      </w:pPr>
    </w:p>
    <w:p>
      <w:pPr>
        <w:ind w:left="260" w:right="400" w:firstLine="1288"/>
        <w:spacing w:after="0" w:line="277" w:lineRule="auto"/>
        <w:tabs>
          <w:tab w:leader="none" w:pos="20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Notwithstanding anything to the contrary herein, for the avoidance of doubt, this Section 7.03 shall not apply to the Target Acquisition or any transactions undertaken to implement the Target Acquisition, in accordance with the Offer Documents or the Scheme Documents and the Target Acquisition shall be permitted hereunder.</w:t>
      </w:r>
    </w:p>
    <w:p>
      <w:pPr>
        <w:spacing w:after="0" w:line="181" w:lineRule="exact"/>
        <w:rPr>
          <w:sz w:val="20"/>
          <w:szCs w:val="20"/>
          <w:color w:val="auto"/>
        </w:rPr>
      </w:pPr>
    </w:p>
    <w:p>
      <w:pPr>
        <w:jc w:val="right"/>
        <w:spacing w:after="0"/>
        <w:tabs>
          <w:tab w:leader="none" w:pos="946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w:t>
      </w:r>
    </w:p>
    <w:p>
      <w:pPr>
        <w:spacing w:after="0" w:line="23" w:lineRule="exact"/>
        <w:rPr>
          <w:sz w:val="20"/>
          <w:szCs w:val="20"/>
          <w:color w:val="auto"/>
        </w:rPr>
      </w:pPr>
    </w:p>
    <w:p>
      <w:pPr>
        <w:ind w:right="20" w:firstLine="8"/>
        <w:spacing w:after="0" w:line="255"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9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will not request any Borrowing and Borrower shall not use, and shall not make available to its Subsidiaries and its or their respective directors, officers, employees and agents,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7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Financial Covenant</w:t>
      </w:r>
      <w:r>
        <w:rPr>
          <w:rFonts w:ascii="Arial" w:cs="Arial" w:eastAsia="Arial" w:hAnsi="Arial"/>
          <w:sz w:val="18"/>
          <w:szCs w:val="18"/>
          <w:color w:val="auto"/>
        </w:rPr>
        <w:t>. Borrower shall not permit the Leverage Ratio as of the end of any fiscal quarter of Borrower ending after the Initial Closing Date to be greater than 5.75 to 1.00.</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5"/>
          <w:szCs w:val="15"/>
          <w:u w:val="single" w:color="auto"/>
          <w:color w:val="auto"/>
        </w:rPr>
        <w:t>Scheme and Offer</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50</w:t>
      </w:r>
    </w:p>
    <w:p>
      <w:pPr>
        <w:spacing w:after="0" w:line="117" w:lineRule="exact"/>
        <w:rPr>
          <w:sz w:val="20"/>
          <w:szCs w:val="20"/>
          <w:color w:val="auto"/>
        </w:rPr>
      </w:pPr>
    </w:p>
    <w:p>
      <w:pPr>
        <w:ind w:right="20" w:firstLine="1288"/>
        <w:spacing w:after="0" w:line="276" w:lineRule="auto"/>
        <w:tabs>
          <w:tab w:leader="none" w:pos="18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Except as consented to by the Required Lenders in writing (such consent not to be unreasonably withheld, conditioned or delayed), Borrower shall not (and shall procure that Bidco shall not) amend, treat as satisfied or waive any term or condition of an Offer or a Scheme set out in the relevant Target Acquisition Document other than any such amendment, treatment or waiver which is not a Materially Adverse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amend, treat as satisfied or waive any term or condition of an Offer or a Scheme to the extent required by the Takeover Code, the Panel, any other competent regulatory body or by a court of competent jurisdiction.</w:t>
      </w:r>
    </w:p>
    <w:p>
      <w:pPr>
        <w:spacing w:after="0" w:line="172" w:lineRule="exact"/>
        <w:rPr>
          <w:rFonts w:ascii="Arial" w:cs="Arial" w:eastAsia="Arial" w:hAnsi="Arial"/>
          <w:sz w:val="17"/>
          <w:szCs w:val="17"/>
          <w:color w:val="auto"/>
        </w:rPr>
      </w:pPr>
    </w:p>
    <w:p>
      <w:pPr>
        <w:ind w:right="700" w:firstLine="1288"/>
        <w:spacing w:after="0" w:line="277" w:lineRule="auto"/>
        <w:tabs>
          <w:tab w:leader="none" w:pos="18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case of an Offer, Borrower shall not (and shall procure that Bidco shall not) declare any Offer unconditional as to acceptances until the Acceptance Condition shall have been satisfied.</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Subject to Section 4.04, any one or more of the following events shall constitute an Event of Default:</w:t>
      </w:r>
    </w:p>
    <w:p>
      <w:pPr>
        <w:spacing w:after="0" w:line="225" w:lineRule="exact"/>
        <w:rPr>
          <w:sz w:val="20"/>
          <w:szCs w:val="20"/>
          <w:color w:val="auto"/>
        </w:rPr>
      </w:pPr>
    </w:p>
    <w:p>
      <w:pPr>
        <w:ind w:left="1800" w:hanging="512"/>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fails to pay any principal on any of its Outstanding Obligations (other than fees) on the date when due; or</w:t>
      </w:r>
    </w:p>
    <w:p>
      <w:pPr>
        <w:spacing w:after="0" w:line="225" w:lineRule="exact"/>
        <w:rPr>
          <w:rFonts w:ascii="Arial" w:cs="Arial" w:eastAsia="Arial" w:hAnsi="Arial"/>
          <w:sz w:val="18"/>
          <w:szCs w:val="18"/>
          <w:color w:val="auto"/>
        </w:rPr>
      </w:pPr>
    </w:p>
    <w:p>
      <w:pPr>
        <w:ind w:right="80" w:firstLine="1288"/>
        <w:spacing w:after="0" w:line="264" w:lineRule="auto"/>
        <w:tabs>
          <w:tab w:leader="none" w:pos="18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Obligations,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800" w:hanging="512"/>
        <w:spacing w:after="0"/>
        <w:tabs>
          <w:tab w:leader="none" w:pos="1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ind w:right="200" w:firstLine="1288"/>
        <w:spacing w:after="0" w:line="264" w:lineRule="auto"/>
        <w:tabs>
          <w:tab w:leader="none" w:pos="18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20" w:firstLine="1288"/>
        <w:spacing w:after="0" w:line="277" w:lineRule="auto"/>
        <w:tabs>
          <w:tab w:leader="none" w:pos="18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right="60" w:firstLine="1288"/>
        <w:spacing w:after="0" w:line="290" w:lineRule="auto"/>
        <w:tabs>
          <w:tab w:leader="none" w:pos="1791"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311785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500" w:top="233" w:right="279" w:bottom="1440" w:gutter="0" w:footer="0" w:header="0"/>
        </w:sectPr>
      </w:pPr>
    </w:p>
    <w:bookmarkStart w:id="61" w:name="page62"/>
    <w:bookmarkEnd w:id="61"/>
    <w:p>
      <w:pPr>
        <w:ind w:left="11200"/>
        <w:spacing w:after="0"/>
        <w:rPr>
          <w:sz w:val="20"/>
          <w:szCs w:val="20"/>
          <w:color w:val="auto"/>
        </w:rPr>
      </w:pPr>
      <w:r>
        <w:rPr>
          <w:rFonts w:ascii="Arial" w:cs="Arial" w:eastAsia="Arial" w:hAnsi="Arial"/>
          <w:sz w:val="16"/>
          <w:szCs w:val="16"/>
          <w:color w:val="auto"/>
        </w:rPr>
        <w:t>51</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 its debts as they become due or shall admit in writing its inability to pay its debts as they mature; or</w:t>
      </w:r>
    </w:p>
    <w:p>
      <w:pPr>
        <w:spacing w:after="0" w:line="225" w:lineRule="exact"/>
        <w:rPr>
          <w:sz w:val="20"/>
          <w:szCs w:val="20"/>
          <w:color w:val="auto"/>
        </w:rPr>
      </w:pPr>
    </w:p>
    <w:p>
      <w:pPr>
        <w:jc w:val="both"/>
        <w:ind w:left="260" w:right="120" w:firstLine="1288"/>
        <w:spacing w:after="0" w:line="302" w:lineRule="auto"/>
        <w:tabs>
          <w:tab w:leader="none" w:pos="207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a Guarantor denies in writing that it has any or further liability or obligation under the Guarantee Agreement, or purports to revoke, terminate or rescind the Guarantee Agreement in writing; or</w:t>
      </w:r>
    </w:p>
    <w:p>
      <w:pPr>
        <w:spacing w:after="0" w:line="154" w:lineRule="exact"/>
        <w:rPr>
          <w:rFonts w:ascii="Arial" w:cs="Arial" w:eastAsia="Arial" w:hAnsi="Arial"/>
          <w:sz w:val="16"/>
          <w:szCs w:val="16"/>
          <w:color w:val="auto"/>
        </w:rPr>
      </w:pPr>
    </w:p>
    <w:p>
      <w:pPr>
        <w:ind w:left="260" w:right="140" w:firstLine="1288"/>
        <w:spacing w:after="0" w:line="264" w:lineRule="auto"/>
        <w:tabs>
          <w:tab w:leader="none" w:pos="20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81" w:lineRule="exact"/>
        <w:rPr>
          <w:rFonts w:ascii="Arial" w:cs="Arial" w:eastAsia="Arial" w:hAnsi="Arial"/>
          <w:sz w:val="18"/>
          <w:szCs w:val="18"/>
          <w:color w:val="auto"/>
        </w:rPr>
      </w:pPr>
    </w:p>
    <w:p>
      <w:pPr>
        <w:ind w:left="260" w:right="140" w:firstLine="1288"/>
        <w:spacing w:after="0" w:line="293" w:lineRule="auto"/>
        <w:tabs>
          <w:tab w:leader="none" w:pos="2041" w:val="left"/>
        </w:tabs>
        <w:numPr>
          <w:ilvl w:val="0"/>
          <w:numId w:val="68"/>
        </w:numPr>
        <w:rPr>
          <w:rFonts w:ascii="Arial" w:cs="Arial" w:eastAsia="Arial" w:hAnsi="Arial"/>
          <w:sz w:val="16"/>
          <w:szCs w:val="16"/>
          <w:color w:val="auto"/>
        </w:rPr>
      </w:pPr>
      <w:r>
        <w:rPr>
          <w:rFonts w:ascii="Arial" w:cs="Arial" w:eastAsia="Arial" w:hAnsi="Arial"/>
          <w:sz w:val="16"/>
          <w:szCs w:val="16"/>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left="2020" w:hanging="472"/>
        <w:spacing w:after="0"/>
        <w:tabs>
          <w:tab w:leader="none" w:pos="2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Without limiting any other rights or remedies of Administrative Agent or Lenders provided for elsewhere in this Agreement, or the other Loan Documents, or by applicable Law, or in equity, or otherwise (but subject in all cases to Section 4.04):</w:t>
      </w:r>
    </w:p>
    <w:p>
      <w:pPr>
        <w:spacing w:after="0" w:line="147" w:lineRule="exact"/>
        <w:rPr>
          <w:sz w:val="20"/>
          <w:szCs w:val="20"/>
          <w:color w:val="auto"/>
        </w:rPr>
      </w:pPr>
    </w:p>
    <w:p>
      <w:pPr>
        <w:ind w:left="260" w:right="60" w:firstLine="1288"/>
        <w:spacing w:after="0" w:line="257" w:lineRule="auto"/>
        <w:tabs>
          <w:tab w:leader="none" w:pos="20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Administrative Agent may, with the consent of the Required Lenders, and (subject to the terms of Section 9) shall, upon the request of Required Lenders,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w:t>
      </w:r>
    </w:p>
    <w:p>
      <w:pPr>
        <w:spacing w:after="0" w:line="188" w:lineRule="exact"/>
        <w:rPr>
          <w:rFonts w:ascii="Arial" w:cs="Arial" w:eastAsia="Arial" w:hAnsi="Arial"/>
          <w:sz w:val="18"/>
          <w:szCs w:val="18"/>
          <w:color w:val="auto"/>
        </w:rPr>
      </w:pPr>
    </w:p>
    <w:p>
      <w:pPr>
        <w:ind w:left="260" w:firstLine="1288"/>
        <w:spacing w:after="0" w:line="277" w:lineRule="auto"/>
        <w:tabs>
          <w:tab w:leader="none" w:pos="20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(x) following the expiration of the Certain Funds Period, any Event of Default described in Section 8.01(i) occurs or (y) during the Certain Funds Period, an Event of Default described in Section 8.01(i) occurs that is a Major Event of Default, then:</w:t>
      </w:r>
    </w:p>
    <w:p>
      <w:pPr>
        <w:spacing w:after="0" w:line="170" w:lineRule="exact"/>
        <w:rPr>
          <w:rFonts w:ascii="Arial" w:cs="Arial" w:eastAsia="Arial" w:hAnsi="Arial"/>
          <w:sz w:val="18"/>
          <w:szCs w:val="18"/>
          <w:color w:val="auto"/>
        </w:rPr>
      </w:pPr>
    </w:p>
    <w:p>
      <w:pPr>
        <w:ind w:left="1300" w:right="120" w:firstLine="653"/>
        <w:spacing w:after="0" w:line="277" w:lineRule="auto"/>
        <w:tabs>
          <w:tab w:leader="none" w:pos="21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Commitments and all other obligations of Administrative Agent or Lenders shall automatically terminate without notice to or demand upon Borrower, which is expressly waived by Borrower; and</w:t>
      </w:r>
    </w:p>
    <w:p>
      <w:pPr>
        <w:spacing w:after="0" w:line="170" w:lineRule="exact"/>
        <w:rPr>
          <w:rFonts w:ascii="Arial" w:cs="Arial" w:eastAsia="Arial" w:hAnsi="Arial"/>
          <w:sz w:val="18"/>
          <w:szCs w:val="18"/>
          <w:color w:val="auto"/>
        </w:rPr>
      </w:pPr>
    </w:p>
    <w:p>
      <w:pPr>
        <w:ind w:left="1300" w:right="180" w:firstLine="653"/>
        <w:spacing w:after="0" w:line="264" w:lineRule="auto"/>
        <w:tabs>
          <w:tab w:leader="none" w:pos="221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2" w:name="page63"/>
    <w:bookmarkEnd w:id="62"/>
    <w:p>
      <w:pPr>
        <w:ind w:left="11200"/>
        <w:spacing w:after="0"/>
        <w:rPr>
          <w:sz w:val="20"/>
          <w:szCs w:val="20"/>
          <w:color w:val="auto"/>
        </w:rPr>
      </w:pPr>
      <w:r>
        <w:rPr>
          <w:rFonts w:ascii="Arial" w:cs="Arial" w:eastAsia="Arial" w:hAnsi="Arial"/>
          <w:sz w:val="17"/>
          <w:szCs w:val="17"/>
          <w:color w:val="auto"/>
        </w:rPr>
        <w:t>52</w:t>
      </w:r>
    </w:p>
    <w:p>
      <w:pPr>
        <w:spacing w:after="0" w:line="129" w:lineRule="exact"/>
        <w:rPr>
          <w:sz w:val="20"/>
          <w:szCs w:val="20"/>
          <w:color w:val="auto"/>
        </w:rPr>
      </w:pPr>
    </w:p>
    <w:p>
      <w:pPr>
        <w:ind w:left="260" w:right="80" w:firstLine="1288"/>
        <w:spacing w:after="0" w:line="286" w:lineRule="auto"/>
        <w:tabs>
          <w:tab w:leader="none" w:pos="2071"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ind w:left="260" w:right="40" w:firstLine="1288"/>
        <w:spacing w:after="0" w:line="289" w:lineRule="auto"/>
        <w:tabs>
          <w:tab w:leader="none" w:pos="207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167"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Clean-Up Period</w:t>
      </w:r>
      <w:r>
        <w:rPr>
          <w:rFonts w:ascii="Arial" w:cs="Arial" w:eastAsia="Arial" w:hAnsi="Arial"/>
          <w:sz w:val="18"/>
          <w:szCs w:val="18"/>
          <w:color w:val="auto"/>
        </w:rPr>
        <w:t>. Notwithstanding anything in any Loan Document to the contrary, for a period commencing on the Initial Closing Date and ending on the Clean-Up Period Termination Date, any breach of covenants, misrepresentation or other Default or Event of Default which arises with respect to the Target Group only will be deemed not to be a breach of representation or warranty, a breach of covenant, a Default or an Event of Default, as the case may be, if:</w:t>
      </w:r>
    </w:p>
    <w:p>
      <w:pPr>
        <w:spacing w:after="0" w:line="187" w:lineRule="exact"/>
        <w:rPr>
          <w:sz w:val="20"/>
          <w:szCs w:val="20"/>
          <w:color w:val="auto"/>
        </w:rPr>
      </w:pPr>
    </w:p>
    <w:p>
      <w:pPr>
        <w:ind w:left="2060" w:hanging="512"/>
        <w:spacing w:after="0"/>
        <w:tabs>
          <w:tab w:leader="none" w:pos="2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it relates exclusively to the Target Group (or any obligation to procure or ensure any action in relation to the Target Group);</w:t>
      </w:r>
    </w:p>
    <w:p>
      <w:pPr>
        <w:spacing w:after="0" w:line="236" w:lineRule="exact"/>
        <w:rPr>
          <w:rFonts w:ascii="Arial" w:cs="Arial" w:eastAsia="Arial" w:hAnsi="Arial"/>
          <w:sz w:val="17"/>
          <w:szCs w:val="17"/>
          <w:color w:val="auto"/>
        </w:rPr>
      </w:pPr>
    </w:p>
    <w:p>
      <w:pPr>
        <w:ind w:left="2080" w:hanging="532"/>
        <w:spacing w:after="0"/>
        <w:tabs>
          <w:tab w:leader="none" w:pos="2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it is capable of remedy and reasonable steps (consistent with Borrower’s level of control of the Target) are being taken to remedy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260" w:right="300" w:firstLine="1288"/>
        <w:spacing w:after="0" w:line="277" w:lineRule="auto"/>
        <w:tabs>
          <w:tab w:leader="none" w:pos="20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circumstances giving rise to it have not been procured by or approved by Borrower or any of its Subsidiaries (other than a member of the Target Group); and</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is not reasonably likely to have a Material Adverse Effect;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circumstances are continuing on or after the Clean-Up Period Termination Date, there shall be a breach of representation or warranty, breach of covenant, Default or Event of Default, as the case may be, notwithstanding this Section 8.03.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w:t>
      </w:r>
      <w:r>
        <w:rPr>
          <w:rFonts w:ascii="Arial" w:cs="Arial" w:eastAsia="Arial" w:hAnsi="Arial"/>
          <w:sz w:val="18"/>
          <w:szCs w:val="18"/>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3" w:name="page64"/>
    <w:bookmarkEnd w:id="63"/>
    <w:p>
      <w:pPr>
        <w:ind w:left="11200"/>
        <w:spacing w:after="0"/>
        <w:rPr>
          <w:sz w:val="20"/>
          <w:szCs w:val="20"/>
          <w:color w:val="auto"/>
        </w:rPr>
      </w:pPr>
      <w:r>
        <w:rPr>
          <w:rFonts w:ascii="Arial" w:cs="Arial" w:eastAsia="Arial" w:hAnsi="Arial"/>
          <w:sz w:val="17"/>
          <w:szCs w:val="17"/>
          <w:color w:val="auto"/>
        </w:rPr>
        <w:t>53</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 The provisions of this Section are solely for the benefit of the Administrative Agent and the Lenders, and the Borrower shall not have rights as a third party beneficiary of any of such provisions (other than as provided in Section 9.09 below).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6" w:lineRule="exact"/>
        <w:rPr>
          <w:sz w:val="20"/>
          <w:szCs w:val="20"/>
          <w:color w:val="auto"/>
        </w:rPr>
      </w:pPr>
    </w:p>
    <w:p>
      <w:pPr>
        <w:ind w:right="80" w:firstLine="1297"/>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6"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4" w:name="page65"/>
    <w:bookmarkEnd w:id="64"/>
    <w:p>
      <w:pPr>
        <w:ind w:left="11200"/>
        <w:spacing w:after="0"/>
        <w:rPr>
          <w:sz w:val="20"/>
          <w:szCs w:val="20"/>
          <w:color w:val="auto"/>
        </w:rPr>
      </w:pPr>
      <w:r>
        <w:rPr>
          <w:rFonts w:ascii="Arial" w:cs="Arial" w:eastAsia="Arial" w:hAnsi="Arial"/>
          <w:sz w:val="18"/>
          <w:szCs w:val="18"/>
          <w:color w:val="auto"/>
        </w:rPr>
        <w:t>54</w:t>
      </w:r>
    </w:p>
    <w:p>
      <w:pPr>
        <w:spacing w:after="0" w:line="117" w:lineRule="exact"/>
        <w:rPr>
          <w:sz w:val="20"/>
          <w:szCs w:val="20"/>
          <w:color w:val="auto"/>
        </w:rPr>
      </w:pPr>
    </w:p>
    <w:p>
      <w:pPr>
        <w:ind w:right="40" w:firstLine="1305"/>
        <w:spacing w:after="0" w:line="259" w:lineRule="auto"/>
        <w:tabs>
          <w:tab w:leader="none" w:pos="15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8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85"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each Agent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ind w:left="11200"/>
        <w:spacing w:after="0"/>
        <w:rPr>
          <w:sz w:val="20"/>
          <w:szCs w:val="20"/>
          <w:color w:val="auto"/>
        </w:rPr>
      </w:pPr>
      <w:r>
        <w:rPr>
          <w:rFonts w:ascii="Arial" w:cs="Arial" w:eastAsia="Arial" w:hAnsi="Arial"/>
          <w:sz w:val="18"/>
          <w:szCs w:val="18"/>
          <w:color w:val="auto"/>
        </w:rPr>
        <w:t>55</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81"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9.08 </w:t>
      </w:r>
      <w:r>
        <w:rPr>
          <w:rFonts w:ascii="Arial" w:cs="Arial" w:eastAsia="Arial" w:hAnsi="Arial"/>
          <w:sz w:val="17"/>
          <w:szCs w:val="17"/>
          <w:u w:val="single" w:color="auto"/>
          <w:color w:val="auto"/>
        </w:rPr>
        <w:t>Agent in Its Individual Capacity</w:t>
      </w:r>
      <w:r>
        <w:rPr>
          <w:rFonts w:ascii="Arial" w:cs="Arial" w:eastAsia="Arial" w:hAnsi="Arial"/>
          <w:sz w:val="17"/>
          <w:szCs w:val="17"/>
          <w:color w:val="auto"/>
        </w:rPr>
        <w:t>. Each Agent and its affiliates may make loans to, accept deposits from and generally engage in any kind of business with any Loan Party and its affiliates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71" w:lineRule="exact"/>
        <w:rPr>
          <w:sz w:val="20"/>
          <w:szCs w:val="20"/>
          <w:color w:val="auto"/>
        </w:rPr>
      </w:pPr>
    </w:p>
    <w:p>
      <w:pPr>
        <w:ind w:right="220" w:firstLine="1297"/>
        <w:spacing w:after="0" w:line="28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w:t>
      </w:r>
    </w:p>
    <w:p>
      <w:pPr>
        <w:spacing w:after="0" w:line="281" w:lineRule="auto"/>
        <w:rPr>
          <w:sz w:val="20"/>
          <w:szCs w:val="20"/>
          <w:color w:val="auto"/>
        </w:rPr>
      </w:pPr>
      <w:r>
        <w:rPr>
          <w:rFonts w:ascii="Arial" w:cs="Arial" w:eastAsia="Arial" w:hAnsi="Arial"/>
          <w:sz w:val="16"/>
          <w:szCs w:val="16"/>
          <w:color w:val="auto"/>
        </w:rPr>
        <w:t>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 After the retiring Administrative Agent’s resignation hereunder and under the other Loan Documents, the provisions of this Section and Sections 10.03 and</w:t>
      </w:r>
    </w:p>
    <w:p>
      <w:pPr>
        <w:spacing w:after="0" w:line="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10.13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in respect of any actions taken in connection with transferring the agency to any successor Administrative Agent.</w:t>
      </w:r>
    </w:p>
    <w:p>
      <w:pPr>
        <w:spacing w:after="0" w:line="190"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Syndication Agent</w:t>
      </w:r>
      <w:r>
        <w:rPr>
          <w:rFonts w:ascii="Arial" w:cs="Arial" w:eastAsia="Arial" w:hAnsi="Arial"/>
          <w:sz w:val="18"/>
          <w:szCs w:val="18"/>
          <w:color w:val="auto"/>
        </w:rPr>
        <w:t>. Neither Syndication Agent nor any Person identified on the cover page of this Agreement as a Joint Lead Arranger and Joint Bookrunner shall have any right, power, obligation, liability, responsibility or duty hereunder in its capacity as such. Without limiting the foregoing, Syndication Agent in its capacity as such shall not have or be deemed to have any fiduciary relationship with any Lender. Each Lender acknowledges that it has not relied, and will not rely, on Syndication Agent in deciding to enter into this Agreement or in taking or not taking action hereunder.</w:t>
      </w:r>
    </w:p>
    <w:p>
      <w:pPr>
        <w:spacing w:after="0" w:line="18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342" w:lineRule="auto"/>
        <w:tabs>
          <w:tab w:leader="none" w:pos="20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6" w:name="page67"/>
    <w:bookmarkEnd w:id="66"/>
    <w:p>
      <w:pPr>
        <w:ind w:left="10940"/>
        <w:spacing w:after="0"/>
        <w:rPr>
          <w:sz w:val="20"/>
          <w:szCs w:val="20"/>
          <w:color w:val="auto"/>
        </w:rPr>
      </w:pPr>
      <w:r>
        <w:rPr>
          <w:rFonts w:ascii="Arial" w:cs="Arial" w:eastAsia="Arial" w:hAnsi="Arial"/>
          <w:sz w:val="18"/>
          <w:szCs w:val="18"/>
          <w:color w:val="auto"/>
        </w:rPr>
        <w:t>56</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Arranger and their respective Affiliates, and not, for the avoidance of doubt, to or for the benefit of Borrower or any other Loan Party, that at least one of the following is and will be true:</w:t>
      </w:r>
    </w:p>
    <w:p>
      <w:pPr>
        <w:spacing w:after="0" w:line="170" w:lineRule="exact"/>
        <w:rPr>
          <w:sz w:val="20"/>
          <w:szCs w:val="20"/>
          <w:color w:val="auto"/>
        </w:rPr>
      </w:pPr>
    </w:p>
    <w:p>
      <w:pPr>
        <w:ind w:left="1040" w:right="20" w:firstLine="653"/>
        <w:spacing w:after="0" w:line="277" w:lineRule="auto"/>
        <w:tabs>
          <w:tab w:leader="none" w:pos="1903"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or the Commitments,</w:t>
      </w:r>
    </w:p>
    <w:p>
      <w:pPr>
        <w:spacing w:after="0" w:line="170" w:lineRule="exact"/>
        <w:rPr>
          <w:rFonts w:ascii="Arial" w:cs="Arial" w:eastAsia="Arial" w:hAnsi="Arial"/>
          <w:sz w:val="18"/>
          <w:szCs w:val="18"/>
          <w:color w:val="auto"/>
        </w:rPr>
      </w:pPr>
    </w:p>
    <w:p>
      <w:pPr>
        <w:ind w:left="1040" w:right="200" w:firstLine="653"/>
        <w:spacing w:after="0" w:line="273" w:lineRule="auto"/>
        <w:tabs>
          <w:tab w:leader="none" w:pos="1953"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8" w:lineRule="exact"/>
        <w:rPr>
          <w:rFonts w:ascii="Arial" w:cs="Arial" w:eastAsia="Arial" w:hAnsi="Arial"/>
          <w:sz w:val="17"/>
          <w:szCs w:val="17"/>
          <w:color w:val="auto"/>
        </w:rPr>
      </w:pPr>
    </w:p>
    <w:p>
      <w:pPr>
        <w:ind w:left="1040" w:right="20" w:firstLine="653"/>
        <w:spacing w:after="0" w:line="255" w:lineRule="auto"/>
        <w:tabs>
          <w:tab w:leader="none" w:pos="200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9" w:lineRule="exact"/>
        <w:rPr>
          <w:rFonts w:ascii="Arial" w:cs="Arial" w:eastAsia="Arial" w:hAnsi="Arial"/>
          <w:sz w:val="18"/>
          <w:szCs w:val="18"/>
          <w:color w:val="auto"/>
        </w:rPr>
      </w:pPr>
    </w:p>
    <w:p>
      <w:pPr>
        <w:ind w:left="1040" w:right="540" w:firstLine="653"/>
        <w:spacing w:after="0" w:line="277" w:lineRule="auto"/>
        <w:tabs>
          <w:tab w:leader="none" w:pos="19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Administrative Agent, in its sole discretion, and such Lender.</w:t>
      </w:r>
    </w:p>
    <w:p>
      <w:pPr>
        <w:spacing w:after="0" w:line="170" w:lineRule="exact"/>
        <w:rPr>
          <w:rFonts w:ascii="Arial" w:cs="Arial" w:eastAsia="Arial" w:hAnsi="Arial"/>
          <w:sz w:val="18"/>
          <w:szCs w:val="18"/>
          <w:color w:val="auto"/>
        </w:rPr>
      </w:pPr>
    </w:p>
    <w:p>
      <w:pPr>
        <w:ind w:firstLine="1288"/>
        <w:spacing w:after="0" w:line="276" w:lineRule="auto"/>
        <w:tabs>
          <w:tab w:leader="none" w:pos="182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addition, unless Section 9.11(a)(i)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w:t>
      </w:r>
    </w:p>
    <w:p>
      <w:pPr>
        <w:spacing w:after="0" w:line="172" w:lineRule="exact"/>
        <w:rPr>
          <w:rFonts w:ascii="Arial" w:cs="Arial" w:eastAsia="Arial" w:hAnsi="Arial"/>
          <w:sz w:val="17"/>
          <w:szCs w:val="17"/>
          <w:color w:val="auto"/>
        </w:rPr>
      </w:pPr>
    </w:p>
    <w:p>
      <w:pPr>
        <w:jc w:val="both"/>
        <w:ind w:left="1040" w:right="320" w:firstLine="653"/>
        <w:spacing w:after="0" w:line="264" w:lineRule="auto"/>
        <w:tabs>
          <w:tab w:leader="none" w:pos="1903"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none of Administrative Agent or any Arranger or any of their respective Affiliates is a fiduciary with respect to the assets of such Lender (including in connection with the reservation or exercise of any rights by Administrative Agent under this Agreement, any other Loan Document or any documents related to hereto or thereto),</w:t>
      </w:r>
    </w:p>
    <w:p>
      <w:pPr>
        <w:spacing w:after="0" w:line="181" w:lineRule="exact"/>
        <w:rPr>
          <w:rFonts w:ascii="Arial" w:cs="Arial" w:eastAsia="Arial" w:hAnsi="Arial"/>
          <w:sz w:val="18"/>
          <w:szCs w:val="18"/>
          <w:color w:val="auto"/>
        </w:rPr>
      </w:pPr>
    </w:p>
    <w:p>
      <w:pPr>
        <w:ind w:left="1040" w:right="160" w:firstLine="653"/>
        <w:spacing w:after="0" w:line="279" w:lineRule="auto"/>
        <w:tabs>
          <w:tab w:leader="none" w:pos="1953"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314960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67" w:name="page68"/>
    <w:bookmarkEnd w:id="67"/>
    <w:p>
      <w:pPr>
        <w:ind w:left="11200"/>
        <w:spacing w:after="0"/>
        <w:rPr>
          <w:sz w:val="20"/>
          <w:szCs w:val="20"/>
          <w:color w:val="auto"/>
        </w:rPr>
      </w:pPr>
      <w:r>
        <w:rPr>
          <w:rFonts w:ascii="Arial" w:cs="Arial" w:eastAsia="Arial" w:hAnsi="Arial"/>
          <w:sz w:val="17"/>
          <w:szCs w:val="17"/>
          <w:color w:val="auto"/>
        </w:rPr>
        <w:t>57</w:t>
      </w:r>
    </w:p>
    <w:p>
      <w:pPr>
        <w:spacing w:after="0" w:line="129" w:lineRule="exact"/>
        <w:rPr>
          <w:sz w:val="20"/>
          <w:szCs w:val="20"/>
          <w:color w:val="auto"/>
        </w:rPr>
      </w:pPr>
    </w:p>
    <w:p>
      <w:pPr>
        <w:ind w:left="1300" w:right="80" w:firstLine="653"/>
        <w:spacing w:after="0" w:line="312" w:lineRule="auto"/>
        <w:tabs>
          <w:tab w:leader="none" w:pos="2263"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6"/>
          <w:szCs w:val="16"/>
          <w:color w:val="auto"/>
        </w:rPr>
      </w:pPr>
    </w:p>
    <w:p>
      <w:pPr>
        <w:ind w:left="1300" w:right="180" w:firstLine="653"/>
        <w:spacing w:after="0" w:line="259" w:lineRule="auto"/>
        <w:tabs>
          <w:tab w:leader="none" w:pos="2253"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1300" w:right="180" w:firstLine="653"/>
        <w:spacing w:after="0" w:line="308" w:lineRule="auto"/>
        <w:tabs>
          <w:tab w:leader="none" w:pos="2203" w:val="left"/>
        </w:tabs>
        <w:numPr>
          <w:ilvl w:val="1"/>
          <w:numId w:val="77"/>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Administrative Agent or any Arranger or any their respective Affiliates for investment advice (as opposed to other services) in connection with the Loans, the Commitments or this Agreement.</w:t>
      </w:r>
    </w:p>
    <w:p>
      <w:pPr>
        <w:spacing w:after="0" w:line="146" w:lineRule="exact"/>
        <w:rPr>
          <w:rFonts w:ascii="Arial" w:cs="Arial" w:eastAsia="Arial" w:hAnsi="Arial"/>
          <w:sz w:val="17"/>
          <w:szCs w:val="17"/>
          <w:color w:val="auto"/>
        </w:rPr>
      </w:pPr>
    </w:p>
    <w:p>
      <w:pPr>
        <w:ind w:left="260" w:firstLine="1288"/>
        <w:spacing w:after="0" w:line="270" w:lineRule="auto"/>
        <w:tabs>
          <w:tab w:leader="none" w:pos="2061" w:val="left"/>
        </w:tabs>
        <w:numPr>
          <w:ilvl w:val="0"/>
          <w:numId w:val="78"/>
        </w:numPr>
        <w:rPr>
          <w:rFonts w:ascii="Arial" w:cs="Arial" w:eastAsia="Arial" w:hAnsi="Arial"/>
          <w:sz w:val="17"/>
          <w:szCs w:val="17"/>
          <w:color w:val="auto"/>
        </w:rPr>
      </w:pPr>
      <w:r>
        <w:rPr>
          <w:rFonts w:ascii="Arial" w:cs="Arial" w:eastAsia="Arial" w:hAnsi="Arial"/>
          <w:sz w:val="17"/>
          <w:szCs w:val="17"/>
          <w:color w:val="auto"/>
        </w:rPr>
        <w:t>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or by the other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10.01 </w:t>
      </w:r>
      <w:r>
        <w:rPr>
          <w:rFonts w:ascii="Arial" w:cs="Arial" w:eastAsia="Arial" w:hAnsi="Arial"/>
          <w:sz w:val="17"/>
          <w:szCs w:val="17"/>
          <w:u w:val="single" w:color="auto"/>
          <w:color w:val="auto"/>
        </w:rPr>
        <w:t>Amendments; Consents</w:t>
      </w:r>
      <w:r>
        <w:rPr>
          <w:rFonts w:ascii="Arial" w:cs="Arial" w:eastAsia="Arial" w:hAnsi="Arial"/>
          <w:sz w:val="17"/>
          <w:szCs w:val="17"/>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(or, if such amendment, modification, supplement, extension, termination or waiver relates only to or only affects (u) the 3-Year Tranche Term Commitments and/or the 3-Year Tranche Term Loans, the Required 3-Year Tranche Lenders (v) the 3-Year Sterling Tranche Term Loans, the Required 3-Year Sterling Tranche Lenders, (w) the 3-Year Dollar Tranche Term Loans, the Required 3-Year Dollar Tranche Lenders, (x) the 5-Year Tranche Term Commitments and/or the 5-Year Tranche Term Loans, the Required 5-Year Tranche Lenders, (y) the 5-Year Sterling Tranche Term Loans, the Required 5-Year Sterling Tranche Lenders or (z) the 5-Year Dollar Tranche Term Loans, the Required 5-Year Dollar Tranche Lenders) and acknowledged by Administrative Agent (or signed by Administrative Agent with the prior written consent of Required Lenders, the Required 3-Year Tranche Lenders, the Required 3-Year Sterling Tranche Lenders, Required 3-Year Dollar Tranche Lenders, the Required 5-Year Tranche Lenders, Required 5-Year Sterling Tranche Lenders or the Required 5-Year Dollar Tranche Lenders, as applicable), and each such waiver or consent shall be effective only in the specific instance and for the specific purpose for which given. Notwithstanding the foregoing sentence, without the approval in writing of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8" w:name="page69"/>
    <w:bookmarkEnd w:id="68"/>
    <w:p>
      <w:pPr>
        <w:ind w:left="11200"/>
        <w:spacing w:after="0"/>
        <w:rPr>
          <w:sz w:val="20"/>
          <w:szCs w:val="20"/>
          <w:color w:val="auto"/>
        </w:rPr>
      </w:pPr>
      <w:r>
        <w:rPr>
          <w:rFonts w:ascii="Arial" w:cs="Arial" w:eastAsia="Arial" w:hAnsi="Arial"/>
          <w:sz w:val="18"/>
          <w:szCs w:val="18"/>
          <w:color w:val="auto"/>
        </w:rPr>
        <w:t>58</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Administrative Agent and each Lender directly and adversely affected thereby, no amendment, modification, supplement, termination, waiver, approval, or consent may be effective to:</w:t>
      </w:r>
    </w:p>
    <w:p>
      <w:pPr>
        <w:spacing w:after="0" w:line="170" w:lineRule="exact"/>
        <w:rPr>
          <w:sz w:val="20"/>
          <w:szCs w:val="20"/>
          <w:color w:val="auto"/>
        </w:rPr>
      </w:pPr>
    </w:p>
    <w:p>
      <w:pPr>
        <w:ind w:left="2060" w:hanging="512"/>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Obligations owed to such Lender;</w:t>
      </w:r>
    </w:p>
    <w:p>
      <w:pPr>
        <w:spacing w:after="0" w:line="225" w:lineRule="exact"/>
        <w:rPr>
          <w:rFonts w:ascii="Arial" w:cs="Arial" w:eastAsia="Arial" w:hAnsi="Arial"/>
          <w:sz w:val="18"/>
          <w:szCs w:val="18"/>
          <w:color w:val="auto"/>
        </w:rPr>
      </w:pPr>
    </w:p>
    <w:p>
      <w:pPr>
        <w:ind w:left="260" w:right="40" w:firstLine="1288"/>
        <w:spacing w:after="0" w:line="264" w:lineRule="auto"/>
        <w:tabs>
          <w:tab w:leader="none" w:pos="20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 and amendments may otherwise be made in accordance with Section 3.03;</w:t>
      </w:r>
    </w:p>
    <w:p>
      <w:pPr>
        <w:spacing w:after="0" w:line="181" w:lineRule="exact"/>
        <w:rPr>
          <w:rFonts w:ascii="Arial" w:cs="Arial" w:eastAsia="Arial" w:hAnsi="Arial"/>
          <w:sz w:val="18"/>
          <w:szCs w:val="18"/>
          <w:color w:val="auto"/>
        </w:rPr>
      </w:pPr>
    </w:p>
    <w:p>
      <w:pPr>
        <w:ind w:left="260" w:right="120" w:firstLine="1288"/>
        <w:spacing w:after="0" w:line="277" w:lineRule="auto"/>
        <w:tabs>
          <w:tab w:leader="none" w:pos="20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170" w:lineRule="exact"/>
        <w:rPr>
          <w:rFonts w:ascii="Arial" w:cs="Arial" w:eastAsia="Arial" w:hAnsi="Arial"/>
          <w:sz w:val="18"/>
          <w:szCs w:val="18"/>
          <w:color w:val="auto"/>
        </w:rPr>
      </w:pPr>
    </w:p>
    <w:p>
      <w:pPr>
        <w:jc w:val="both"/>
        <w:ind w:left="260" w:firstLine="1288"/>
        <w:spacing w:after="0" w:line="279" w:lineRule="auto"/>
        <w:tabs>
          <w:tab w:leader="none" w:pos="2081" w:val="left"/>
        </w:tabs>
        <w:numPr>
          <w:ilvl w:val="0"/>
          <w:numId w:val="79"/>
        </w:numPr>
        <w:rPr>
          <w:rFonts w:ascii="Arial" w:cs="Arial" w:eastAsia="Arial" w:hAnsi="Arial"/>
          <w:sz w:val="17"/>
          <w:szCs w:val="17"/>
          <w:color w:val="auto"/>
        </w:rPr>
      </w:pPr>
      <w:r>
        <w:rPr>
          <w:rFonts w:ascii="Arial" w:cs="Arial" w:eastAsia="Arial" w:hAnsi="Arial"/>
          <w:sz w:val="17"/>
          <w:szCs w:val="17"/>
          <w:color w:val="auto"/>
        </w:rPr>
        <w:t>Postpone any date scheduled for the payment of principal of, or interest on, any Loan or for the payment of any commitment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such Lender’s share of the Commitments (except as contemplated hereby);</w:t>
      </w:r>
    </w:p>
    <w:p>
      <w:pPr>
        <w:spacing w:after="0" w:line="171" w:lineRule="exact"/>
        <w:rPr>
          <w:rFonts w:ascii="Arial" w:cs="Arial" w:eastAsia="Arial" w:hAnsi="Arial"/>
          <w:sz w:val="17"/>
          <w:szCs w:val="17"/>
          <w:color w:val="auto"/>
        </w:rPr>
      </w:pPr>
    </w:p>
    <w:p>
      <w:pPr>
        <w:jc w:val="both"/>
        <w:ind w:left="260" w:right="140" w:firstLine="1288"/>
        <w:spacing w:after="0" w:line="264" w:lineRule="auto"/>
        <w:tabs>
          <w:tab w:leader="none" w:pos="20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Amend or waive the definition of “Required Lenders”, “Required 3-Year Tranche Lenders”, “Required 3-Year Sterling Tranche Lenders”, “Required 3-Year Dollar Tranche Lenders”, “Required 5-Year Tranche Lenders”, “Required 5-Year Sterling Tranche Lenders” or “Required 5-Year Dollar Tranche Lenders” or the provisions of </w:t>
      </w:r>
      <w:r>
        <w:rPr>
          <w:rFonts w:ascii="Arial" w:cs="Arial" w:eastAsia="Arial" w:hAnsi="Arial"/>
          <w:sz w:val="18"/>
          <w:szCs w:val="18"/>
          <w:u w:val="single" w:color="auto"/>
          <w:color w:val="auto"/>
        </w:rPr>
        <w:t>Section 8.02(d)</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40" w:hanging="492"/>
        <w:spacing w:after="0"/>
        <w:tabs>
          <w:tab w:leader="none" w:pos="2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Amend or extend the “Certain Funds Period” or the “Certain Funds Termination Date”;</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Amend or extend the June 30, 2018 effectiveness deadline in </w:t>
      </w:r>
      <w:r>
        <w:rPr>
          <w:rFonts w:ascii="Arial" w:cs="Arial" w:eastAsia="Arial" w:hAnsi="Arial"/>
          <w:sz w:val="18"/>
          <w:szCs w:val="18"/>
          <w:u w:val="single" w:color="auto"/>
          <w:color w:val="auto"/>
        </w:rPr>
        <w:t>Section 4.01</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provided, however, that (i) no amendment, waiver or consent shall, unless in writing and signed by Administrative Agent in addition to Required Lenders or each affected Lender, as the case may be, affect the rights or duties of Administrative Agent, (ii) any fee letters may be amended, or rights or privileges thereunder waived, in a writing executed by the parties thereto, (iii) except as otherwise contemplated hereunder, without the written consent of all Lenders of a Class, no amendment, waiver or consent shall release all or substantially all of Guarantors from their obligations under the Guarantee Agreement with respect to the Loans of such Class and (iv) without the written consent of all Lenders of a Class, no amendment, waiver or consent shall change the currency of any Loan of such Class or other amount outstanding hereunder.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consent or waiver of any provision of this Agreement or any other Loan Document that requires the consent of each of the Lenders (or each of the Lenders of a Class) or each of the Lenders (or each of the Lenders of a Class) directly and adversely affected thereby, so long as the consent of Required Lenders, the Required 3-Year Tranche Lenders, the Required 3-Year Sterling Tranche Lenders, the Required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p>
      <w:pPr>
        <w:ind w:left="11200"/>
        <w:spacing w:after="0"/>
        <w:rPr>
          <w:sz w:val="20"/>
          <w:szCs w:val="20"/>
          <w:color w:val="auto"/>
        </w:rPr>
      </w:pPr>
      <w:r>
        <w:rPr>
          <w:rFonts w:ascii="Arial" w:cs="Arial" w:eastAsia="Arial" w:hAnsi="Arial"/>
          <w:sz w:val="18"/>
          <w:szCs w:val="18"/>
          <w:color w:val="auto"/>
        </w:rPr>
        <w:t>59</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Year Dollar Tranche Lenders, the Required 5-Year Tranche Lenders, the Required 5-Year Sterling Tranche Lenders or the Required 5-Year Dollar Tranche Lenders, as applicable, has been obtained, Borrower shall be permitted to remove or replace such Lender in accordance with Section 10.21.</w:t>
      </w:r>
    </w:p>
    <w:p>
      <w:pPr>
        <w:spacing w:after="0" w:line="12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Requisite Notice;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left="260" w:right="40" w:firstLine="1288"/>
        <w:spacing w:after="0" w:line="257" w:lineRule="auto"/>
        <w:tabs>
          <w:tab w:leader="none" w:pos="20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and Administrative Agent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Mode of Delivery</w:t>
            </w:r>
          </w:p>
        </w:tc>
        <w:tc>
          <w:tcPr>
            <w:tcW w:w="2640" w:type="dxa"/>
            <w:vAlign w:val="bottom"/>
          </w:tcPr>
          <w:p>
            <w:pPr>
              <w:spacing w:after="0"/>
              <w:rPr>
                <w:sz w:val="17"/>
                <w:szCs w:val="17"/>
                <w:color w:val="auto"/>
              </w:rPr>
            </w:pPr>
          </w:p>
        </w:tc>
        <w:tc>
          <w:tcPr>
            <w:tcW w:w="7400" w:type="dxa"/>
            <w:vAlign w:val="bottom"/>
          </w:tcPr>
          <w:p>
            <w:pPr>
              <w:spacing w:after="0"/>
              <w:rPr>
                <w:sz w:val="17"/>
                <w:szCs w:val="17"/>
                <w:color w:val="auto"/>
              </w:rPr>
            </w:pPr>
          </w:p>
        </w:tc>
      </w:tr>
      <w:tr>
        <w:trPr>
          <w:trHeight w:val="398"/>
        </w:trPr>
        <w:tc>
          <w:tcPr>
            <w:tcW w:w="3940" w:type="dxa"/>
            <w:vAlign w:val="bottom"/>
            <w:gridSpan w:val="2"/>
          </w:tcPr>
          <w:p>
            <w:pPr>
              <w:spacing w:after="0"/>
              <w:rPr>
                <w:sz w:val="20"/>
                <w:szCs w:val="20"/>
                <w:color w:val="auto"/>
              </w:rPr>
            </w:pPr>
            <w:r>
              <w:rPr>
                <w:rFonts w:ascii="Arial" w:cs="Arial" w:eastAsia="Arial" w:hAnsi="Arial"/>
                <w:sz w:val="18"/>
                <w:szCs w:val="18"/>
                <w:color w:val="auto"/>
              </w:rPr>
              <w:t>Mail</w:t>
            </w:r>
          </w:p>
        </w:tc>
        <w:tc>
          <w:tcPr>
            <w:tcW w:w="7400" w:type="dxa"/>
            <w:vAlign w:val="bottom"/>
          </w:tcPr>
          <w:p>
            <w:pPr>
              <w:ind w:left="2040"/>
              <w:spacing w:after="0"/>
              <w:rPr>
                <w:sz w:val="20"/>
                <w:szCs w:val="20"/>
                <w:color w:val="auto"/>
              </w:rPr>
            </w:pPr>
            <w:r>
              <w:rPr>
                <w:rFonts w:ascii="Arial" w:cs="Arial" w:eastAsia="Arial" w:hAnsi="Arial"/>
                <w:sz w:val="18"/>
                <w:szCs w:val="18"/>
                <w:color w:val="auto"/>
                <w:w w:val="91"/>
              </w:rPr>
              <w:t>Effective on earlier of actual receipt and fourth Business Day after deposit</w:t>
            </w:r>
          </w:p>
        </w:tc>
      </w:tr>
      <w:tr>
        <w:trPr>
          <w:trHeight w:val="230"/>
        </w:trPr>
        <w:tc>
          <w:tcPr>
            <w:tcW w:w="1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400" w:type="dxa"/>
            <w:vAlign w:val="bottom"/>
          </w:tcPr>
          <w:p>
            <w:pPr>
              <w:ind w:left="2040"/>
              <w:spacing w:after="0"/>
              <w:rPr>
                <w:sz w:val="20"/>
                <w:szCs w:val="20"/>
                <w:color w:val="auto"/>
              </w:rPr>
            </w:pPr>
            <w:r>
              <w:rPr>
                <w:rFonts w:ascii="Arial" w:cs="Arial" w:eastAsia="Arial" w:hAnsi="Arial"/>
                <w:sz w:val="18"/>
                <w:szCs w:val="18"/>
                <w:color w:val="auto"/>
              </w:rPr>
              <w:t>in U.S. Mail, first class postage pre-paid</w:t>
            </w:r>
          </w:p>
        </w:tc>
      </w:tr>
      <w:tr>
        <w:trPr>
          <w:trHeight w:val="392"/>
        </w:trPr>
        <w:tc>
          <w:tcPr>
            <w:tcW w:w="394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400" w:type="dxa"/>
            <w:vAlign w:val="bottom"/>
          </w:tcPr>
          <w:p>
            <w:pPr>
              <w:ind w:left="2040"/>
              <w:spacing w:after="0"/>
              <w:rPr>
                <w:sz w:val="20"/>
                <w:szCs w:val="20"/>
                <w:color w:val="auto"/>
              </w:rPr>
            </w:pPr>
            <w:r>
              <w:rPr>
                <w:rFonts w:ascii="Arial" w:cs="Arial" w:eastAsia="Arial" w:hAnsi="Arial"/>
                <w:sz w:val="18"/>
                <w:szCs w:val="18"/>
                <w:color w:val="auto"/>
              </w:rPr>
              <w:t>When received</w:t>
            </w:r>
          </w:p>
        </w:tc>
      </w:tr>
      <w:tr>
        <w:trPr>
          <w:trHeight w:val="392"/>
        </w:trPr>
        <w:tc>
          <w:tcPr>
            <w:tcW w:w="394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400" w:type="dxa"/>
            <w:vAlign w:val="bottom"/>
          </w:tcPr>
          <w:p>
            <w:pPr>
              <w:ind w:left="204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377"/>
        </w:trPr>
        <w:tc>
          <w:tcPr>
            <w:tcW w:w="394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400" w:type="dxa"/>
            <w:vAlign w:val="bottom"/>
          </w:tcPr>
          <w:p>
            <w:pPr>
              <w:ind w:left="2040"/>
              <w:spacing w:after="0"/>
              <w:rPr>
                <w:sz w:val="20"/>
                <w:szCs w:val="20"/>
                <w:color w:val="auto"/>
              </w:rPr>
            </w:pPr>
            <w:r>
              <w:rPr>
                <w:rFonts w:ascii="Arial" w:cs="Arial" w:eastAsia="Arial" w:hAnsi="Arial"/>
                <w:sz w:val="18"/>
                <w:szCs w:val="18"/>
                <w:color w:val="auto"/>
                <w:w w:val="92"/>
              </w:rPr>
              <w:t>When sent (except that, if not given during normal business hours for the</w:t>
            </w:r>
          </w:p>
        </w:tc>
      </w:tr>
      <w:tr>
        <w:trPr>
          <w:trHeight w:val="216"/>
        </w:trPr>
        <w:tc>
          <w:tcPr>
            <w:tcW w:w="1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0" w:type="dxa"/>
            <w:vAlign w:val="bottom"/>
          </w:tcPr>
          <w:p>
            <w:pPr>
              <w:ind w:left="2040"/>
              <w:spacing w:after="0"/>
              <w:rPr>
                <w:sz w:val="20"/>
                <w:szCs w:val="20"/>
                <w:color w:val="auto"/>
              </w:rPr>
            </w:pPr>
            <w:r>
              <w:rPr>
                <w:rFonts w:ascii="Arial" w:cs="Arial" w:eastAsia="Arial" w:hAnsi="Arial"/>
                <w:sz w:val="18"/>
                <w:szCs w:val="18"/>
                <w:color w:val="auto"/>
                <w:w w:val="95"/>
              </w:rPr>
              <w:t>recipient, shall be deemed to be giving at opening of business on next</w:t>
            </w:r>
          </w:p>
        </w:tc>
      </w:tr>
      <w:tr>
        <w:trPr>
          <w:trHeight w:val="230"/>
        </w:trPr>
        <w:tc>
          <w:tcPr>
            <w:tcW w:w="1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400" w:type="dxa"/>
            <w:vAlign w:val="bottom"/>
          </w:tcPr>
          <w:p>
            <w:pPr>
              <w:ind w:left="2040"/>
              <w:spacing w:after="0"/>
              <w:rPr>
                <w:sz w:val="20"/>
                <w:szCs w:val="20"/>
                <w:color w:val="auto"/>
              </w:rPr>
            </w:pPr>
            <w:r>
              <w:rPr>
                <w:rFonts w:ascii="Arial" w:cs="Arial" w:eastAsia="Arial" w:hAnsi="Arial"/>
                <w:sz w:val="18"/>
                <w:szCs w:val="18"/>
                <w:color w:val="auto"/>
              </w:rPr>
              <w:t>Business Day for recipient)</w:t>
            </w:r>
          </w:p>
        </w:tc>
      </w:tr>
      <w:tr>
        <w:trPr>
          <w:trHeight w:val="392"/>
        </w:trPr>
        <w:tc>
          <w:tcPr>
            <w:tcW w:w="394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400" w:type="dxa"/>
            <w:vAlign w:val="bottom"/>
          </w:tcPr>
          <w:p>
            <w:pPr>
              <w:ind w:left="2040"/>
              <w:spacing w:after="0"/>
              <w:rPr>
                <w:sz w:val="20"/>
                <w:szCs w:val="20"/>
                <w:color w:val="auto"/>
              </w:rPr>
            </w:pPr>
            <w:r>
              <w:rPr>
                <w:rFonts w:ascii="Arial" w:cs="Arial" w:eastAsia="Arial" w:hAnsi="Arial"/>
                <w:sz w:val="18"/>
                <w:szCs w:val="18"/>
                <w:color w:val="auto"/>
              </w:rPr>
              <w:t>When delivered (usage subject to subsection (b) below)</w:t>
            </w:r>
          </w:p>
        </w:tc>
      </w:tr>
    </w:tbl>
    <w:p>
      <w:pPr>
        <w:spacing w:after="0" w:line="161" w:lineRule="exact"/>
        <w:rPr>
          <w:sz w:val="20"/>
          <w:szCs w:val="20"/>
          <w:color w:val="auto"/>
        </w:rPr>
      </w:pPr>
    </w:p>
    <w:p>
      <w:pPr>
        <w:ind w:left="260" w:firstLine="1288"/>
        <w:spacing w:after="0" w:line="255" w:lineRule="auto"/>
        <w:tabs>
          <w:tab w:leader="none" w:pos="208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Notices and other communications to the Lenders hereunder may be delivered or furnished by Electronic Communication pursuant to procedures approved by the Administrative Agent; provided that the foregoing shall not apply to notices to any Lender pursuant to Section 2 if such Lender has notified the Administrative Agent that it is incapable of receiving notices under such Section by Electronic Communications.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above, if such notice, email or other communication is not sent during the normal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60</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hours of the recipient, such notice, email or communication shall be deemed to have been sent at the opening of business on the next Business Day for the recipient.</w:t>
      </w:r>
    </w:p>
    <w:p>
      <w:pPr>
        <w:spacing w:after="0" w:line="170" w:lineRule="exact"/>
        <w:rPr>
          <w:sz w:val="20"/>
          <w:szCs w:val="20"/>
          <w:color w:val="auto"/>
        </w:rPr>
      </w:pPr>
    </w:p>
    <w:p>
      <w:pPr>
        <w:ind w:left="2060" w:hanging="512"/>
        <w:spacing w:after="0"/>
        <w:tabs>
          <w:tab w:leader="none" w:pos="2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left="260" w:right="40" w:firstLine="1288"/>
        <w:spacing w:after="0" w:line="297" w:lineRule="auto"/>
        <w:tabs>
          <w:tab w:leader="none" w:pos="2081"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58" w:lineRule="exact"/>
        <w:rPr>
          <w:rFonts w:ascii="Arial" w:cs="Arial" w:eastAsia="Arial" w:hAnsi="Arial"/>
          <w:sz w:val="16"/>
          <w:szCs w:val="16"/>
          <w:color w:val="auto"/>
        </w:rPr>
      </w:pPr>
    </w:p>
    <w:p>
      <w:pPr>
        <w:ind w:left="2060" w:hanging="512"/>
        <w:spacing w:after="0"/>
        <w:tabs>
          <w:tab w:leader="none" w:pos="20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60" w:firstLine="653"/>
        <w:spacing w:after="0" w:line="342" w:lineRule="auto"/>
        <w:tabs>
          <w:tab w:leader="none" w:pos="2163" w:val="left"/>
        </w:tabs>
        <w:numPr>
          <w:ilvl w:val="1"/>
          <w:numId w:val="82"/>
        </w:numPr>
        <w:rPr>
          <w:rFonts w:ascii="Arial" w:cs="Arial" w:eastAsia="Arial" w:hAnsi="Arial"/>
          <w:sz w:val="16"/>
          <w:szCs w:val="16"/>
          <w:color w:val="auto"/>
        </w:rPr>
      </w:pPr>
      <w:r>
        <w:rPr>
          <w:rFonts w:ascii="Arial" w:cs="Arial" w:eastAsia="Arial" w:hAnsi="Arial"/>
          <w:sz w:val="16"/>
          <w:szCs w:val="16"/>
          <w:color w:val="auto"/>
        </w:rPr>
        <w:t>Each Loan Party agrees that Administrative Agent may, but shall not be obligated to, make Communications available to the Lenders by posting the Communications on Debt Domain, Intralinks, Syndtrak, ClearPar or a substantially similar Electronic System.</w:t>
      </w:r>
    </w:p>
    <w:p>
      <w:pPr>
        <w:spacing w:after="0" w:line="123" w:lineRule="exact"/>
        <w:rPr>
          <w:rFonts w:ascii="Arial" w:cs="Arial" w:eastAsia="Arial" w:hAnsi="Arial"/>
          <w:sz w:val="16"/>
          <w:szCs w:val="16"/>
          <w:color w:val="auto"/>
        </w:rPr>
      </w:pPr>
    </w:p>
    <w:p>
      <w:pPr>
        <w:ind w:left="1300" w:right="60" w:firstLine="653"/>
        <w:spacing w:after="0" w:line="269" w:lineRule="auto"/>
        <w:tabs>
          <w:tab w:leader="none" w:pos="2213" w:val="left"/>
        </w:tabs>
        <w:numPr>
          <w:ilvl w:val="1"/>
          <w:numId w:val="82"/>
        </w:numPr>
        <w:rPr>
          <w:rFonts w:ascii="Arial" w:cs="Arial" w:eastAsia="Arial" w:hAnsi="Arial"/>
          <w:sz w:val="17"/>
          <w:szCs w:val="17"/>
          <w:color w:val="auto"/>
        </w:rPr>
      </w:pPr>
      <w:r>
        <w:rPr>
          <w:rFonts w:ascii="Arial" w:cs="Arial" w:eastAsia="Arial" w:hAnsi="Arial"/>
          <w:sz w:val="17"/>
          <w:szCs w:val="17"/>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be liable for any indirect, special, incidental or consequential damages, losses or expenses (whether in tort, contract or otherwise).</w:t>
      </w:r>
    </w:p>
    <w:p>
      <w:pPr>
        <w:spacing w:after="0" w:line="183"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Attorney Costs and Expenses</w:t>
      </w:r>
      <w:r>
        <w:rPr>
          <w:rFonts w:ascii="Arial" w:cs="Arial" w:eastAsia="Arial" w:hAnsi="Arial"/>
          <w:sz w:val="17"/>
          <w:szCs w:val="17"/>
          <w:color w:val="auto"/>
        </w:rPr>
        <w:t>. Borrower agrees (a) to pay or reimburse Administrative Agent and Syndication Agent for all reasonable and documented or invoiced costs and expenses incurred in connection with the development, preparation, negotiation and execution of the Loan Documents, and to pay or reimburse Administrative Agent for all reasonable and documented or invoiced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and Syndication Agent and (b) to pay or reimburse Administrative Agent and each Lender for all reasonable and documented or invoiced costs and expenses incurred in connection with any restructuring, reorganization (including a bankruptcy reorganization) or enforcement or attempted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1" w:name="page72"/>
    <w:bookmarkEnd w:id="71"/>
    <w:p>
      <w:pPr>
        <w:ind w:left="11200"/>
        <w:spacing w:after="0"/>
        <w:rPr>
          <w:sz w:val="20"/>
          <w:szCs w:val="20"/>
          <w:color w:val="auto"/>
        </w:rPr>
      </w:pPr>
      <w:r>
        <w:rPr>
          <w:rFonts w:ascii="Arial" w:cs="Arial" w:eastAsia="Arial" w:hAnsi="Arial"/>
          <w:sz w:val="18"/>
          <w:szCs w:val="18"/>
          <w:color w:val="auto"/>
        </w:rPr>
        <w:t>61</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and each Lender (and, if representation of Administrative Agent,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Binding Effect; Assignment</w:t>
      </w:r>
    </w:p>
    <w:p>
      <w:pPr>
        <w:spacing w:after="0" w:line="225" w:lineRule="exact"/>
        <w:rPr>
          <w:sz w:val="20"/>
          <w:szCs w:val="20"/>
          <w:color w:val="auto"/>
        </w:rPr>
      </w:pPr>
    </w:p>
    <w:p>
      <w:pPr>
        <w:ind w:left="260" w:right="60" w:firstLine="1288"/>
        <w:spacing w:after="0" w:line="271" w:lineRule="auto"/>
        <w:tabs>
          <w:tab w:leader="none" w:pos="20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8" w:lineRule="exact"/>
        <w:rPr>
          <w:rFonts w:ascii="Arial" w:cs="Arial" w:eastAsia="Arial" w:hAnsi="Arial"/>
          <w:sz w:val="17"/>
          <w:szCs w:val="17"/>
          <w:color w:val="auto"/>
        </w:rPr>
      </w:pPr>
    </w:p>
    <w:p>
      <w:pPr>
        <w:ind w:left="260" w:firstLine="1288"/>
        <w:spacing w:after="0" w:line="285" w:lineRule="auto"/>
        <w:tabs>
          <w:tab w:leader="none" w:pos="208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Borrower shall not be required with respect to (x) an assignment to another Lender or any Affiliate of a Lender or (y) an assignment of Loans (but for the avoidance of doubt, not any Commitments) to any Approved Fund unless, in the cases of clauses (x) and (y), such assignment would result in the aggregate Loans and Commitments of such assignee and its Affiliates in respect of a Class exceeding 15% of the aggregate Commitments and Loans of such Class then outstanding. While any 3-Year Tranche Term Commitments and/or 5-Year Tranche Term Commitments are outstanding, (i) any assignment of 3-Year Sterling Tranche Term Loans and/or 5-Year Sterling Tranche Term Loans without a corresponding assignment of the pro rata amount of 3-Year Dollar Tranche Term Loans or 5-Year Dollar Tranche Term Loans, as applicable, and the 3-Year Tranche Term Commitments and/or 5-Year Tranche Term Commitments, as applicable or (ii) any assignment of 3-Year Dollar Tranche Term Loans and/or 5-Year Dollar Tranche Term Loans without a corresponding assignment of the pro rata amount of 3-Year Sterling Tranche Term Loans or 5-Year Sterling Tranche Term Loans, as applicable, and the 3-Year Tranche Term Commitments and/or 5-Year Tranche Term Commitments, as applicable, shall not be effective. No such assignment shall become effective unless and until a copy of a duly signed and completed Assignment and Assumption shall be delivered to Administrative Agent. Except in the case of an assignment (A) to another Lender or (B) of the entire remaining Commitment or Loan, as applicable, of the assigning Lender, such assignment shall be in an aggregate principal amount not less than the Minimum Amount therefor without the consent of Borrower and Administrative Agent.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2" w:name="page73"/>
    <w:bookmarkEnd w:id="72"/>
    <w:p>
      <w:pPr>
        <w:ind w:left="10949"/>
        <w:spacing w:after="0"/>
        <w:rPr>
          <w:sz w:val="20"/>
          <w:szCs w:val="20"/>
          <w:color w:val="auto"/>
        </w:rPr>
      </w:pPr>
      <w:r>
        <w:rPr>
          <w:rFonts w:ascii="Arial" w:cs="Arial" w:eastAsia="Arial" w:hAnsi="Arial"/>
          <w:sz w:val="17"/>
          <w:szCs w:val="17"/>
          <w:color w:val="auto"/>
        </w:rPr>
        <w:t>62</w:t>
      </w:r>
    </w:p>
    <w:p>
      <w:pPr>
        <w:spacing w:after="0" w:line="129" w:lineRule="exact"/>
        <w:rPr>
          <w:sz w:val="20"/>
          <w:szCs w:val="20"/>
          <w:color w:val="auto"/>
        </w:rPr>
      </w:pPr>
    </w:p>
    <w:p>
      <w:pPr>
        <w:ind w:left="9" w:right="40"/>
        <w:spacing w:after="0" w:line="270" w:lineRule="auto"/>
        <w:rPr>
          <w:sz w:val="20"/>
          <w:szCs w:val="20"/>
          <w:color w:val="auto"/>
        </w:rPr>
      </w:pPr>
      <w:r>
        <w:rPr>
          <w:rFonts w:ascii="Arial" w:cs="Arial" w:eastAsia="Arial" w:hAnsi="Arial"/>
          <w:sz w:val="17"/>
          <w:szCs w:val="17"/>
          <w:color w:val="auto"/>
        </w:rPr>
        <w:t>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Commitments or the repayment of the Loans,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82" w:lineRule="exact"/>
        <w:rPr>
          <w:sz w:val="20"/>
          <w:szCs w:val="20"/>
          <w:color w:val="auto"/>
        </w:rPr>
      </w:pPr>
    </w:p>
    <w:p>
      <w:pPr>
        <w:ind w:left="9" w:right="120" w:firstLine="1288"/>
        <w:spacing w:after="0" w:line="286" w:lineRule="auto"/>
        <w:tabs>
          <w:tab w:leader="none" w:pos="181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65" w:lineRule="exact"/>
        <w:rPr>
          <w:rFonts w:ascii="Arial" w:cs="Arial" w:eastAsia="Arial" w:hAnsi="Arial"/>
          <w:sz w:val="17"/>
          <w:szCs w:val="17"/>
          <w:color w:val="auto"/>
        </w:rPr>
      </w:pPr>
    </w:p>
    <w:p>
      <w:pPr>
        <w:jc w:val="both"/>
        <w:ind w:left="9" w:right="120" w:firstLine="1288"/>
        <w:spacing w:after="0" w:line="288" w:lineRule="auto"/>
        <w:tabs>
          <w:tab w:leader="none" w:pos="1830"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left="9" w:hanging="9"/>
        <w:spacing w:after="0" w:line="281" w:lineRule="auto"/>
        <w:tabs>
          <w:tab w:leader="none" w:pos="22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Certain Funds Termination Date or the Maturity Date as to such participant or any other date upon which any payment of money is due to such participant, (B) reduces the rate of interest owing to such participant or any fee or any other monetary amount owing to such participant (except as otherwise provided in Section 10.07(b)),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w:t>
      </w:r>
    </w:p>
    <w:p>
      <w:pPr>
        <w:spacing w:after="0" w:line="9" w:lineRule="exact"/>
        <w:rPr>
          <w:rFonts w:ascii="Arial" w:cs="Arial" w:eastAsia="Arial" w:hAnsi="Arial"/>
          <w:sz w:val="16"/>
          <w:szCs w:val="16"/>
          <w:color w:val="auto"/>
        </w:rPr>
      </w:pPr>
    </w:p>
    <w:p>
      <w:pPr>
        <w:ind w:left="9" w:right="120" w:hanging="9"/>
        <w:spacing w:after="0" w:line="255" w:lineRule="auto"/>
        <w:tabs>
          <w:tab w:leader="none" w:pos="2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327025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9"/>
          </w:cols>
          <w:pgMar w:left="491" w:top="233" w:right="259" w:bottom="1440" w:gutter="0" w:footer="0" w:header="0"/>
        </w:sectPr>
      </w:pPr>
    </w:p>
    <w:bookmarkStart w:id="73" w:name="page74"/>
    <w:bookmarkEnd w:id="73"/>
    <w:p>
      <w:pPr>
        <w:ind w:left="11200"/>
        <w:spacing w:after="0"/>
        <w:rPr>
          <w:sz w:val="20"/>
          <w:szCs w:val="20"/>
          <w:color w:val="auto"/>
        </w:rPr>
      </w:pPr>
      <w:r>
        <w:rPr>
          <w:rFonts w:ascii="Arial" w:cs="Arial" w:eastAsia="Arial" w:hAnsi="Arial"/>
          <w:sz w:val="17"/>
          <w:szCs w:val="17"/>
          <w:color w:val="auto"/>
        </w:rPr>
        <w:t>63</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and Administrative Agent for any losses, cost and expenses that they may incur as a result of any failure to so withhold or deduct and pay such tax.</w:t>
      </w:r>
    </w:p>
    <w:p>
      <w:pPr>
        <w:spacing w:after="0" w:line="23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Extensions of Credit or its other obligations under any Loan Document) to any Person except to the extent that such disclosure is necessary to establish that such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2"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Notwithstanding anything to the contrary in this Section 10.04, (a) the written consent of Borrower (in its sole discretion) shall be required for any assignment or participation (other than assignments by a Lender to any of its Affiliates) on or prior to the Certain Funds Termination Date and any such attempted assignment or participation without the written consent of Borrower shall be null and void and (b) in connection with any assignment of Commitments on or prior to the Certain Funds Termination Date by a Lender to any of its Affiliates, the assigning Lender shall not be relieved of its obligations (as in effect immediately prior to giving effect to such assignment) to fund Loans in respect of its Commitments pursuant to this Agreement without the prior written consent of Borrower (in its sole discretion).</w:t>
      </w:r>
    </w:p>
    <w:p>
      <w:pPr>
        <w:spacing w:after="0" w:line="193" w:lineRule="exact"/>
        <w:rPr>
          <w:sz w:val="20"/>
          <w:szCs w:val="20"/>
          <w:color w:val="auto"/>
        </w:rPr>
      </w:pPr>
    </w:p>
    <w:p>
      <w:pPr>
        <w:ind w:right="40" w:firstLine="1297"/>
        <w:spacing w:after="0" w:line="253"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Set-off</w:t>
      </w:r>
      <w:r>
        <w:rPr>
          <w:rFonts w:ascii="Arial" w:cs="Arial" w:eastAsia="Arial" w:hAnsi="Arial"/>
          <w:sz w:val="18"/>
          <w:szCs w:val="18"/>
          <w:color w:val="auto"/>
        </w:rPr>
        <w:t xml:space="preserve">. Without prejudice to and subject to Section 4.04,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97" w:lineRule="exact"/>
        <w:rPr>
          <w:sz w:val="20"/>
          <w:szCs w:val="20"/>
          <w:color w:val="auto"/>
        </w:rPr>
      </w:pPr>
    </w:p>
    <w:p>
      <w:pPr>
        <w:ind w:right="60" w:firstLine="1297"/>
        <w:spacing w:after="0" w:line="293"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4" w:name="page75"/>
    <w:bookmarkEnd w:id="74"/>
    <w:p>
      <w:pPr>
        <w:ind w:left="11200"/>
        <w:spacing w:after="0"/>
        <w:rPr>
          <w:sz w:val="20"/>
          <w:szCs w:val="20"/>
          <w:color w:val="auto"/>
        </w:rPr>
      </w:pPr>
      <w:r>
        <w:rPr>
          <w:rFonts w:ascii="Arial" w:cs="Arial" w:eastAsia="Arial" w:hAnsi="Arial"/>
          <w:sz w:val="18"/>
          <w:szCs w:val="18"/>
          <w:color w:val="auto"/>
        </w:rPr>
        <w:t>64</w:t>
      </w:r>
    </w:p>
    <w:p>
      <w:pPr>
        <w:spacing w:after="0" w:line="117" w:lineRule="exact"/>
        <w:rPr>
          <w:sz w:val="20"/>
          <w:szCs w:val="20"/>
          <w:color w:val="auto"/>
        </w:rPr>
      </w:pPr>
    </w:p>
    <w:p>
      <w:pPr>
        <w:ind w:left="260"/>
        <w:spacing w:after="0" w:line="269" w:lineRule="auto"/>
        <w:rPr>
          <w:sz w:val="20"/>
          <w:szCs w:val="20"/>
          <w:color w:val="auto"/>
        </w:rPr>
      </w:pPr>
      <w:r>
        <w:rPr>
          <w:rFonts w:ascii="Arial" w:cs="Arial" w:eastAsia="Arial" w:hAnsi="Arial"/>
          <w:sz w:val="17"/>
          <w:szCs w:val="17"/>
          <w:color w:val="auto"/>
        </w:rPr>
        <w:t xml:space="preserve">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312" w:lineRule="auto"/>
        <w:tabs>
          <w:tab w:leader="none" w:pos="2071"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46" w:lineRule="exact"/>
        <w:rPr>
          <w:rFonts w:ascii="Arial" w:cs="Arial" w:eastAsia="Arial" w:hAnsi="Arial"/>
          <w:sz w:val="16"/>
          <w:szCs w:val="16"/>
          <w:color w:val="auto"/>
        </w:rPr>
      </w:pPr>
    </w:p>
    <w:p>
      <w:pPr>
        <w:ind w:left="260" w:right="40" w:firstLine="1288"/>
        <w:spacing w:after="0" w:line="297" w:lineRule="auto"/>
        <w:tabs>
          <w:tab w:leader="none" w:pos="2078"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58" w:lineRule="exact"/>
        <w:rPr>
          <w:rFonts w:ascii="Arial" w:cs="Arial" w:eastAsia="Arial" w:hAnsi="Arial"/>
          <w:sz w:val="16"/>
          <w:szCs w:val="16"/>
          <w:color w:val="auto"/>
        </w:rPr>
      </w:pPr>
    </w:p>
    <w:p>
      <w:pPr>
        <w:ind w:left="2060" w:hanging="512"/>
        <w:spacing w:after="0"/>
        <w:tabs>
          <w:tab w:leader="none" w:pos="2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Except with respect to Section 9.09, the terms and conditions of Section 9 are for the sole benefit of the Agents and Lenders.</w:t>
      </w:r>
    </w:p>
    <w:p>
      <w:pPr>
        <w:spacing w:after="0" w:line="248"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ind w:left="11200"/>
        <w:spacing w:after="0"/>
        <w:rPr>
          <w:sz w:val="20"/>
          <w:szCs w:val="20"/>
          <w:color w:val="auto"/>
        </w:rPr>
      </w:pPr>
      <w:r>
        <w:rPr>
          <w:rFonts w:ascii="Arial" w:cs="Arial" w:eastAsia="Arial" w:hAnsi="Arial"/>
          <w:sz w:val="17"/>
          <w:szCs w:val="17"/>
          <w:color w:val="auto"/>
        </w:rPr>
        <w:t>65</w:t>
      </w:r>
    </w:p>
    <w:p>
      <w:pPr>
        <w:spacing w:after="0" w:line="129"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Counterparts, Electronic Execution of Assignments and Certain Other Documents</w:t>
      </w:r>
      <w:r>
        <w:rPr>
          <w:rFonts w:ascii="Arial" w:cs="Arial" w:eastAsia="Arial" w:hAnsi="Arial"/>
          <w:sz w:val="16"/>
          <w:szCs w:val="16"/>
          <w:color w:val="auto"/>
        </w:rPr>
        <w:t>. This Agreement may be executed in one or more counterparts (and by different parties hereto in different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an original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Requests for Extensions of Credit,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5"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97"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Commitments attributable to any other Lender.</w:t>
      </w:r>
    </w:p>
    <w:p>
      <w:pPr>
        <w:spacing w:after="0" w:line="18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Whether or not the transactions contemplated hereby are consummated, Borrower agrees to indemnify, save and hold harmless each Administrative Agent-Related Person, each other Agent, each Person identified on the cover page of this Agreement as a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6" w:name="page77"/>
    <w:bookmarkEnd w:id="76"/>
    <w:p>
      <w:pPr>
        <w:ind w:left="11200"/>
        <w:spacing w:after="0"/>
        <w:rPr>
          <w:sz w:val="20"/>
          <w:szCs w:val="20"/>
          <w:color w:val="auto"/>
        </w:rPr>
      </w:pPr>
      <w:r>
        <w:rPr>
          <w:rFonts w:ascii="Arial" w:cs="Arial" w:eastAsia="Arial" w:hAnsi="Arial"/>
          <w:sz w:val="18"/>
          <w:szCs w:val="18"/>
          <w:color w:val="auto"/>
        </w:rPr>
        <w:t>66</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Lead Arranger and Joint Bookrunner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Commitments, the Loans,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8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Borrower acknowledges and agrees that:</w:t>
      </w:r>
    </w:p>
    <w:p>
      <w:pPr>
        <w:spacing w:after="0" w:line="225" w:lineRule="exact"/>
        <w:rPr>
          <w:sz w:val="20"/>
          <w:szCs w:val="20"/>
          <w:color w:val="auto"/>
        </w:rPr>
      </w:pPr>
    </w:p>
    <w:p>
      <w:pPr>
        <w:ind w:left="260" w:right="420" w:firstLine="1288"/>
        <w:spacing w:after="0" w:line="264" w:lineRule="auto"/>
        <w:tabs>
          <w:tab w:leader="none" w:pos="20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1" w:lineRule="exact"/>
        <w:rPr>
          <w:rFonts w:ascii="Arial" w:cs="Arial" w:eastAsia="Arial" w:hAnsi="Arial"/>
          <w:sz w:val="18"/>
          <w:szCs w:val="18"/>
          <w:color w:val="auto"/>
        </w:rPr>
      </w:pPr>
    </w:p>
    <w:p>
      <w:pPr>
        <w:ind w:left="260" w:right="260" w:firstLine="1288"/>
        <w:spacing w:after="0" w:line="279" w:lineRule="auto"/>
        <w:tabs>
          <w:tab w:leader="none" w:pos="2081" w:val="left"/>
        </w:tabs>
        <w:numPr>
          <w:ilvl w:val="0"/>
          <w:numId w:val="88"/>
        </w:numPr>
        <w:rPr>
          <w:rFonts w:ascii="Arial" w:cs="Arial" w:eastAsia="Arial" w:hAnsi="Arial"/>
          <w:sz w:val="17"/>
          <w:szCs w:val="17"/>
          <w:color w:val="auto"/>
        </w:rPr>
      </w:pPr>
      <w:r>
        <w:rPr>
          <w:rFonts w:ascii="Arial" w:cs="Arial" w:eastAsia="Arial" w:hAnsi="Arial"/>
          <w:sz w:val="17"/>
          <w:szCs w:val="17"/>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71" w:lineRule="exact"/>
        <w:rPr>
          <w:rFonts w:ascii="Arial" w:cs="Arial" w:eastAsia="Arial" w:hAnsi="Arial"/>
          <w:sz w:val="17"/>
          <w:szCs w:val="17"/>
          <w:color w:val="auto"/>
        </w:rPr>
      </w:pPr>
    </w:p>
    <w:p>
      <w:pPr>
        <w:ind w:left="260" w:firstLine="1288"/>
        <w:spacing w:after="0" w:line="264" w:lineRule="auto"/>
        <w:tabs>
          <w:tab w:leader="none" w:pos="20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7" w:name="page78"/>
    <w:bookmarkEnd w:id="77"/>
    <w:p>
      <w:pPr>
        <w:ind w:left="11200"/>
        <w:spacing w:after="0"/>
        <w:rPr>
          <w:sz w:val="20"/>
          <w:szCs w:val="20"/>
          <w:color w:val="auto"/>
        </w:rPr>
      </w:pPr>
      <w:r>
        <w:rPr>
          <w:rFonts w:ascii="Arial" w:cs="Arial" w:eastAsia="Arial" w:hAnsi="Arial"/>
          <w:sz w:val="16"/>
          <w:szCs w:val="16"/>
          <w:color w:val="auto"/>
        </w:rPr>
        <w:t>67</w:t>
      </w:r>
    </w:p>
    <w:p>
      <w:pPr>
        <w:spacing w:after="0" w:line="140" w:lineRule="exact"/>
        <w:rPr>
          <w:sz w:val="20"/>
          <w:szCs w:val="20"/>
          <w:color w:val="auto"/>
        </w:rPr>
      </w:pPr>
    </w:p>
    <w:p>
      <w:pPr>
        <w:ind w:left="260" w:right="20"/>
        <w:spacing w:after="0" w:line="259" w:lineRule="auto"/>
        <w:rPr>
          <w:sz w:val="20"/>
          <w:szCs w:val="20"/>
          <w:color w:val="auto"/>
        </w:rPr>
      </w:pPr>
      <w:r>
        <w:rPr>
          <w:rFonts w:ascii="Arial" w:cs="Arial" w:eastAsia="Arial" w:hAnsi="Arial"/>
          <w:sz w:val="18"/>
          <w:szCs w:val="18"/>
          <w:color w:val="auto"/>
        </w:rPr>
        <w:t>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87" w:lineRule="exact"/>
        <w:rPr>
          <w:sz w:val="20"/>
          <w:szCs w:val="20"/>
          <w:color w:val="auto"/>
        </w:rPr>
      </w:pPr>
    </w:p>
    <w:p>
      <w:pPr>
        <w:ind w:left="260" w:right="20" w:firstLine="1288"/>
        <w:spacing w:after="0" w:line="268" w:lineRule="auto"/>
        <w:tabs>
          <w:tab w:leader="none" w:pos="20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financing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and its Affiliates, and neither Administrative Agent, the Arrangers, nor any Lender has any obligation to disclose any of such interests to the Borrower or its Affiliates. To the fullest extent permitted by law, each Loan Party hereby agrees not to assert any claims that it may have against the Administrative Agent, the Arrangers or any Lender with respect to any breach or alleged breach of agency or fiduciary duty in connection with the financing transactions contemplated hereby.</w:t>
      </w:r>
    </w:p>
    <w:p>
      <w:pPr>
        <w:spacing w:after="0" w:line="183" w:lineRule="exact"/>
        <w:rPr>
          <w:rFonts w:ascii="Arial" w:cs="Arial" w:eastAsia="Arial" w:hAnsi="Arial"/>
          <w:sz w:val="17"/>
          <w:szCs w:val="17"/>
          <w:color w:val="auto"/>
        </w:rPr>
      </w:pPr>
    </w:p>
    <w:p>
      <w:pPr>
        <w:ind w:left="2060" w:hanging="512"/>
        <w:spacing w:after="0"/>
        <w:tabs>
          <w:tab w:leader="none" w:pos="2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Administrative Agent and Lenders, and their Affiliates, may have economic interests that conflict with those of Borrower and its</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Affiliates; and</w:t>
      </w:r>
    </w:p>
    <w:p>
      <w:pPr>
        <w:spacing w:after="0" w:line="210" w:lineRule="exact"/>
        <w:rPr>
          <w:rFonts w:ascii="Arial" w:cs="Arial" w:eastAsia="Arial" w:hAnsi="Arial"/>
          <w:sz w:val="16"/>
          <w:szCs w:val="16"/>
          <w:color w:val="auto"/>
        </w:rPr>
      </w:pPr>
    </w:p>
    <w:p>
      <w:pPr>
        <w:jc w:val="both"/>
        <w:ind w:left="260" w:right="60" w:firstLine="1288"/>
        <w:spacing w:after="0" w:line="286" w:lineRule="auto"/>
        <w:tabs>
          <w:tab w:leader="none" w:pos="2051" w:val="left"/>
        </w:tabs>
        <w:numPr>
          <w:ilvl w:val="0"/>
          <w:numId w:val="89"/>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6"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7"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8" w:name="page79"/>
    <w:bookmarkEnd w:id="78"/>
    <w:p>
      <w:pPr>
        <w:ind w:left="11200"/>
        <w:spacing w:after="0"/>
        <w:rPr>
          <w:sz w:val="20"/>
          <w:szCs w:val="20"/>
          <w:color w:val="auto"/>
        </w:rPr>
      </w:pPr>
      <w:r>
        <w:rPr>
          <w:rFonts w:ascii="Arial" w:cs="Arial" w:eastAsia="Arial" w:hAnsi="Arial"/>
          <w:sz w:val="16"/>
          <w:szCs w:val="16"/>
          <w:color w:val="auto"/>
        </w:rPr>
        <w:t>68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good faith, the terms of a replacement provision as similar to the severed provision as may be possible and be legal, valid, and enforceable.</w:t>
      </w:r>
    </w:p>
    <w:p>
      <w:pPr>
        <w:spacing w:after="0" w:line="225"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182" w:lineRule="exact"/>
        <w:rPr>
          <w:sz w:val="20"/>
          <w:szCs w:val="20"/>
          <w:color w:val="auto"/>
        </w:rPr>
      </w:pPr>
    </w:p>
    <w:p>
      <w:pPr>
        <w:jc w:val="both"/>
        <w:ind w:right="240" w:firstLine="1297"/>
        <w:spacing w:after="0" w:line="312" w:lineRule="auto"/>
        <w:rPr>
          <w:sz w:val="20"/>
          <w:szCs w:val="20"/>
          <w:color w:val="auto"/>
        </w:rPr>
      </w:pPr>
      <w:r>
        <w:rPr>
          <w:rFonts w:ascii="Arial" w:cs="Arial" w:eastAsia="Arial" w:hAnsi="Arial"/>
          <w:sz w:val="16"/>
          <w:szCs w:val="16"/>
          <w:color w:val="auto"/>
        </w:rPr>
        <w:t>Each of the Lenders confirms that it is aware of the terms and requirements of Practice Statement No. 25 (</w:t>
      </w:r>
      <w:r>
        <w:rPr>
          <w:rFonts w:ascii="Arial" w:cs="Arial" w:eastAsia="Arial" w:hAnsi="Arial"/>
          <w:sz w:val="16"/>
          <w:szCs w:val="16"/>
          <w:i w:val="1"/>
          <w:iCs w:val="1"/>
          <w:color w:val="auto"/>
        </w:rPr>
        <w:t>Debt Syndication during Offer</w:t>
      </w:r>
      <w:r>
        <w:rPr>
          <w:rFonts w:ascii="Arial" w:cs="Arial" w:eastAsia="Arial" w:hAnsi="Arial"/>
          <w:sz w:val="16"/>
          <w:szCs w:val="16"/>
          <w:color w:val="auto"/>
        </w:rPr>
        <w:t xml:space="preserve"> </w:t>
      </w:r>
      <w:r>
        <w:rPr>
          <w:rFonts w:ascii="Arial" w:cs="Arial" w:eastAsia="Arial" w:hAnsi="Arial"/>
          <w:sz w:val="16"/>
          <w:szCs w:val="16"/>
          <w:i w:val="1"/>
          <w:iCs w:val="1"/>
          <w:color w:val="auto"/>
        </w:rPr>
        <w:t>Periods</w:t>
      </w:r>
      <w:r>
        <w:rPr>
          <w:rFonts w:ascii="Arial" w:cs="Arial" w:eastAsia="Arial" w:hAnsi="Arial"/>
          <w:sz w:val="16"/>
          <w:szCs w:val="16"/>
          <w:color w:val="auto"/>
        </w:rPr>
        <w:t>) published by the Panel on 17 June 2009. This section 10.17 is without prejudice to any undertakings or confirmations given by the Lenders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in connection with, or for the purposes of ensuring compliance with Practice Statement No. 25 (</w:t>
      </w:r>
      <w:r>
        <w:rPr>
          <w:rFonts w:ascii="Arial" w:cs="Arial" w:eastAsia="Arial" w:hAnsi="Arial"/>
          <w:sz w:val="16"/>
          <w:szCs w:val="16"/>
          <w:i w:val="1"/>
          <w:iCs w:val="1"/>
          <w:color w:val="auto"/>
        </w:rPr>
        <w:t>Debt Syndication during Offer Periods</w:t>
      </w:r>
      <w:r>
        <w:rPr>
          <w:rFonts w:ascii="Arial" w:cs="Arial" w:eastAsia="Arial" w:hAnsi="Arial"/>
          <w:sz w:val="16"/>
          <w:szCs w:val="16"/>
          <w:color w:val="auto"/>
        </w:rPr>
        <w:t>).</w:t>
      </w:r>
    </w:p>
    <w:p>
      <w:pPr>
        <w:spacing w:after="0" w:line="14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9" w:name="page80"/>
    <w:bookmarkEnd w:id="79"/>
    <w:p>
      <w:pPr>
        <w:ind w:left="11200"/>
        <w:spacing w:after="0"/>
        <w:rPr>
          <w:sz w:val="20"/>
          <w:szCs w:val="20"/>
          <w:color w:val="auto"/>
        </w:rPr>
      </w:pPr>
      <w:r>
        <w:rPr>
          <w:rFonts w:ascii="Arial" w:cs="Arial" w:eastAsia="Arial" w:hAnsi="Arial"/>
          <w:sz w:val="18"/>
          <w:szCs w:val="18"/>
          <w:color w:val="auto"/>
        </w:rPr>
        <w:t>69</w:t>
      </w:r>
    </w:p>
    <w:p>
      <w:pPr>
        <w:spacing w:after="0" w:line="11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25"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 and Administrative Agent</w:t>
      </w:r>
      <w:r>
        <w:rPr>
          <w:rFonts w:ascii="Arial" w:cs="Arial" w:eastAsia="Arial" w:hAnsi="Arial"/>
          <w:sz w:val="16"/>
          <w:szCs w:val="16"/>
          <w:color w:val="auto"/>
        </w:rPr>
        <w:t xml:space="preserve">. (a)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Administrative Agent under this Section, and costs and expenses (including Attorney Costs) of Administrative Agent. The obligation of Lenders under this Section shall survive the payment of all Obligations and the resignation of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0" w:name="page81"/>
    <w:bookmarkEnd w:id="80"/>
    <w:p>
      <w:pPr>
        <w:ind w:left="11200"/>
        <w:spacing w:after="0"/>
        <w:rPr>
          <w:sz w:val="20"/>
          <w:szCs w:val="20"/>
          <w:color w:val="auto"/>
        </w:rPr>
      </w:pPr>
      <w:r>
        <w:rPr>
          <w:rFonts w:ascii="Arial" w:cs="Arial" w:eastAsia="Arial" w:hAnsi="Arial"/>
          <w:sz w:val="18"/>
          <w:szCs w:val="18"/>
          <w:color w:val="auto"/>
        </w:rPr>
        <w:t>70</w:t>
      </w:r>
    </w:p>
    <w:p>
      <w:pPr>
        <w:spacing w:after="0" w:line="117" w:lineRule="exact"/>
        <w:rPr>
          <w:sz w:val="20"/>
          <w:szCs w:val="20"/>
          <w:color w:val="auto"/>
        </w:rPr>
      </w:pPr>
    </w:p>
    <w:p>
      <w:pPr>
        <w:ind w:left="260" w:firstLine="1288"/>
        <w:spacing w:after="0" w:line="271" w:lineRule="auto"/>
        <w:tabs>
          <w:tab w:leader="none" w:pos="2081"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7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81" w:lineRule="exact"/>
        <w:rPr>
          <w:sz w:val="20"/>
          <w:szCs w:val="20"/>
          <w:color w:val="auto"/>
        </w:rPr>
      </w:pPr>
    </w:p>
    <w:p>
      <w:pPr>
        <w:ind w:left="2060" w:hanging="512"/>
        <w:spacing w:after="0"/>
        <w:tabs>
          <w:tab w:leader="none" w:pos="2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Administrative Agent shall deliver to the Borrower two executed originals of whichever of the following is applicable:</w:t>
      </w:r>
    </w:p>
    <w:p>
      <w:pPr>
        <w:spacing w:after="0" w:line="236" w:lineRule="exact"/>
        <w:rPr>
          <w:rFonts w:ascii="Arial" w:cs="Arial" w:eastAsia="Arial" w:hAnsi="Arial"/>
          <w:sz w:val="17"/>
          <w:szCs w:val="17"/>
          <w:color w:val="auto"/>
        </w:rPr>
      </w:pPr>
    </w:p>
    <w:p>
      <w:pPr>
        <w:ind w:left="1300" w:right="320" w:firstLine="653"/>
        <w:spacing w:after="0" w:line="277" w:lineRule="auto"/>
        <w:tabs>
          <w:tab w:leader="none" w:pos="2163"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the Administrative Agent is a U.S. Person, IRS Form W-9 certifying to such Administrative Agent’s exemption from U.S. federal backup withholding or</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the Administrative Agent is not a U.S. Person,</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IRS Form W-8ECI with respect to payments received for its own account and</w:t>
      </w:r>
    </w:p>
    <w:p>
      <w:pPr>
        <w:spacing w:after="0" w:line="225" w:lineRule="exact"/>
        <w:rPr>
          <w:rFonts w:ascii="Arial" w:cs="Arial" w:eastAsia="Arial" w:hAnsi="Arial"/>
          <w:sz w:val="18"/>
          <w:szCs w:val="18"/>
          <w:color w:val="auto"/>
        </w:rPr>
      </w:pPr>
    </w:p>
    <w:p>
      <w:pPr>
        <w:ind w:left="1300" w:right="120" w:firstLine="1301"/>
        <w:spacing w:after="0" w:line="257" w:lineRule="auto"/>
        <w:tabs>
          <w:tab w:leader="none" w:pos="2881" w:val="left"/>
        </w:tabs>
        <w:numPr>
          <w:ilvl w:val="2"/>
          <w:numId w:val="91"/>
        </w:numPr>
        <w:rPr>
          <w:rFonts w:ascii="Arial" w:cs="Arial" w:eastAsia="Arial" w:hAnsi="Arial"/>
          <w:sz w:val="18"/>
          <w:szCs w:val="18"/>
          <w:color w:val="auto"/>
        </w:rPr>
      </w:pPr>
      <w:r>
        <w:rPr>
          <w:rFonts w:ascii="Arial" w:cs="Arial" w:eastAsia="Arial" w:hAnsi="Arial"/>
          <w:sz w:val="18"/>
          <w:szCs w:val="18"/>
          <w:color w:val="auto"/>
        </w:rPr>
        <w:t>IRS Form W-8IMY with respect to any amounts payable to the Administrative Agent for the account of others, certifying that it is a U.S. branch of a foreign bank or insurance company described in Regulations section 1.1441-1(b)(2)(iv)(A) that is a participating FFI (including a reporting Model 2 FFI), registered deemed-compliant FFI (including a reporting Model 1 FFI), or NFFE that is using this form as evidence of its agreement with the withholding agent to be treated as a U.S. person with respect to any payments associated with this withholding certificate.</w:t>
      </w:r>
    </w:p>
    <w:p>
      <w:pPr>
        <w:spacing w:after="0" w:line="188"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Administrative Agent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u w:val="single" w:color="auto"/>
          <w:color w:val="auto"/>
        </w:rPr>
        <w:t>Removal and Replacement of Lenders</w:t>
      </w:r>
      <w:r>
        <w:rPr>
          <w:rFonts w:ascii="Arial" w:cs="Arial" w:eastAsia="Arial" w:hAnsi="Arial"/>
          <w:sz w:val="16"/>
          <w:szCs w:val="16"/>
          <w:color w:val="auto"/>
        </w:rPr>
        <w:t>.</w:t>
      </w:r>
    </w:p>
    <w:p>
      <w:pPr>
        <w:spacing w:after="0" w:line="225" w:lineRule="exact"/>
        <w:rPr>
          <w:sz w:val="20"/>
          <w:szCs w:val="20"/>
          <w:color w:val="auto"/>
        </w:rPr>
      </w:pPr>
    </w:p>
    <w:p>
      <w:pPr>
        <w:ind w:left="260" w:right="60" w:firstLine="1288"/>
        <w:spacing w:after="0" w:line="255" w:lineRule="auto"/>
        <w:tabs>
          <w:tab w:leader="none" w:pos="20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event that any Lender (i) requests compensation under Sections 3.01 or 3.04, (ii) becomes a Defaulting Lender or (iii) does not consent to any proposed amendment, supplement, modification, consent or waiver of any provision of this Agreement or any other Loan Document that requires the consent of each of the Lenders or each of the Lenders affected thereby (in the case of this clause (iii), so long as the consent of the Required Lenders to such amendment, supplement, modification, consent or waiver has been obtained), Borrower may, upon notice to such Lender and Administrative Agent, remove or replace such Lender by (A) non-ratably terminating such Lender’s Commitment and/or (B) causing such Lender to assign its rights and obligations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1" w:name="page82"/>
    <w:bookmarkEnd w:id="81"/>
    <w:p>
      <w:pPr>
        <w:ind w:left="10940"/>
        <w:spacing w:after="0"/>
        <w:rPr>
          <w:sz w:val="20"/>
          <w:szCs w:val="20"/>
          <w:color w:val="auto"/>
        </w:rPr>
      </w:pPr>
      <w:r>
        <w:rPr>
          <w:rFonts w:ascii="Arial" w:cs="Arial" w:eastAsia="Arial" w:hAnsi="Arial"/>
          <w:sz w:val="17"/>
          <w:szCs w:val="17"/>
          <w:color w:val="auto"/>
        </w:rPr>
        <w:t>71</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Agreement pursuant to Section 10.04(b) to one or more other Lenders or eligible assignees procured by Borrower and otherwise reasonably acceptable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Commitment and prepayment of its Loans pursuant to clause (A) preceding, (x) pay in full all principal, interest, fees and other amounts owing to such Lender through the date of termination and prepayment (including any amounts payable pursuant to Section 3), except as may otherwise be agreed with such Lender and (y)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Commitment or Loan is being assigned shall, upon payment of (i) all amounts owed to it pursuant to the proviso in clause (B) preceding and (ii) the assignment fee as described in the preceding sentence, be deemed to have executed and delivered an Assignment and Assumption covering such Lender’s Commitment or Loan, as applicable. Administrative Agent shall distribute an amended Schedule 2.01, which shall be deemed incorporated into this Agreement, to reflect adjustments to the Lenders and their Commitments.</w:t>
      </w:r>
    </w:p>
    <w:p>
      <w:pPr>
        <w:spacing w:after="0" w:line="173" w:lineRule="exact"/>
        <w:rPr>
          <w:sz w:val="20"/>
          <w:szCs w:val="20"/>
          <w:color w:val="auto"/>
        </w:rPr>
      </w:pPr>
    </w:p>
    <w:p>
      <w:pPr>
        <w:ind w:firstLine="1288"/>
        <w:spacing w:after="0" w:line="264" w:lineRule="auto"/>
        <w:tabs>
          <w:tab w:leader="none" w:pos="18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540" w:hanging="252"/>
        <w:spacing w:after="0"/>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040"/>
        <w:spacing w:after="0"/>
        <w:tabs>
          <w:tab w:leader="none" w:pos="17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Governing Law; Submission to Jurisdiction; Waivers</w:t>
      </w:r>
      <w:r>
        <w:rPr>
          <w:rFonts w:ascii="Arial" w:cs="Arial" w:eastAsia="Arial" w:hAnsi="Arial"/>
          <w:sz w:val="16"/>
          <w:szCs w:val="16"/>
          <w:color w:val="auto"/>
        </w:rPr>
        <w:t>.</w:t>
      </w:r>
    </w:p>
    <w:p>
      <w:pPr>
        <w:spacing w:after="0" w:line="225" w:lineRule="exact"/>
        <w:rPr>
          <w:sz w:val="20"/>
          <w:szCs w:val="20"/>
          <w:color w:val="auto"/>
        </w:rPr>
      </w:pPr>
    </w:p>
    <w:p>
      <w:pPr>
        <w:ind w:right="240" w:firstLine="1288"/>
        <w:spacing w:after="0" w:line="259" w:lineRule="auto"/>
        <w:tabs>
          <w:tab w:leader="none" w:pos="18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AND ANY DISPUTE, CLAIM OR CONTROVERSY ARISING OUT OF OR RELATING TO THIS AGREEMENT (WHETHER ARISING IN CONTRACT, TORT OR OTHERWISE) AND THE RIGHTS AND OBLIGATIONS OF THE PARTIES UNDER THIS AGREEMENT SHALL BE GOVERNED BY, AND CONSTRUED AND INTERPRETED IN ACCORDANCE WITH, THE LAW OF THE STATE OF NEW YORK.</w:t>
      </w:r>
    </w:p>
    <w:p>
      <w:pPr>
        <w:spacing w:after="0" w:line="186" w:lineRule="exact"/>
        <w:rPr>
          <w:rFonts w:ascii="Arial" w:cs="Arial" w:eastAsia="Arial" w:hAnsi="Arial"/>
          <w:sz w:val="18"/>
          <w:szCs w:val="18"/>
          <w:color w:val="auto"/>
        </w:rPr>
      </w:pPr>
    </w:p>
    <w:p>
      <w:pPr>
        <w:ind w:left="1820" w:hanging="532"/>
        <w:spacing w:after="0"/>
        <w:tabs>
          <w:tab w:leader="none" w:pos="18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rFonts w:ascii="Arial" w:cs="Arial" w:eastAsia="Arial" w:hAnsi="Arial"/>
          <w:sz w:val="18"/>
          <w:szCs w:val="18"/>
          <w:color w:val="auto"/>
        </w:rPr>
      </w:pPr>
    </w:p>
    <w:p>
      <w:pPr>
        <w:ind w:left="1040" w:right="40" w:firstLine="653"/>
        <w:spacing w:after="0" w:line="312" w:lineRule="auto"/>
        <w:tabs>
          <w:tab w:leader="none" w:pos="1903"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46" w:lineRule="exact"/>
        <w:rPr>
          <w:rFonts w:ascii="Arial" w:cs="Arial" w:eastAsia="Arial" w:hAnsi="Arial"/>
          <w:sz w:val="16"/>
          <w:szCs w:val="16"/>
          <w:color w:val="auto"/>
        </w:rPr>
      </w:pPr>
    </w:p>
    <w:p>
      <w:pPr>
        <w:ind w:left="1040" w:firstLine="653"/>
        <w:spacing w:after="0" w:line="277" w:lineRule="auto"/>
        <w:tabs>
          <w:tab w:leader="none" w:pos="1953" w:val="left"/>
        </w:tabs>
        <w:numPr>
          <w:ilvl w:val="1"/>
          <w:numId w:val="94"/>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ind w:left="1040" w:right="180" w:firstLine="653"/>
        <w:spacing w:after="0" w:line="264" w:lineRule="auto"/>
        <w:tabs>
          <w:tab w:leader="none" w:pos="2003" w:val="left"/>
        </w:tabs>
        <w:numPr>
          <w:ilvl w:val="1"/>
          <w:numId w:val="94"/>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321310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500" w:top="233" w:right="259" w:bottom="1440" w:gutter="0" w:footer="0" w:header="0"/>
        </w:sectPr>
      </w:pPr>
    </w:p>
    <w:bookmarkStart w:id="82" w:name="page83"/>
    <w:bookmarkEnd w:id="82"/>
    <w:p>
      <w:pPr>
        <w:ind w:left="11200"/>
        <w:spacing w:after="0"/>
        <w:rPr>
          <w:sz w:val="20"/>
          <w:szCs w:val="20"/>
          <w:color w:val="auto"/>
        </w:rPr>
      </w:pPr>
      <w:r>
        <w:rPr>
          <w:rFonts w:ascii="Arial" w:cs="Arial" w:eastAsia="Arial" w:hAnsi="Arial"/>
          <w:sz w:val="16"/>
          <w:szCs w:val="16"/>
          <w:color w:val="auto"/>
        </w:rPr>
        <w:t>72</w:t>
      </w:r>
    </w:p>
    <w:p>
      <w:pPr>
        <w:spacing w:after="0" w:line="140" w:lineRule="exact"/>
        <w:rPr>
          <w:sz w:val="20"/>
          <w:szCs w:val="20"/>
          <w:color w:val="auto"/>
        </w:rPr>
      </w:pPr>
    </w:p>
    <w:p>
      <w:pPr>
        <w:ind w:left="1300" w:right="360" w:firstLine="653"/>
        <w:spacing w:after="0" w:line="342" w:lineRule="auto"/>
        <w:tabs>
          <w:tab w:leader="none" w:pos="22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23" w:lineRule="exact"/>
        <w:rPr>
          <w:rFonts w:ascii="Arial" w:cs="Arial" w:eastAsia="Arial" w:hAnsi="Arial"/>
          <w:sz w:val="16"/>
          <w:szCs w:val="16"/>
          <w:color w:val="auto"/>
        </w:rPr>
      </w:pPr>
    </w:p>
    <w:p>
      <w:pPr>
        <w:ind w:left="2200" w:hanging="247"/>
        <w:spacing w:after="0"/>
        <w:tabs>
          <w:tab w:leader="none" w:pos="22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to effect service of process in any other manner permitted by law; and</w:t>
      </w:r>
    </w:p>
    <w:p>
      <w:pPr>
        <w:spacing w:after="0" w:line="236" w:lineRule="exact"/>
        <w:rPr>
          <w:rFonts w:ascii="Arial" w:cs="Arial" w:eastAsia="Arial" w:hAnsi="Arial"/>
          <w:sz w:val="17"/>
          <w:szCs w:val="17"/>
          <w:color w:val="auto"/>
        </w:rPr>
      </w:pPr>
    </w:p>
    <w:p>
      <w:pPr>
        <w:ind w:left="1300" w:right="20" w:firstLine="653"/>
        <w:spacing w:after="0" w:line="264" w:lineRule="auto"/>
        <w:tabs>
          <w:tab w:leader="none" w:pos="2253"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9"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“PATRIOT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PATRIOT Act.</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279" w:lineRule="auto"/>
        <w:tabs>
          <w:tab w:leader="none" w:pos="2071"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left="260" w:right="20" w:firstLine="1288"/>
        <w:spacing w:after="0" w:line="293" w:lineRule="auto"/>
        <w:tabs>
          <w:tab w:leader="none" w:pos="207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73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purchased exceeds the sum originally due to any Lender, such Lender agrees to remit to Borrower such excess.</w:t>
      </w:r>
    </w:p>
    <w:p>
      <w:pPr>
        <w:spacing w:after="0" w:line="22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 xml:space="preserve">10.26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260" w:right="540" w:firstLine="1288"/>
        <w:spacing w:after="0" w:line="277" w:lineRule="auto"/>
        <w:tabs>
          <w:tab w:leader="none" w:pos="20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party hereto that is an EEA Financial Institution; and</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40" w:firstLine="653"/>
        <w:spacing w:after="0" w:line="259" w:lineRule="auto"/>
        <w:tabs>
          <w:tab w:leader="none" w:pos="22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300" w:firstLine="653"/>
        <w:spacing w:after="0" w:line="277" w:lineRule="auto"/>
        <w:tabs>
          <w:tab w:leader="none" w:pos="22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84" w:name="page85"/>
    <w:bookmarkEnd w:id="84"/>
    <w:p>
      <w:pPr>
        <w:ind w:right="18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proper and duly authorized officers as of the day and year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/s/William E. Dordelman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right"/>
        <w:ind w:right="5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/s/Melissa Mullis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/s/Bandon Bolio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86" w:name="page87"/>
    <w:bookmarkEnd w:id="86"/>
    <w:p>
      <w:pPr>
        <w:ind w:left="452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t>WELLS FARGO BANK, NATIONAL ASSOCIATION, as a Lender and Syndication Agent</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Nicholas Grocholski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Nicholas Grocholski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27" w:right="239" w:bottom="1440" w:gutter="0" w:footer="0" w:header="0"/>
        </w:sectPr>
      </w:pPr>
    </w:p>
    <w:bookmarkStart w:id="87" w:name="page88"/>
    <w:bookmarkEnd w:id="87"/>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CREDIT SUISSE AG, CAYMAN ISLANDS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/s/William O’Daly</w:t>
            </w:r>
          </w:p>
        </w:tc>
      </w:tr>
      <w:tr>
        <w:trPr>
          <w:trHeight w:val="195"/>
        </w:trPr>
        <w:tc>
          <w:tcPr>
            <w:tcW w:w="580" w:type="dxa"/>
            <w:vAlign w:val="bottom"/>
          </w:tcPr>
          <w:p>
            <w:pPr>
              <w:spacing w:after="0"/>
              <w:rPr>
                <w:sz w:val="16"/>
                <w:szCs w:val="16"/>
                <w:color w:val="auto"/>
              </w:rPr>
            </w:pPr>
          </w:p>
        </w:tc>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William O’Daly</w:t>
            </w:r>
          </w:p>
        </w:tc>
      </w:tr>
      <w:tr>
        <w:trPr>
          <w:trHeight w:val="230"/>
        </w:trPr>
        <w:tc>
          <w:tcPr>
            <w:tcW w:w="5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/s/Brady Bingham</w:t>
            </w:r>
          </w:p>
        </w:tc>
      </w:tr>
      <w:tr>
        <w:trPr>
          <w:trHeight w:val="195"/>
        </w:trPr>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Brady Bingham</w:t>
            </w:r>
          </w:p>
        </w:tc>
      </w:tr>
      <w:tr>
        <w:trPr>
          <w:trHeight w:val="230"/>
        </w:trPr>
        <w:tc>
          <w:tcPr>
            <w:tcW w:w="5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88" w:name="page89"/>
    <w:bookmarkEnd w:id="88"/>
    <w:p>
      <w:pPr>
        <w:jc w:val="right"/>
        <w:ind w:right="1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MIZUHO BANK, LTD.,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/s/Raymond Ventura</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Director</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89" w:name="page90"/>
    <w:bookmarkEnd w:id="89"/>
    <w:p>
      <w:pPr>
        <w:ind w:left="4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t>MUFG BANK, LTD., as a Lender</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/s/Matthew Hillman</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90" w:name="page91"/>
    <w:bookmarkEnd w:id="90"/>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SUMITOMO MITSUI BANKING CORPORATION,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/s/James D. Weinstein</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James D. Weinstein</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91" w:name="page92"/>
    <w:bookmarkEnd w:id="91"/>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BNP PARIBAS,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/s/Christopher Sked</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jc w:val="both"/>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/s/Karim Remtoula</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92" w:name="page93"/>
    <w:bookmarkEnd w:id="92"/>
    <w:p>
      <w:pPr>
        <w:jc w:val="right"/>
        <w:ind w:right="1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ROYAL BANK OF CANADA,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/s/Allan Kortan</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Allan Kortan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TORONTO-DOMINION BANK, NEW YORK BRANCH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/s/Savo Bozic</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0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60"/>
          </w:cols>
          <w:pgMar w:left="1440" w:top="598" w:right="1299" w:bottom="1440" w:gutter="0" w:footer="0" w:header="0"/>
        </w:sectPr>
      </w:pPr>
    </w:p>
    <w:bookmarkStart w:id="94" w:name="page95"/>
    <w:bookmarkEnd w:id="94"/>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COMMERZBANK AG, NEW YORK BRANCH,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Paolo de Alessandrini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Paolo de Alessandrini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/s/Mathew Ward</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Mathew Ward</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5" w:name="page96"/>
    <w:bookmarkEnd w:id="95"/>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DNB CAPITAL LLC,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5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/s/Philip F. Kurpiewski</w:t>
            </w: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Philip F. Kurpiewski</w:t>
            </w:r>
          </w:p>
        </w:tc>
      </w:tr>
      <w:tr>
        <w:trPr>
          <w:trHeight w:val="230"/>
        </w:trPr>
        <w:tc>
          <w:tcPr>
            <w:tcW w:w="42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Kristi Birkeland Sorensen</w:t>
            </w: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Kristi Birkeland Sorensen</w:t>
            </w:r>
          </w:p>
        </w:tc>
      </w:tr>
      <w:tr>
        <w:trPr>
          <w:trHeight w:val="230"/>
        </w:trPr>
        <w:tc>
          <w:tcPr>
            <w:tcW w:w="42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6" w:name="page97"/>
    <w:bookmarkEnd w:id="96"/>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SOCIETE GENERALE,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Finkelman</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Michael Finkelman</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7" w:name="page98"/>
    <w:bookmarkEnd w:id="97"/>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PNC BANK, NATIONAL ASSOCIATION,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 DiNapoli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John M. DiNapoli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8" w:name="page99"/>
    <w:bookmarkEnd w:id="98"/>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 BANK NATIONAL ASSOCIATION,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Garret Komjathy</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Garret Komjathy</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32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9" w:name="page100"/>
    <w:bookmarkEnd w:id="9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A</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u w:val="single" w:color="auto"/>
          <w:color w:val="auto"/>
        </w:rPr>
        <w:t>Asset Monetization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25" w:lineRule="exact"/>
        <w:rPr>
          <w:sz w:val="20"/>
          <w:szCs w:val="20"/>
          <w:color w:val="auto"/>
        </w:rPr>
      </w:pPr>
    </w:p>
    <w:p>
      <w:pPr>
        <w:ind w:left="820" w:hanging="384"/>
        <w:spacing w:after="0"/>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CENTAUR FUNDING CORP (Vodafone Preferred)</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400" w:type="dxa"/>
            <w:vAlign w:val="bottom"/>
            <w:tcBorders>
              <w:top w:val="single" w:sz="8" w:color="auto"/>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18"/>
                <w:szCs w:val="18"/>
                <w:b w:val="1"/>
                <w:bCs w:val="1"/>
                <w:color w:val="auto"/>
                <w:w w:val="94"/>
              </w:rPr>
              <w:t>Name of Lender</w:t>
            </w:r>
          </w:p>
        </w:tc>
        <w:tc>
          <w:tcPr>
            <w:tcW w:w="2180" w:type="dxa"/>
            <w:vAlign w:val="bottom"/>
            <w:tcBorders>
              <w:top w:val="single" w:sz="8" w:color="auto"/>
              <w:bottom w:val="single" w:sz="8" w:color="auto"/>
              <w:right w:val="single" w:sz="8" w:color="auto"/>
            </w:tcBorders>
            <w:shd w:val="clear" w:color="auto" w:fill="CCCCCC"/>
          </w:tcPr>
          <w:p>
            <w:pPr>
              <w:ind w:left="220"/>
              <w:spacing w:after="0"/>
              <w:rPr>
                <w:sz w:val="20"/>
                <w:szCs w:val="20"/>
                <w:color w:val="auto"/>
              </w:rPr>
            </w:pPr>
            <w:r>
              <w:rPr>
                <w:rFonts w:ascii="Arial" w:cs="Arial" w:eastAsia="Arial" w:hAnsi="Arial"/>
                <w:sz w:val="18"/>
                <w:szCs w:val="18"/>
                <w:b w:val="1"/>
                <w:bCs w:val="1"/>
                <w:color w:val="auto"/>
                <w:w w:val="99"/>
              </w:rPr>
              <w:t>Applicable Percentage</w:t>
            </w:r>
          </w:p>
        </w:tc>
        <w:tc>
          <w:tcPr>
            <w:tcW w:w="240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3-Year Tranche Term Loans</w:t>
            </w:r>
          </w:p>
        </w:tc>
        <w:tc>
          <w:tcPr>
            <w:tcW w:w="2380" w:type="dxa"/>
            <w:vAlign w:val="bottom"/>
            <w:tcBorders>
              <w:top w:val="single" w:sz="8" w:color="auto"/>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5-Year Tranche Term Loans</w:t>
            </w:r>
          </w:p>
        </w:tc>
        <w:tc>
          <w:tcPr>
            <w:tcW w:w="3060" w:type="dxa"/>
            <w:vAlign w:val="bottom"/>
            <w:tcBorders>
              <w:top w:val="single" w:sz="8" w:color="auto"/>
              <w:bottom w:val="single" w:sz="8" w:color="auto"/>
              <w:right w:val="single" w:sz="8" w:color="auto"/>
            </w:tcBorders>
            <w:shd w:val="clear" w:color="auto" w:fill="CCCCCC"/>
          </w:tcPr>
          <w:p>
            <w:pPr>
              <w:ind w:left="1320"/>
              <w:spacing w:after="0"/>
              <w:rPr>
                <w:sz w:val="20"/>
                <w:szCs w:val="20"/>
                <w:color w:val="auto"/>
              </w:rPr>
            </w:pPr>
            <w:r>
              <w:rPr>
                <w:rFonts w:ascii="Arial" w:cs="Arial" w:eastAsia="Arial" w:hAnsi="Arial"/>
                <w:sz w:val="18"/>
                <w:szCs w:val="18"/>
                <w:b w:val="1"/>
                <w:bCs w:val="1"/>
                <w:color w:val="auto"/>
              </w:rPr>
              <w:t>Total</w:t>
            </w: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4"/>
              </w:rPr>
              <w:t>Bank of America,</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17.500000000%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£525,000,000.00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£700,000,000.00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£1,225,000,000.00</w:t>
            </w: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Wells Fargo</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13.000000000%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£390,000,000.00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£520,000,000.00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£910,000,000.00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 National</w:t>
            </w:r>
          </w:p>
        </w:tc>
        <w:tc>
          <w:tcPr>
            <w:tcW w:w="21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Association</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Credit Suisse</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£270,000,000.00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£360,000,000.00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£630,000,000.00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 Cayman</w:t>
            </w:r>
          </w:p>
        </w:tc>
        <w:tc>
          <w:tcPr>
            <w:tcW w:w="21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Islands Branch</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Mizuho Bank,</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£270,000,000.00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£360,000,000.00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£630,000,000.00</w:t>
            </w: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MUFG Bank,</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£270,000,000.00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£360,000,000.00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£630,000,000.00</w:t>
            </w: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Ltd.</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7"/>
              </w:rPr>
              <w:t>Sumitomo Mitsui</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£270,000,000.00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£360,000,000.00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£630,000,000.00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Banking</w:t>
            </w:r>
          </w:p>
        </w:tc>
        <w:tc>
          <w:tcPr>
            <w:tcW w:w="21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Corporation</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21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BNP Paribas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5.500000000%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£165,000,000.00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£220,000,000.00</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£385,000,000.00</w:t>
            </w: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Royal Bank of</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5.500000000%</w:t>
            </w:r>
          </w:p>
        </w:tc>
        <w:tc>
          <w:tcPr>
            <w:tcW w:w="2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£165,000,000.00</w:t>
            </w: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£220,000,000.00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£385,000,000.00</w:t>
            </w: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Canada</w:t>
            </w:r>
          </w:p>
        </w:tc>
        <w:tc>
          <w:tcPr>
            <w:tcW w:w="218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561"/>
        </w:trPr>
        <w:tc>
          <w:tcPr>
            <w:tcW w:w="1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S-2</w:t>
            </w:r>
          </w:p>
        </w:tc>
        <w:tc>
          <w:tcPr>
            <w:tcW w:w="2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1" w:name="page102"/>
    <w:bookmarkEnd w:id="1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4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Toronto-</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5.500000000%</w:t>
            </w:r>
          </w:p>
        </w:tc>
        <w:tc>
          <w:tcPr>
            <w:tcW w:w="19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£165,000,000.00</w:t>
            </w:r>
          </w:p>
        </w:tc>
        <w:tc>
          <w:tcPr>
            <w:tcW w:w="480" w:type="dxa"/>
            <w:vAlign w:val="bottom"/>
            <w:tcBorders>
              <w:top w:val="single" w:sz="8" w:color="auto"/>
              <w:right w:val="single" w:sz="8" w:color="auto"/>
            </w:tcBorders>
          </w:tcPr>
          <w:p>
            <w:pPr>
              <w:spacing w:after="0"/>
              <w:rPr>
                <w:sz w:val="18"/>
                <w:szCs w:val="18"/>
                <w:color w:val="auto"/>
              </w:rPr>
            </w:pP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£220,000,000.00</w:t>
            </w:r>
          </w:p>
        </w:tc>
        <w:tc>
          <w:tcPr>
            <w:tcW w:w="3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£385,000,000.00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Dominion Bank,</w:t>
            </w:r>
          </w:p>
        </w:tc>
        <w:tc>
          <w:tcPr>
            <w:tcW w:w="218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New York</w:t>
            </w:r>
          </w:p>
        </w:tc>
        <w:tc>
          <w:tcPr>
            <w:tcW w:w="218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Branch</w:t>
            </w:r>
          </w:p>
        </w:tc>
        <w:tc>
          <w:tcPr>
            <w:tcW w:w="21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Commerzbank</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3.400000000%</w:t>
            </w:r>
          </w:p>
        </w:tc>
        <w:tc>
          <w:tcPr>
            <w:tcW w:w="19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8"/>
              </w:rPr>
              <w:t>£102,000,000.00</w:t>
            </w:r>
          </w:p>
        </w:tc>
        <w:tc>
          <w:tcPr>
            <w:tcW w:w="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£136,000,000.00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£238,000,000.00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 New York</w:t>
            </w:r>
          </w:p>
        </w:tc>
        <w:tc>
          <w:tcPr>
            <w:tcW w:w="218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Branch</w:t>
            </w:r>
          </w:p>
        </w:tc>
        <w:tc>
          <w:tcPr>
            <w:tcW w:w="21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DNB Capital</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3.400000000%</w:t>
            </w:r>
          </w:p>
        </w:tc>
        <w:tc>
          <w:tcPr>
            <w:tcW w:w="19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8"/>
              </w:rPr>
              <w:t>£102,000,000.00</w:t>
            </w:r>
          </w:p>
        </w:tc>
        <w:tc>
          <w:tcPr>
            <w:tcW w:w="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£136,000,000.00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£238,000,000.00</w:t>
            </w: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LLC</w:t>
            </w:r>
          </w:p>
        </w:tc>
        <w:tc>
          <w:tcPr>
            <w:tcW w:w="21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21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Societe Generale</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3.400000000%</w:t>
            </w:r>
          </w:p>
        </w:tc>
        <w:tc>
          <w:tcPr>
            <w:tcW w:w="19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£102,000,000.00</w:t>
            </w:r>
          </w:p>
        </w:tc>
        <w:tc>
          <w:tcPr>
            <w:tcW w:w="48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£136,000,000.00</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£238,000,000.00</w:t>
            </w: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PNC Bank,</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3.400000000%</w:t>
            </w:r>
          </w:p>
        </w:tc>
        <w:tc>
          <w:tcPr>
            <w:tcW w:w="19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8"/>
              </w:rPr>
              <w:t>£102,000,000.00</w:t>
            </w:r>
          </w:p>
        </w:tc>
        <w:tc>
          <w:tcPr>
            <w:tcW w:w="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£136,000,000.00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£238,000,000.00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National</w:t>
            </w:r>
          </w:p>
        </w:tc>
        <w:tc>
          <w:tcPr>
            <w:tcW w:w="218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Association</w:t>
            </w:r>
          </w:p>
        </w:tc>
        <w:tc>
          <w:tcPr>
            <w:tcW w:w="21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195"/>
        </w:trPr>
        <w:tc>
          <w:tcPr>
            <w:tcW w:w="14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U.S. Bank</w:t>
            </w:r>
          </w:p>
        </w:tc>
        <w:tc>
          <w:tcPr>
            <w:tcW w:w="21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3.400000000%</w:t>
            </w:r>
          </w:p>
        </w:tc>
        <w:tc>
          <w:tcPr>
            <w:tcW w:w="1920" w:type="dxa"/>
            <w:vAlign w:val="bottom"/>
          </w:tcPr>
          <w:p>
            <w:pPr>
              <w:jc w:val="center"/>
              <w:ind w:left="350"/>
              <w:spacing w:after="0" w:line="195" w:lineRule="exact"/>
              <w:rPr>
                <w:sz w:val="20"/>
                <w:szCs w:val="20"/>
                <w:color w:val="auto"/>
              </w:rPr>
            </w:pPr>
            <w:r>
              <w:rPr>
                <w:rFonts w:ascii="Arial" w:cs="Arial" w:eastAsia="Arial" w:hAnsi="Arial"/>
                <w:sz w:val="18"/>
                <w:szCs w:val="18"/>
                <w:color w:val="auto"/>
                <w:w w:val="88"/>
              </w:rPr>
              <w:t>£102,000,000.00</w:t>
            </w:r>
          </w:p>
        </w:tc>
        <w:tc>
          <w:tcPr>
            <w:tcW w:w="4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£136,000,000.00</w:t>
            </w:r>
          </w:p>
        </w:tc>
        <w:tc>
          <w:tcPr>
            <w:tcW w:w="30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£238,000,000.00</w:t>
            </w:r>
          </w:p>
        </w:tc>
      </w:tr>
      <w:tr>
        <w:trPr>
          <w:trHeight w:val="216"/>
        </w:trPr>
        <w:tc>
          <w:tcPr>
            <w:tcW w:w="1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National</w:t>
            </w:r>
          </w:p>
        </w:tc>
        <w:tc>
          <w:tcPr>
            <w:tcW w:w="218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r>
      <w:tr>
        <w:trPr>
          <w:trHeight w:val="23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Association</w:t>
            </w:r>
          </w:p>
        </w:tc>
        <w:tc>
          <w:tcPr>
            <w:tcW w:w="21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r>
      <w:tr>
        <w:trPr>
          <w:trHeight w:val="210"/>
        </w:trPr>
        <w:tc>
          <w:tcPr>
            <w:tcW w:w="14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100.000000000%</w:t>
            </w:r>
          </w:p>
        </w:tc>
        <w:tc>
          <w:tcPr>
            <w:tcW w:w="19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0"/>
              </w:rPr>
              <w:t>£3,000,000,000.00</w:t>
            </w:r>
          </w:p>
        </w:tc>
        <w:tc>
          <w:tcPr>
            <w:tcW w:w="48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£4,000,000,000.00</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£7,000,000,000.00</w:t>
            </w:r>
          </w:p>
        </w:tc>
      </w:tr>
      <w:tr>
        <w:trPr>
          <w:trHeight w:val="561"/>
        </w:trPr>
        <w:tc>
          <w:tcPr>
            <w:tcW w:w="1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S-3</w:t>
            </w: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102" w:name="page103"/>
    <w:bookmarkEnd w:id="102"/>
    <w:p>
      <w:pPr>
        <w:jc w:val="center"/>
        <w:ind w:right="-139"/>
        <w:spacing w:after="0"/>
        <w:rPr>
          <w:sz w:val="20"/>
          <w:szCs w:val="20"/>
          <w:color w:val="auto"/>
        </w:rPr>
      </w:pPr>
      <w:r>
        <w:rPr>
          <w:rFonts w:ascii="Arial" w:cs="Arial" w:eastAsia="Arial" w:hAnsi="Arial"/>
          <w:sz w:val="18"/>
          <w:szCs w:val="18"/>
          <w:b w:val="1"/>
          <w:bCs w:val="1"/>
          <w:color w:val="auto"/>
        </w:rPr>
        <w:t>Schedule 6.08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Unrestricted Subsidiaries</w:t>
      </w:r>
    </w:p>
    <w:p>
      <w:pPr>
        <w:spacing w:after="0" w:line="229"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Holdings Corporation and its subsidiaries (except Comcast Cable Communications,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Navy Holdings, LLC and its subsidiaries, including NBCUniversal Enterprise,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NBCUniversal Enterprise, Inc. (f/k/a Navy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Contribution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Navy Contribution, LLC and its subsidiaries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NBCUniversal, LLC and its subsidiaries (except for NBCUniversal Media,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Navy Acquisition,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Comcast CSA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NBCUniversal Asia, LLC and its subsidiaries (Universal Studios Japan)</w:t>
      </w:r>
    </w:p>
    <w:p>
      <w:pPr>
        <w:spacing w:after="0" w:line="22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Subsidiaries of Universal City Studios Productions LLLP that are solely and specifically related 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 LLC, (iv) Universal Beijing Development Services LLC, (v) Universal Beijing Owner Holding LLC and (vi) Universal Beijing Services LLC</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AWTV, LLC and its 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all current and future subsidiaries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103" w:name="page104"/>
    <w:bookmarkEnd w:id="103"/>
    <w:p>
      <w:pPr>
        <w:jc w:val="center"/>
        <w:ind w:right="-1200"/>
        <w:spacing w:after="0"/>
        <w:rPr>
          <w:sz w:val="20"/>
          <w:szCs w:val="20"/>
          <w:color w:val="auto"/>
        </w:rPr>
      </w:pPr>
      <w:r>
        <w:rPr>
          <w:rFonts w:ascii="Arial" w:cs="Arial" w:eastAsia="Arial" w:hAnsi="Arial"/>
          <w:sz w:val="18"/>
          <w:szCs w:val="18"/>
          <w:b w:val="1"/>
          <w:bCs w:val="1"/>
          <w:color w:val="auto"/>
        </w:rPr>
        <w:t>Schedule 10.02</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u w:val="single" w:color="auto"/>
          <w:color w:val="auto"/>
        </w:rPr>
        <w:t>Addresses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to Borrower,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286-7564</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Administrative Agent,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payments and Requests for Credit Extensions):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Jared McClure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469-201-4418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214-290-9413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jared.l.mcclure@baml.com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Notices as Administrative Agent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W. Trade St.,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NC1-026-06-03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Melissa Mullis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980-386-9372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704-409-0617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melissa.mullis@baml.com</w:t>
      </w:r>
    </w:p>
    <w:p>
      <w:pPr>
        <w:spacing w:after="0" w:line="3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GUARANTEE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1238250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the other Subsidiaries from time to time parties hereto</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Dated as of 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1155700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272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72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540"/>
        </w:trPr>
        <w:tc>
          <w:tcPr>
            <w:tcW w:w="8700" w:type="dxa"/>
            <w:vAlign w:val="bottom"/>
            <w:gridSpan w:val="2"/>
          </w:tcPr>
          <w:p>
            <w:pPr>
              <w:spacing w:after="0"/>
              <w:rPr>
                <w:sz w:val="20"/>
                <w:szCs w:val="20"/>
                <w:color w:val="auto"/>
              </w:rPr>
            </w:pPr>
            <w:r>
              <w:rPr>
                <w:rFonts w:ascii="Arial" w:cs="Arial" w:eastAsia="Arial" w:hAnsi="Arial"/>
                <w:sz w:val="18"/>
                <w:szCs w:val="18"/>
                <w:color w:val="auto"/>
              </w:rPr>
              <w:t>Section 1 DEFINED TERMS</w:t>
            </w:r>
          </w:p>
        </w:tc>
        <w:tc>
          <w:tcPr>
            <w:tcW w:w="2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0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040" w:type="dxa"/>
            <w:vAlign w:val="bottom"/>
          </w:tcPr>
          <w:p>
            <w:pPr>
              <w:ind w:left="60"/>
              <w:spacing w:after="0"/>
              <w:rPr>
                <w:sz w:val="20"/>
                <w:szCs w:val="20"/>
                <w:color w:val="auto"/>
              </w:rPr>
            </w:pPr>
            <w:r>
              <w:rPr>
                <w:rFonts w:ascii="Arial" w:cs="Arial" w:eastAsia="Arial" w:hAnsi="Arial"/>
                <w:sz w:val="18"/>
                <w:szCs w:val="18"/>
                <w:color w:val="auto"/>
              </w:rPr>
              <w:t>Other Definitional Provisions</w:t>
            </w:r>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8"/>
        </w:trPr>
        <w:tc>
          <w:tcPr>
            <w:tcW w:w="8700" w:type="dxa"/>
            <w:vAlign w:val="bottom"/>
            <w:gridSpan w:val="2"/>
          </w:tcPr>
          <w:p>
            <w:pPr>
              <w:spacing w:after="0"/>
              <w:rPr>
                <w:sz w:val="20"/>
                <w:szCs w:val="20"/>
                <w:color w:val="auto"/>
              </w:rPr>
            </w:pPr>
            <w:r>
              <w:rPr>
                <w:rFonts w:ascii="Arial" w:cs="Arial" w:eastAsia="Arial" w:hAnsi="Arial"/>
                <w:sz w:val="18"/>
                <w:szCs w:val="18"/>
                <w:color w:val="auto"/>
              </w:rPr>
              <w:t>Section 2 GUARANTEE</w:t>
            </w:r>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8040" w:type="dxa"/>
            <w:vAlign w:val="bottom"/>
          </w:tcPr>
          <w:p>
            <w:pPr>
              <w:ind w:left="60"/>
              <w:spacing w:after="0"/>
              <w:rPr>
                <w:sz w:val="20"/>
                <w:szCs w:val="20"/>
                <w:color w:val="auto"/>
              </w:rPr>
            </w:pPr>
            <w:r>
              <w:rPr>
                <w:rFonts w:ascii="Arial" w:cs="Arial" w:eastAsia="Arial" w:hAnsi="Arial"/>
                <w:sz w:val="18"/>
                <w:szCs w:val="18"/>
                <w:color w:val="auto"/>
              </w:rPr>
              <w:t>Guarantee</w:t>
            </w:r>
          </w:p>
        </w:tc>
        <w:tc>
          <w:tcPr>
            <w:tcW w:w="2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2.02.</w:t>
            </w:r>
          </w:p>
        </w:tc>
        <w:tc>
          <w:tcPr>
            <w:tcW w:w="8040" w:type="dxa"/>
            <w:vAlign w:val="bottom"/>
          </w:tcPr>
          <w:p>
            <w:pPr>
              <w:ind w:left="60"/>
              <w:spacing w:after="0"/>
              <w:rPr>
                <w:sz w:val="20"/>
                <w:szCs w:val="20"/>
                <w:color w:val="auto"/>
              </w:rPr>
            </w:pPr>
            <w:r>
              <w:rPr>
                <w:rFonts w:ascii="Arial" w:cs="Arial" w:eastAsia="Arial" w:hAnsi="Arial"/>
                <w:sz w:val="18"/>
                <w:szCs w:val="18"/>
                <w:color w:val="auto"/>
              </w:rPr>
              <w:t>Right of Contribution</w:t>
            </w:r>
          </w:p>
        </w:tc>
        <w:tc>
          <w:tcPr>
            <w:tcW w:w="2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8040" w:type="dxa"/>
            <w:vAlign w:val="bottom"/>
          </w:tcPr>
          <w:p>
            <w:pPr>
              <w:ind w:left="60"/>
              <w:spacing w:after="0"/>
              <w:rPr>
                <w:sz w:val="20"/>
                <w:szCs w:val="20"/>
                <w:color w:val="auto"/>
              </w:rPr>
            </w:pPr>
            <w:r>
              <w:rPr>
                <w:rFonts w:ascii="Arial" w:cs="Arial" w:eastAsia="Arial" w:hAnsi="Arial"/>
                <w:sz w:val="18"/>
                <w:szCs w:val="18"/>
                <w:color w:val="auto"/>
              </w:rPr>
              <w:t>No Subrogation</w:t>
            </w:r>
          </w:p>
        </w:tc>
        <w:tc>
          <w:tcPr>
            <w:tcW w:w="2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2.04.</w:t>
            </w:r>
          </w:p>
        </w:tc>
        <w:tc>
          <w:tcPr>
            <w:tcW w:w="8040" w:type="dxa"/>
            <w:vAlign w:val="bottom"/>
          </w:tcPr>
          <w:p>
            <w:pPr>
              <w:ind w:left="60"/>
              <w:spacing w:after="0"/>
              <w:rPr>
                <w:sz w:val="20"/>
                <w:szCs w:val="20"/>
                <w:color w:val="auto"/>
              </w:rPr>
            </w:pPr>
            <w:r>
              <w:rPr>
                <w:rFonts w:ascii="Arial" w:cs="Arial" w:eastAsia="Arial" w:hAnsi="Arial"/>
                <w:sz w:val="18"/>
                <w:szCs w:val="18"/>
                <w:color w:val="auto"/>
              </w:rPr>
              <w:t>Amendments, etc. with respect to the Borrower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8040" w:type="dxa"/>
            <w:vAlign w:val="bottom"/>
          </w:tcPr>
          <w:p>
            <w:pPr>
              <w:ind w:left="60"/>
              <w:spacing w:after="0"/>
              <w:rPr>
                <w:sz w:val="20"/>
                <w:szCs w:val="20"/>
                <w:color w:val="auto"/>
              </w:rPr>
            </w:pPr>
            <w:r>
              <w:rPr>
                <w:rFonts w:ascii="Arial" w:cs="Arial" w:eastAsia="Arial" w:hAnsi="Arial"/>
                <w:sz w:val="18"/>
                <w:szCs w:val="18"/>
                <w:color w:val="auto"/>
              </w:rPr>
              <w:t>Guarantee Absolute and Unconditional</w:t>
            </w:r>
          </w:p>
        </w:tc>
        <w:tc>
          <w:tcPr>
            <w:tcW w:w="2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804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8040" w:type="dxa"/>
            <w:vAlign w:val="bottom"/>
          </w:tcPr>
          <w:p>
            <w:pPr>
              <w:ind w:left="60"/>
              <w:spacing w:after="0"/>
              <w:rPr>
                <w:sz w:val="20"/>
                <w:szCs w:val="20"/>
                <w:color w:val="auto"/>
              </w:rPr>
            </w:pPr>
            <w:r>
              <w:rPr>
                <w:rFonts w:ascii="Arial" w:cs="Arial" w:eastAsia="Arial" w:hAnsi="Arial"/>
                <w:sz w:val="18"/>
                <w:szCs w:val="18"/>
                <w:color w:val="auto"/>
              </w:rPr>
              <w:t>Payments</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8"/>
        </w:trPr>
        <w:tc>
          <w:tcPr>
            <w:tcW w:w="8700" w:type="dxa"/>
            <w:vAlign w:val="bottom"/>
            <w:gridSpan w:val="2"/>
          </w:tcPr>
          <w:p>
            <w:pPr>
              <w:spacing w:after="0"/>
              <w:rPr>
                <w:sz w:val="20"/>
                <w:szCs w:val="20"/>
                <w:color w:val="auto"/>
              </w:rPr>
            </w:pPr>
            <w:r>
              <w:rPr>
                <w:rFonts w:ascii="Arial" w:cs="Arial" w:eastAsia="Arial" w:hAnsi="Arial"/>
                <w:sz w:val="18"/>
                <w:szCs w:val="18"/>
                <w:color w:val="auto"/>
              </w:rPr>
              <w:t>Section 3 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8040" w:type="dxa"/>
            <w:vAlign w:val="bottom"/>
          </w:tcPr>
          <w:p>
            <w:pPr>
              <w:ind w:left="60"/>
              <w:spacing w:after="0"/>
              <w:rPr>
                <w:sz w:val="20"/>
                <w:szCs w:val="20"/>
                <w:color w:val="auto"/>
              </w:rPr>
            </w:pPr>
            <w:r>
              <w:rPr>
                <w:rFonts w:ascii="Arial" w:cs="Arial" w:eastAsia="Arial" w:hAnsi="Arial"/>
                <w:sz w:val="18"/>
                <w:szCs w:val="18"/>
                <w:color w:val="auto"/>
              </w:rPr>
              <w:t>Amendments in Writing</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8040" w:type="dxa"/>
            <w:vAlign w:val="bottom"/>
          </w:tcPr>
          <w:p>
            <w:pPr>
              <w:ind w:left="6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8040" w:type="dxa"/>
            <w:vAlign w:val="bottom"/>
          </w:tcPr>
          <w:p>
            <w:pPr>
              <w:ind w:left="60"/>
              <w:spacing w:after="0"/>
              <w:rPr>
                <w:sz w:val="20"/>
                <w:szCs w:val="20"/>
                <w:color w:val="auto"/>
              </w:rPr>
            </w:pPr>
            <w:r>
              <w:rPr>
                <w:rFonts w:ascii="Arial" w:cs="Arial" w:eastAsia="Arial" w:hAnsi="Arial"/>
                <w:sz w:val="18"/>
                <w:szCs w:val="18"/>
                <w:color w:val="auto"/>
              </w:rPr>
              <w:t>No Waiver by Course of Conduct; Cumulative Remedies</w:t>
            </w:r>
          </w:p>
        </w:tc>
        <w:tc>
          <w:tcPr>
            <w:tcW w:w="2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8040" w:type="dxa"/>
            <w:vAlign w:val="bottom"/>
          </w:tcPr>
          <w:p>
            <w:pPr>
              <w:ind w:left="60"/>
              <w:spacing w:after="0"/>
              <w:rPr>
                <w:sz w:val="20"/>
                <w:szCs w:val="20"/>
                <w:color w:val="auto"/>
              </w:rPr>
            </w:pPr>
            <w:r>
              <w:rPr>
                <w:rFonts w:ascii="Arial" w:cs="Arial" w:eastAsia="Arial" w:hAnsi="Arial"/>
                <w:sz w:val="18"/>
                <w:szCs w:val="18"/>
                <w:color w:val="auto"/>
              </w:rPr>
              <w:t>Enforcement Expenses; Indemnification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804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3.06.</w:t>
            </w:r>
          </w:p>
        </w:tc>
        <w:tc>
          <w:tcPr>
            <w:tcW w:w="8040" w:type="dxa"/>
            <w:vAlign w:val="bottom"/>
          </w:tcPr>
          <w:p>
            <w:pPr>
              <w:ind w:left="60"/>
              <w:spacing w:after="0"/>
              <w:rPr>
                <w:sz w:val="20"/>
                <w:szCs w:val="20"/>
                <w:color w:val="auto"/>
              </w:rPr>
            </w:pPr>
            <w:r>
              <w:rPr>
                <w:rFonts w:ascii="Arial" w:cs="Arial" w:eastAsia="Arial" w:hAnsi="Arial"/>
                <w:sz w:val="18"/>
                <w:szCs w:val="18"/>
                <w:color w:val="auto"/>
              </w:rPr>
              <w:t>Set-Off</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804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80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8040" w:type="dxa"/>
            <w:vAlign w:val="bottom"/>
          </w:tcPr>
          <w:p>
            <w:pPr>
              <w:ind w:left="60"/>
              <w:spacing w:after="0"/>
              <w:rPr>
                <w:sz w:val="20"/>
                <w:szCs w:val="20"/>
                <w:color w:val="auto"/>
              </w:rPr>
            </w:pPr>
            <w:r>
              <w:rPr>
                <w:rFonts w:ascii="Arial" w:cs="Arial" w:eastAsia="Arial" w:hAnsi="Arial"/>
                <w:sz w:val="18"/>
                <w:szCs w:val="18"/>
                <w:color w:val="auto"/>
              </w:rPr>
              <w:t>Section Headings</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804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80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8040" w:type="dxa"/>
            <w:vAlign w:val="bottom"/>
          </w:tcPr>
          <w:p>
            <w:pPr>
              <w:ind w:left="60"/>
              <w:spacing w:after="0"/>
              <w:rPr>
                <w:sz w:val="20"/>
                <w:szCs w:val="20"/>
                <w:color w:val="auto"/>
              </w:rPr>
            </w:pPr>
            <w:r>
              <w:rPr>
                <w:rFonts w:ascii="Arial" w:cs="Arial" w:eastAsia="Arial" w:hAnsi="Arial"/>
                <w:sz w:val="18"/>
                <w:szCs w:val="18"/>
                <w:color w:val="auto"/>
              </w:rPr>
              <w:t>Submission To Jurisdiction; Waivers</w:t>
            </w:r>
          </w:p>
        </w:tc>
        <w:tc>
          <w:tcPr>
            <w:tcW w:w="2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8040" w:type="dxa"/>
            <w:vAlign w:val="bottom"/>
          </w:tcPr>
          <w:p>
            <w:pPr>
              <w:ind w:left="60"/>
              <w:spacing w:after="0"/>
              <w:rPr>
                <w:sz w:val="20"/>
                <w:szCs w:val="20"/>
                <w:color w:val="auto"/>
              </w:rPr>
            </w:pPr>
            <w:r>
              <w:rPr>
                <w:rFonts w:ascii="Arial" w:cs="Arial" w:eastAsia="Arial" w:hAnsi="Arial"/>
                <w:sz w:val="18"/>
                <w:szCs w:val="18"/>
                <w:color w:val="auto"/>
              </w:rPr>
              <w:t>Acknowledgements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8040" w:type="dxa"/>
            <w:vAlign w:val="bottom"/>
          </w:tcPr>
          <w:p>
            <w:pPr>
              <w:ind w:left="60"/>
              <w:spacing w:after="0"/>
              <w:rPr>
                <w:sz w:val="20"/>
                <w:szCs w:val="20"/>
                <w:color w:val="auto"/>
              </w:rPr>
            </w:pPr>
            <w:r>
              <w:rPr>
                <w:rFonts w:ascii="Arial" w:cs="Arial" w:eastAsia="Arial" w:hAnsi="Arial"/>
                <w:sz w:val="18"/>
                <w:szCs w:val="18"/>
                <w:color w:val="auto"/>
              </w:rPr>
              <w:t>Additional Guarantors</w:t>
            </w:r>
          </w:p>
        </w:tc>
        <w:tc>
          <w:tcPr>
            <w:tcW w:w="2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3.15.</w:t>
            </w:r>
          </w:p>
        </w:tc>
        <w:tc>
          <w:tcPr>
            <w:tcW w:w="804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7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Schedule 1</w:t>
      </w:r>
      <w:r>
        <w:rPr>
          <w:sz w:val="20"/>
          <w:szCs w:val="20"/>
          <w:color w:val="auto"/>
        </w:rPr>
        <w:tab/>
      </w:r>
      <w:r>
        <w:rPr>
          <w:rFonts w:ascii="Arial" w:cs="Arial" w:eastAsia="Arial" w:hAnsi="Arial"/>
          <w:sz w:val="16"/>
          <w:szCs w:val="16"/>
          <w:color w:val="auto"/>
        </w:rPr>
        <w:t>Notice 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Annex 1</w:t>
      </w:r>
      <w:r>
        <w:rPr>
          <w:sz w:val="20"/>
          <w:szCs w:val="20"/>
          <w:color w:val="auto"/>
        </w:rPr>
        <w:tab/>
      </w:r>
      <w:r>
        <w:rPr>
          <w:rFonts w:ascii="Arial" w:cs="Arial" w:eastAsia="Arial" w:hAnsi="Arial"/>
          <w:sz w:val="16"/>
          <w:szCs w:val="16"/>
          <w:color w:val="auto"/>
        </w:rPr>
        <w:t>Form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GUARANTEE AGREEMENT</w:t>
      </w:r>
    </w:p>
    <w:p>
      <w:pPr>
        <w:spacing w:after="0" w:line="22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GUARANTEE AGREEMENT, dated as of April 25, 2018, made by each of the signatories hereto, in favor of BANK OF AMERICA, N.A., as Administrative Agent (in such capacity, the “Administrative Agent”) for the banks and other financial institutions or entities (the “Lenders”) from time to time parties to the Term Loan Credit Agreement, dated as of the date hereof (as amended, supplemented or otherwise modified from time to time, the “Credit Agreement”), among COMCAST CORPORATION, a Pennsylvania corporation (the “Borrower”), the Lenders and the Administrative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Borrower and Guarantors are engaged in related businesses, and each Guarantor will derive substantial direct and indirect benefit from the making of the extensions of credit under the Credit Agreement; and</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it is a condition precedent to the effectiveness of the Credit Agreement that the Guarantors shall have executed and delivered this Agreement to the Administrative Agent for the ratable benefit of the Lenders;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thereunder, each Guarantor hereby agrees with the Administrative Agent, for the ratable benefit of the Lenders,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DEFINED TERMS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1820" w:hanging="515"/>
        <w:spacing w:after="0"/>
        <w:tabs>
          <w:tab w:leader="none" w:pos="1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“Agreement”: this Guarantee Agreement, as the same may be amended, supplemented or otherwise modified from time to time.</w:t>
      </w:r>
    </w:p>
    <w:p>
      <w:pPr>
        <w:spacing w:after="0" w:line="23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“Borrower Obligations”: the collective reference to the unpaid principal of and interest on the Loans made to the Borrower and all other obligations and liabilities of the Borrower (including, without limitation, interest accruing at the then applicable rate provided in the Credit Agreement after the maturity of the Loans made to it and interest accruing at the then applicable rate provided in the Credit Agreement after the filing of any petition in bankruptcy, or the commencement of any insolvency, reorganization or like proceeding, relating to the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8" w:name="page109"/>
    <w:bookmarkEnd w:id="108"/>
    <w:p>
      <w:pPr>
        <w:jc w:val="both"/>
        <w:spacing w:after="0" w:line="255" w:lineRule="auto"/>
        <w:rPr>
          <w:sz w:val="20"/>
          <w:szCs w:val="20"/>
          <w:color w:val="auto"/>
        </w:rPr>
      </w:pPr>
      <w:r>
        <w:rPr>
          <w:rFonts w:ascii="Arial" w:cs="Arial" w:eastAsia="Arial" w:hAnsi="Arial"/>
          <w:sz w:val="18"/>
          <w:szCs w:val="18"/>
          <w:color w:val="auto"/>
        </w:rPr>
        <w:t>Borrower, whether or not a claim for post-filing or post-petition interest is allowed in such proceeding) to the Administrative Agent or any Lender, whether direct or indirect, absolute or contingent, due or to become due, or now existing or hereafter incurred, which may arise under, out of, or in connection with, the Credit Agreement, this Agreement, the other Loan Documents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“Guarantor Obligations”: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“Guarantors”: the collective reference to each of the signatories hereto and the other entities that may become a party hereto as provided herein (in each case, unless released pursuant to the terms of the Loan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“Obligations”: in the case of each Guarantor, its Guarantor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1820" w:hanging="515"/>
        <w:spacing w:after="0"/>
        <w:tabs>
          <w:tab w:leader="none" w:pos="18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5260"/>
        <w:spacing w:after="0"/>
        <w:rPr>
          <w:rFonts w:ascii="Arial" w:cs="Arial" w:eastAsia="Arial" w:hAnsi="Arial"/>
          <w:sz w:val="17"/>
          <w:szCs w:val="17"/>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Guarantee</w:t>
      </w:r>
      <w:r>
        <w:rPr>
          <w:rFonts w:ascii="Arial" w:cs="Arial" w:eastAsia="Arial" w:hAnsi="Arial"/>
          <w:sz w:val="18"/>
          <w:szCs w:val="18"/>
          <w:color w:val="auto"/>
        </w:rPr>
        <w:t>. (a) Subject to the provisions of Section 2.01(b),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w:t>
      </w:r>
    </w:p>
    <w:p>
      <w:pPr>
        <w:spacing w:after="0" w:line="187" w:lineRule="exact"/>
        <w:rPr>
          <w:sz w:val="20"/>
          <w:szCs w:val="20"/>
          <w:color w:val="auto"/>
        </w:rPr>
      </w:pPr>
    </w:p>
    <w:p>
      <w:pPr>
        <w:jc w:val="both"/>
        <w:ind w:firstLine="1305"/>
        <w:spacing w:after="0" w:line="312" w:lineRule="auto"/>
        <w:tabs>
          <w:tab w:leader="none" w:pos="181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2.02).</w:t>
      </w:r>
    </w:p>
    <w:p>
      <w:pPr>
        <w:spacing w:after="0" w:line="146" w:lineRule="exact"/>
        <w:rPr>
          <w:rFonts w:ascii="Arial" w:cs="Arial" w:eastAsia="Arial" w:hAnsi="Arial"/>
          <w:sz w:val="16"/>
          <w:szCs w:val="16"/>
          <w:color w:val="auto"/>
        </w:rPr>
      </w:pPr>
    </w:p>
    <w:p>
      <w:pPr>
        <w:ind w:firstLine="1305"/>
        <w:spacing w:after="0" w:line="277" w:lineRule="auto"/>
        <w:tabs>
          <w:tab w:leader="none" w:pos="1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exceed the amount of the liability of such Guarantor hereunder without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impairing the guarantee contained in this Section 2 or affecting the rights and remedies of the Administrative Agent or any Lender hereunder.</w:t>
      </w:r>
    </w:p>
    <w:p>
      <w:pPr>
        <w:spacing w:after="0" w:line="225" w:lineRule="exact"/>
        <w:rPr>
          <w:sz w:val="20"/>
          <w:szCs w:val="20"/>
          <w:color w:val="auto"/>
        </w:rPr>
      </w:pPr>
    </w:p>
    <w:p>
      <w:pPr>
        <w:jc w:val="both"/>
        <w:ind w:firstLine="1305"/>
        <w:spacing w:after="0" w:line="259" w:lineRule="auto"/>
        <w:tabs>
          <w:tab w:leader="none" w:pos="18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Borrower Obligations and the obligations of each Guarantor under the guarantee contained in this Section 2 shall have been satisfied by payment in full (other than contingent indemnification and expense reimbursement obligations) and all Commitments shall be terminated, notwithstanding that from time to time during the term of the Credit Agreement the Borrower may be free from the Borrower Obligations.</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6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contingent indemnification and expense reimbursement obligations) are paid in full and all Commitments are terminated.</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2.02,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2.03. The provisions of this Section 2.02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and expense reimbursement obligations) are paid in full and all Commitments are terminated. If any amount shall be paid to any Guarantor on account of such subrogation rights at any time when all of the Borrower Obligations (other than contingent indemnification and expense reimbursement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0" w:name="page111"/>
    <w:bookmarkEnd w:id="110"/>
    <w:p>
      <w:pPr>
        <w:jc w:val="both"/>
        <w:spacing w:after="0" w:line="277" w:lineRule="auto"/>
        <w:rPr>
          <w:sz w:val="20"/>
          <w:szCs w:val="20"/>
          <w:color w:val="auto"/>
        </w:rPr>
      </w:pPr>
      <w:r>
        <w:rPr>
          <w:rFonts w:ascii="Arial" w:cs="Arial" w:eastAsia="Arial" w:hAnsi="Arial"/>
          <w:sz w:val="18"/>
          <w:szCs w:val="18"/>
          <w:color w:val="auto"/>
        </w:rPr>
        <w:t>Guarantor to the Administrative Agent, if required), to be applied against the Borrower Obligations, whether matured or unmatured, in such order as the Administrative Agent may determine.</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Amendments, etc. with respect to the Borrower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2 or any property subject thereto.</w:t>
      </w:r>
    </w:p>
    <w:p>
      <w:pPr>
        <w:spacing w:after="0" w:line="17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Borrower Obligations and notice of or proof of reliance by the Administrative Agent or any Lender upon the guarantee contained in this Section 2 or acceptance of the guarantee contained in this Section 2; the Borrower Obligations, and any of them, shall conclusively be deemed to have been created, contracted or incurred, or renewed, extended, amended or waived, in reliance upon the guarantee contained in this Section 2; and all dealings between the Borrower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Borrower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7"/>
          <w:szCs w:val="17"/>
          <w:color w:val="auto"/>
        </w:rPr>
        <w:t>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the currency otherwise required pursuant to the terms of the Credit Agreement at the Administrative Agent’s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Neither the Administrative Agent nor any Lender shall by any act (except by a written instrument pursuant to Section 3.01),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2" w:name="page113"/>
    <w:bookmarkEnd w:id="112"/>
    <w:p>
      <w:pPr>
        <w:jc w:val="both"/>
        <w:ind w:firstLine="1297"/>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but solely to the extent such costs and expenses would be reimbursable by the Borrower pursuant to Section 10.03 of the Credit Agreement.</w:t>
      </w:r>
    </w:p>
    <w:p>
      <w:pPr>
        <w:spacing w:after="0" w:line="187" w:lineRule="exact"/>
        <w:rPr>
          <w:sz w:val="20"/>
          <w:szCs w:val="20"/>
          <w:color w:val="auto"/>
        </w:rPr>
      </w:pPr>
    </w:p>
    <w:p>
      <w:pPr>
        <w:jc w:val="both"/>
        <w:ind w:firstLine="1305"/>
        <w:spacing w:after="0" w:line="259" w:lineRule="auto"/>
        <w:tabs>
          <w:tab w:leader="none" w:pos="20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186" w:lineRule="exact"/>
        <w:rPr>
          <w:rFonts w:ascii="Arial" w:cs="Arial" w:eastAsia="Arial" w:hAnsi="Arial"/>
          <w:sz w:val="18"/>
          <w:szCs w:val="18"/>
          <w:color w:val="auto"/>
        </w:rPr>
      </w:pPr>
    </w:p>
    <w:p>
      <w:pPr>
        <w:ind w:firstLine="1305"/>
        <w:spacing w:after="0" w:line="277" w:lineRule="auto"/>
        <w:tabs>
          <w:tab w:leader="none" w:pos="19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agreements in this Section 3.04 shall survive repayment of the Obligations and all other amounts payable under the Credit Agreement and the other Loan Documents.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Guarantor and shall inure to the benefit of the Administrative Agent and the Lenders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Guarantor promptly of any such set-off and the application made by the Administrative Agent or such Lender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and each Lender under this Section 3.06 are in addition to other rights and remedies (including, without limitation, other rights of set-off) which the Administrative Agent or such Lender may have.</w:t>
      </w:r>
    </w:p>
    <w:p>
      <w:pPr>
        <w:spacing w:after="0" w:line="17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in “.pdf” form), and all of said counterparts taken together shall be deemed to constitute one and the same instrument.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3" w:name="page114"/>
    <w:bookmarkEnd w:id="113"/>
    <w:p>
      <w:pPr>
        <w:jc w:val="both"/>
        <w:ind w:right="20" w:firstLine="1297"/>
        <w:spacing w:after="0" w:line="264"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Guarantor hereby irrevocably and unconditionally:</w:t>
      </w:r>
    </w:p>
    <w:p>
      <w:pPr>
        <w:spacing w:after="0" w:line="225" w:lineRule="exact"/>
        <w:rPr>
          <w:sz w:val="20"/>
          <w:szCs w:val="20"/>
          <w:color w:val="auto"/>
        </w:rPr>
      </w:pPr>
    </w:p>
    <w:p>
      <w:pPr>
        <w:jc w:val="both"/>
        <w:ind w:firstLine="1305"/>
        <w:spacing w:after="0" w:line="264" w:lineRule="auto"/>
        <w:tabs>
          <w:tab w:leader="none" w:pos="19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firstLine="1305"/>
        <w:spacing w:after="0" w:line="277" w:lineRule="auto"/>
        <w:tabs>
          <w:tab w:leader="none" w:pos="18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18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3.02 hereof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0" w:firstLine="1305"/>
        <w:spacing w:after="0" w:line="308" w:lineRule="auto"/>
        <w:tabs>
          <w:tab w:leader="none" w:pos="187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waiver set forth in this clause (f)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shall not affect any obligation of the Borrower or any Guarantor under Section 3.04 of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Guarantor hereby acknowledges that:</w:t>
      </w:r>
    </w:p>
    <w:p>
      <w:pPr>
        <w:spacing w:after="0" w:line="225" w:lineRule="exact"/>
        <w:rPr>
          <w:sz w:val="20"/>
          <w:szCs w:val="20"/>
          <w:color w:val="auto"/>
        </w:rPr>
      </w:pPr>
    </w:p>
    <w:p>
      <w:pPr>
        <w:ind w:left="1840" w:hanging="535"/>
        <w:spacing w:after="0"/>
        <w:tabs>
          <w:tab w:leader="none" w:pos="18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a party;</w:t>
      </w:r>
    </w:p>
    <w:p>
      <w:pPr>
        <w:spacing w:after="0" w:line="211" w:lineRule="exact"/>
        <w:rPr>
          <w:sz w:val="20"/>
          <w:szCs w:val="20"/>
          <w:color w:val="auto"/>
        </w:rPr>
      </w:pPr>
    </w:p>
    <w:p>
      <w:pPr>
        <w:jc w:val="both"/>
        <w:ind w:firstLine="1305"/>
        <w:spacing w:after="0" w:line="302" w:lineRule="auto"/>
        <w:tabs>
          <w:tab w:leader="none" w:pos="191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54" w:lineRule="exact"/>
        <w:rPr>
          <w:rFonts w:ascii="Arial" w:cs="Arial" w:eastAsia="Arial" w:hAnsi="Arial"/>
          <w:sz w:val="16"/>
          <w:szCs w:val="16"/>
          <w:color w:val="auto"/>
        </w:rPr>
      </w:pPr>
    </w:p>
    <w:p>
      <w:pPr>
        <w:ind w:firstLine="1305"/>
        <w:spacing w:after="0" w:line="277" w:lineRule="auto"/>
        <w:tabs>
          <w:tab w:leader="none" w:pos="190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executes and delivers an Assumption Agreement in the form of Annex 1 hereto shall become a Guarantor for all purposes of this Agreement, subject in all respects to the provisions of Section 6.08 and 6.10 of the Credit Agreement, which govern the release of Guarantors from this Agreement. If any Person shall be released as a Guarantor pursuant to Section 6.08 or 6.10 of the Credit Agreement (as applicable), such Person shall immediately and automatically, without need for further action, cease to be a Guarantor hereunder and shall be, and shall be deemed to be, released from all obligations under and in respect of this Agreement. In connection with the release of any Person as a Guarantor, the Administrative Agent agrees, and the Lenders authorize the Administrative Agent, to execute and deliver documents reasonably requested to evidence such release.</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EACH PARTY HERETO HEREBY IRREVOCABLY AND UNCONDITIONALLY WAIVES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TRIAL BY JURY IN ANY LEGAL ACTION OR PROCEEDING RELATING TO THIS AGREEMENT OR ANY OTHER LOAN DOCUMENT AND FOR ANY COUNTERCLAIM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Guarantee Agreement to be duly executed and delivered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6" w:name="page117"/>
    <w:bookmarkEnd w:id="116"/>
    <w:p>
      <w:pPr>
        <w:ind w:left="45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407035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499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1859"/>
        <w:spacing w:after="0"/>
        <w:rPr>
          <w:sz w:val="20"/>
          <w:szCs w:val="20"/>
          <w:color w:val="auto"/>
        </w:rPr>
      </w:pPr>
      <w:r>
        <w:rPr>
          <w:rFonts w:ascii="Arial" w:cs="Arial" w:eastAsia="Arial" w:hAnsi="Arial"/>
          <w:sz w:val="18"/>
          <w:szCs w:val="18"/>
          <w:color w:val="auto"/>
        </w:rPr>
        <w:t>[Signature Page – Guarantee Agreement –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225" w:lineRule="exact"/>
        <w:rPr>
          <w:sz w:val="20"/>
          <w:szCs w:val="20"/>
          <w:color w:val="auto"/>
        </w:rPr>
      </w:pPr>
    </w:p>
    <w:p>
      <w:pPr>
        <w:ind w:right="9160" w:firstLine="8"/>
        <w:spacing w:after="0" w:line="288" w:lineRule="auto"/>
        <w:tabs>
          <w:tab w:leader="none" w:pos="45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 Comcast Corporation One Comcast Center Philadelphia, PA 19103</w:t>
      </w:r>
    </w:p>
    <w:tbl>
      <w:tblPr>
        <w:tblLayout w:type="fixed"/>
        <w:tblInd w:w="0" w:type="dxa"/>
        <w:tblCellMar>
          <w:top w:w="0" w:type="dxa"/>
          <w:left w:w="0" w:type="dxa"/>
          <w:bottom w:w="0" w:type="dxa"/>
          <w:right w:w="0" w:type="dxa"/>
        </w:tblCellMar>
      </w:tblPr>
      <w:tr>
        <w:trPr>
          <w:trHeight w:val="202"/>
        </w:trPr>
        <w:tc>
          <w:tcPr>
            <w:tcW w:w="1060" w:type="dxa"/>
            <w:vAlign w:val="bottom"/>
          </w:tcPr>
          <w:p>
            <w:pPr>
              <w:spacing w:after="0" w:line="202" w:lineRule="exact"/>
              <w:rPr>
                <w:sz w:val="20"/>
                <w:szCs w:val="20"/>
                <w:color w:val="auto"/>
              </w:rPr>
            </w:pPr>
            <w:r>
              <w:rPr>
                <w:rFonts w:ascii="Arial" w:cs="Arial" w:eastAsia="Arial" w:hAnsi="Arial"/>
                <w:sz w:val="18"/>
                <w:szCs w:val="18"/>
                <w:color w:val="auto"/>
              </w:rPr>
              <w:t>Attention:</w:t>
            </w:r>
          </w:p>
        </w:tc>
        <w:tc>
          <w:tcPr>
            <w:tcW w:w="10360" w:type="dxa"/>
            <w:vAlign w:val="bottom"/>
          </w:tcPr>
          <w:p>
            <w:pPr>
              <w:ind w:left="240"/>
              <w:spacing w:after="0" w:line="202" w:lineRule="exact"/>
              <w:rPr>
                <w:sz w:val="20"/>
                <w:szCs w:val="20"/>
                <w:color w:val="auto"/>
              </w:rPr>
            </w:pPr>
            <w:r>
              <w:rPr>
                <w:rFonts w:ascii="Arial" w:cs="Arial" w:eastAsia="Arial" w:hAnsi="Arial"/>
                <w:sz w:val="18"/>
                <w:szCs w:val="18"/>
                <w:color w:val="auto"/>
              </w:rPr>
              <w:t>General Counsel</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Telephone:</w:t>
            </w:r>
          </w:p>
        </w:tc>
        <w:tc>
          <w:tcPr>
            <w:tcW w:w="10360" w:type="dxa"/>
            <w:vAlign w:val="bottom"/>
          </w:tcPr>
          <w:p>
            <w:pPr>
              <w:ind w:left="240"/>
              <w:spacing w:after="0"/>
              <w:rPr>
                <w:sz w:val="20"/>
                <w:szCs w:val="20"/>
                <w:color w:val="auto"/>
              </w:rPr>
            </w:pPr>
            <w:r>
              <w:rPr>
                <w:rFonts w:ascii="Arial" w:cs="Arial" w:eastAsia="Arial" w:hAnsi="Arial"/>
                <w:sz w:val="18"/>
                <w:szCs w:val="18"/>
                <w:color w:val="auto"/>
              </w:rPr>
              <w:t>(215) 286-7564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Facsimile:</w:t>
            </w:r>
          </w:p>
        </w:tc>
        <w:tc>
          <w:tcPr>
            <w:tcW w:w="10360" w:type="dxa"/>
            <w:vAlign w:val="bottom"/>
          </w:tcPr>
          <w:p>
            <w:pPr>
              <w:ind w:left="240"/>
              <w:spacing w:after="0"/>
              <w:rPr>
                <w:sz w:val="20"/>
                <w:szCs w:val="20"/>
                <w:color w:val="auto"/>
              </w:rPr>
            </w:pPr>
            <w:r>
              <w:rPr>
                <w:rFonts w:ascii="Arial" w:cs="Arial" w:eastAsia="Arial" w:hAnsi="Arial"/>
                <w:sz w:val="18"/>
                <w:szCs w:val="18"/>
                <w:color w:val="auto"/>
              </w:rPr>
              <w:t>(215) 286-7794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E-mail:</w:t>
            </w:r>
          </w:p>
        </w:tc>
        <w:tc>
          <w:tcPr>
            <w:tcW w:w="10360" w:type="dxa"/>
            <w:vAlign w:val="bottom"/>
          </w:tcPr>
          <w:p>
            <w:pPr>
              <w:ind w:left="240"/>
              <w:spacing w:after="0"/>
              <w:rPr>
                <w:sz w:val="20"/>
                <w:szCs w:val="20"/>
                <w:color w:val="auto"/>
              </w:rPr>
            </w:pPr>
            <w:r>
              <w:rPr>
                <w:rFonts w:ascii="Arial" w:cs="Arial" w:eastAsia="Arial" w:hAnsi="Arial"/>
                <w:sz w:val="18"/>
                <w:szCs w:val="18"/>
                <w:color w:val="auto"/>
              </w:rPr>
              <w:t>corporate_legal@comcast.com</w:t>
            </w:r>
          </w:p>
        </w:tc>
      </w:tr>
      <w:tr>
        <w:trPr>
          <w:trHeight w:val="594"/>
        </w:trPr>
        <w:tc>
          <w:tcPr>
            <w:tcW w:w="10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Annex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Guarantee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ASSUMPTION AGREEMENT, dated as of ________________, 201_, made by ______________________________ (the “Additional</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Guarantor”), in favor of Bank of America, N.A., as administrative agent (in such capacity, the “Administrative Agent”) for the banks and other financial institutions or entities (the “Lenders”) parties to the Credit Agreement referred to below. All capitalized terms not defined herein shall have the meaning ascribed to them in such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COMCAST CORPORATION (the “Borrower”), the Lenders and the Administrative Agent are parties to that certain Term Loan Credit Agreement, dated as of April 25, 2018 (as amended, supplemented or otherwise modified from time to time, the “Credit Agreement”);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April 25, 2018 (as amended, supplemented or otherwise modified from time to time, the “Guarantee Agreement”) in favor of the Administrative Agent for the benefit of the Lenders;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Additional Guarantor has agreed to execute and deliver this Assumption Agreement in order to become a party to the Guarantee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both"/>
        <w:ind w:firstLine="1305"/>
        <w:spacing w:after="0" w:line="302" w:lineRule="auto"/>
        <w:tabs>
          <w:tab w:leader="none" w:pos="1841"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50" w:lineRule="exact"/>
        <w:rPr>
          <w:rFonts w:ascii="Arial" w:cs="Arial" w:eastAsia="Arial" w:hAnsi="Arial"/>
          <w:sz w:val="16"/>
          <w:szCs w:val="16"/>
          <w:color w:val="auto"/>
        </w:rPr>
      </w:pPr>
    </w:p>
    <w:p>
      <w:pPr>
        <w:ind w:firstLine="1305"/>
        <w:spacing w:after="0" w:line="282" w:lineRule="auto"/>
        <w:tabs>
          <w:tab w:leader="none" w:pos="215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NOTICE ADDRESS[ES] OF ADDITIONAL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923925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 FOR EXTENSION OF CREDIT</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Borrowing of Loans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Conversion or Continuation of Loans</w:t>
      </w:r>
    </w:p>
    <w:p>
      <w:pPr>
        <w:spacing w:after="0" w:line="211" w:lineRule="exact"/>
        <w:rPr>
          <w:sz w:val="20"/>
          <w:szCs w:val="20"/>
          <w:color w:val="auto"/>
        </w:rPr>
      </w:pPr>
    </w:p>
    <w:p>
      <w:pPr>
        <w:ind w:left="1760" w:hanging="455"/>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___________________________ (a Business Day).</w:t>
      </w:r>
    </w:p>
    <w:p>
      <w:pPr>
        <w:spacing w:after="0" w:line="228" w:lineRule="exact"/>
        <w:rPr>
          <w:rFonts w:ascii="Arial" w:cs="Arial" w:eastAsia="Arial" w:hAnsi="Arial"/>
          <w:sz w:val="18"/>
          <w:szCs w:val="18"/>
          <w:color w:val="auto"/>
        </w:rPr>
      </w:pPr>
    </w:p>
    <w:p>
      <w:pPr>
        <w:ind w:left="1760" w:hanging="455"/>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Denominated in the following currency:</w:t>
      </w:r>
      <w:r>
        <w:rPr>
          <w:rFonts w:ascii="Arial" w:cs="Arial" w:eastAsia="Arial" w:hAnsi="Arial"/>
          <w:sz w:val="30"/>
          <w:szCs w:val="30"/>
          <w:color w:val="auto"/>
          <w:vertAlign w:val="superscript"/>
        </w:rPr>
        <w:t>1</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amount of [£] [$]___________________________.</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Comprised of ____________________________________.[type of Loan requested]</w:t>
      </w:r>
      <w:r>
        <w:rPr>
          <w:rFonts w:ascii="Arial" w:cs="Arial" w:eastAsia="Arial" w:hAnsi="Arial"/>
          <w:sz w:val="30"/>
          <w:szCs w:val="30"/>
          <w:color w:val="auto"/>
          <w:vertAlign w:val="superscript"/>
        </w:rPr>
        <w:t>2</w:t>
      </w:r>
    </w:p>
    <w:p>
      <w:pPr>
        <w:spacing w:after="0" w:line="128" w:lineRule="exact"/>
        <w:rPr>
          <w:sz w:val="20"/>
          <w:szCs w:val="20"/>
          <w:color w:val="auto"/>
        </w:rPr>
      </w:pPr>
    </w:p>
    <w:p>
      <w:pPr>
        <w:ind w:firstLine="1305"/>
        <w:spacing w:after="0" w:line="225" w:lineRule="auto"/>
        <w:tabs>
          <w:tab w:leader="none" w:pos="1837" w:val="left"/>
        </w:tabs>
        <w:numPr>
          <w:ilvl w:val="0"/>
          <w:numId w:val="111"/>
        </w:numPr>
        <w:rPr>
          <w:rFonts w:ascii="Arial" w:cs="Arial" w:eastAsia="Arial" w:hAnsi="Arial"/>
          <w:sz w:val="22"/>
          <w:szCs w:val="22"/>
          <w:color w:val="auto"/>
        </w:rPr>
      </w:pPr>
      <w:r>
        <w:rPr>
          <w:rFonts w:ascii="Arial" w:cs="Arial" w:eastAsia="Arial" w:hAnsi="Arial"/>
          <w:sz w:val="18"/>
          <w:szCs w:val="18"/>
          <w:color w:val="auto"/>
        </w:rPr>
        <w:t>[[£]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which Loans shall be [3-Year Sterling Tranche Term Loans][3-Year Dollar Tranche Term Loans] and [[£] [$]]</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of which Loans shall be [5-Year Sterling Tranche Term Loans][5-Year Dollar Tranche Term Loans]</w:t>
      </w:r>
      <w:r>
        <w:rPr>
          <w:rFonts w:ascii="Arial" w:cs="Arial" w:eastAsia="Arial" w:hAnsi="Arial"/>
          <w:sz w:val="30"/>
          <w:szCs w:val="30"/>
          <w:color w:val="auto"/>
          <w:vertAlign w:val="superscript"/>
        </w:rPr>
        <w:t>5</w:t>
      </w:r>
    </w:p>
    <w:p>
      <w:pPr>
        <w:spacing w:after="0" w:line="109" w:lineRule="exact"/>
        <w:rPr>
          <w:rFonts w:ascii="Arial" w:cs="Arial" w:eastAsia="Arial" w:hAnsi="Arial"/>
          <w:sz w:val="22"/>
          <w:szCs w:val="22"/>
          <w:color w:val="auto"/>
        </w:rPr>
      </w:pPr>
    </w:p>
    <w:p>
      <w:pPr>
        <w:ind w:left="1840" w:hanging="535"/>
        <w:spacing w:after="0"/>
        <w:tabs>
          <w:tab w:leader="none" w:pos="1840" w:val="left"/>
        </w:tabs>
        <w:numPr>
          <w:ilvl w:val="0"/>
          <w:numId w:val="111"/>
        </w:numPr>
        <w:rPr>
          <w:rFonts w:ascii="Arial" w:cs="Arial" w:eastAsia="Arial" w:hAnsi="Arial"/>
          <w:sz w:val="22"/>
          <w:szCs w:val="22"/>
          <w:color w:val="auto"/>
        </w:rPr>
      </w:pPr>
      <w:r>
        <w:rPr>
          <w:rFonts w:ascii="Arial" w:cs="Arial" w:eastAsia="Arial" w:hAnsi="Arial"/>
          <w:sz w:val="18"/>
          <w:szCs w:val="18"/>
          <w:color w:val="auto"/>
        </w:rPr>
        <w:t>For Eurodollar Rate Loans: with an Interest Period of ___ months</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(or ___ days,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8097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2"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30"/>
          <w:szCs w:val="30"/>
          <w:color w:val="auto"/>
          <w:vertAlign w:val="superscript"/>
        </w:rPr>
      </w:pPr>
      <w:r>
        <w:rPr>
          <w:rFonts w:ascii="Arial" w:cs="Arial" w:eastAsia="Arial" w:hAnsi="Arial"/>
          <w:sz w:val="18"/>
          <w:szCs w:val="18"/>
          <w:color w:val="auto"/>
        </w:rPr>
        <w:t>Must be Sterling or Dollars.</w:t>
      </w:r>
    </w:p>
    <w:p>
      <w:pPr>
        <w:spacing w:after="0" w:line="8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color w:val="auto"/>
        </w:rPr>
        <w:t>Loans denominated in Sterling must be maintained as Eurodollar Rate Loans.</w:t>
      </w:r>
    </w:p>
    <w:p>
      <w:pPr>
        <w:spacing w:after="0" w:line="87"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30"/>
          <w:szCs w:val="30"/>
          <w:color w:val="auto"/>
          <w:vertAlign w:val="superscript"/>
        </w:rPr>
      </w:pPr>
      <w:r>
        <w:rPr>
          <w:rFonts w:ascii="Arial" w:cs="Arial" w:eastAsia="Arial" w:hAnsi="Arial"/>
          <w:sz w:val="18"/>
          <w:szCs w:val="18"/>
          <w:color w:val="auto"/>
        </w:rPr>
        <w:t>Insert amount.</w:t>
      </w:r>
    </w:p>
    <w:p>
      <w:pPr>
        <w:spacing w:after="0" w:line="114"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30"/>
          <w:szCs w:val="30"/>
          <w:color w:val="auto"/>
          <w:vertAlign w:val="superscript"/>
        </w:rPr>
      </w:pPr>
      <w:r>
        <w:rPr>
          <w:rFonts w:ascii="Arial" w:cs="Arial" w:eastAsia="Arial" w:hAnsi="Arial"/>
          <w:sz w:val="18"/>
          <w:szCs w:val="18"/>
          <w:color w:val="auto"/>
        </w:rPr>
        <w:t>Insert amount.</w:t>
      </w:r>
    </w:p>
    <w:p>
      <w:pPr>
        <w:spacing w:after="0" w:line="114"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30"/>
          <w:szCs w:val="30"/>
          <w:color w:val="auto"/>
          <w:vertAlign w:val="superscript"/>
        </w:rPr>
      </w:pPr>
      <w:r>
        <w:rPr>
          <w:rFonts w:ascii="Arial" w:cs="Arial" w:eastAsia="Arial" w:hAnsi="Arial"/>
          <w:sz w:val="18"/>
          <w:szCs w:val="18"/>
          <w:color w:val="auto"/>
        </w:rPr>
        <w:t>Delete as applicable.</w:t>
      </w:r>
    </w:p>
    <w:p>
      <w:pPr>
        <w:spacing w:after="0" w:line="114"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30"/>
          <w:szCs w:val="30"/>
          <w:color w:val="auto"/>
          <w:vertAlign w:val="superscript"/>
        </w:rPr>
      </w:pPr>
      <w:r>
        <w:rPr>
          <w:rFonts w:ascii="Arial" w:cs="Arial" w:eastAsia="Arial" w:hAnsi="Arial"/>
          <w:sz w:val="18"/>
          <w:szCs w:val="18"/>
          <w:color w:val="auto"/>
        </w:rPr>
        <w:t>One, two, three, six, or if agreed to by each Lender, twelve months.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for an Interest Period of less than one month).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request complies with the requirements of Section 2 of the Credit Agreement. If the requested Extension of Credit is a Borrowing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the undersigned hereby certifies that the following statements will be true on the date of the requested Extension of Credit:</w:t>
      </w:r>
    </w:p>
    <w:p>
      <w:pPr>
        <w:spacing w:after="0" w:line="238" w:lineRule="exact"/>
        <w:rPr>
          <w:sz w:val="20"/>
          <w:szCs w:val="20"/>
          <w:color w:val="auto"/>
        </w:rPr>
      </w:pPr>
    </w:p>
    <w:p>
      <w:pPr>
        <w:ind w:left="3240" w:hanging="639"/>
        <w:spacing w:after="0"/>
        <w:tabs>
          <w:tab w:leader="none" w:pos="3240" w:val="left"/>
        </w:tabs>
        <w:numPr>
          <w:ilvl w:val="0"/>
          <w:numId w:val="118"/>
        </w:numPr>
        <w:rPr>
          <w:rFonts w:ascii="Arial" w:cs="Arial" w:eastAsia="Arial" w:hAnsi="Arial"/>
          <w:sz w:val="19"/>
          <w:szCs w:val="19"/>
          <w:color w:val="auto"/>
        </w:rPr>
      </w:pPr>
      <w:r>
        <w:rPr>
          <w:rFonts w:ascii="Arial" w:cs="Arial" w:eastAsia="Arial" w:hAnsi="Arial"/>
          <w:sz w:val="16"/>
          <w:szCs w:val="16"/>
          <w:color w:val="auto"/>
        </w:rPr>
        <w:t>No Major Event of Default has occurred and is continuing or would result from the proposed Extension of Credit</w:t>
      </w:r>
    </w:p>
    <w:p>
      <w:pPr>
        <w:spacing w:after="0" w:line="1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8"/>
          <w:szCs w:val="18"/>
          <w:color w:val="auto"/>
        </w:rPr>
        <w:t>to be made on such date.</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4" w:name="page125"/>
    <w:bookmarkEnd w:id="124"/>
    <w:p>
      <w:pPr>
        <w:ind w:left="4520"/>
        <w:spacing w:after="0"/>
        <w:rPr>
          <w:sz w:val="20"/>
          <w:szCs w:val="20"/>
          <w:color w:val="auto"/>
        </w:rPr>
      </w:pPr>
      <w:r>
        <w:rPr>
          <w:rFonts w:ascii="Arial" w:cs="Arial" w:eastAsia="Arial" w:hAnsi="Arial"/>
          <w:sz w:val="17"/>
          <w:szCs w:val="17"/>
          <w:color w:val="auto"/>
        </w:rPr>
        <w:t>COMCAST CORPORATION</w:t>
      </w:r>
    </w:p>
    <w:p>
      <w:pPr>
        <w:spacing w:after="0" w:line="200" w:lineRule="exact"/>
        <w:rPr>
          <w:sz w:val="20"/>
          <w:szCs w:val="20"/>
          <w:color w:val="auto"/>
        </w:rPr>
      </w:pPr>
    </w:p>
    <w:p>
      <w:pPr>
        <w:spacing w:after="0" w:line="28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1127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22860</wp:posOffset>
            </wp:positionV>
            <wp:extent cx="3112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-121920</wp:posOffset>
            </wp:positionV>
            <wp:extent cx="31127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Certificate Date: _____________, 20__</w:t>
      </w:r>
    </w:p>
    <w:p>
      <w:pPr>
        <w:spacing w:after="0" w:line="248"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Financial Statement Date: 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Responsible Officer hereby certifies as of the date hereof that he or she is the _____________ of Borrower, and that,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he or she is authorized to execute and deliver this Certificate to Administrative Agent on behalf of Borrower, and 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year-end financial statements]</w:t>
      </w:r>
    </w:p>
    <w:p>
      <w:pPr>
        <w:spacing w:after="0" w:line="252" w:lineRule="exact"/>
        <w:rPr>
          <w:sz w:val="20"/>
          <w:szCs w:val="20"/>
          <w:color w:val="auto"/>
        </w:rPr>
      </w:pPr>
    </w:p>
    <w:p>
      <w:pPr>
        <w:jc w:val="both"/>
        <w:ind w:firstLine="1305"/>
        <w:spacing w:after="0" w:line="238" w:lineRule="auto"/>
        <w:tabs>
          <w:tab w:leader="none" w:pos="1864" w:val="left"/>
        </w:tabs>
        <w:numPr>
          <w:ilvl w:val="0"/>
          <w:numId w:val="119"/>
        </w:numPr>
        <w:rPr>
          <w:rFonts w:ascii="Arial" w:cs="Arial" w:eastAsia="Arial" w:hAnsi="Arial"/>
          <w:sz w:val="22"/>
          <w:szCs w:val="22"/>
          <w:color w:val="auto"/>
        </w:rPr>
      </w:pPr>
      <w:r>
        <w:rPr>
          <w:rFonts w:ascii="Arial" w:cs="Arial" w:eastAsia="Arial" w:hAnsi="Arial"/>
          <w:sz w:val="18"/>
          <w:szCs w:val="18"/>
          <w:color w:val="auto"/>
        </w:rPr>
        <w:t>Attached hereto as Annex 1 are the year-end audited financial statements of Borrower and its consolidated Subsidiaries required by Section 6.01(a) of the Credit Agreement for the fiscal year of Borrower ended as of the above date, together with the report and opinion of independent certified public accountants required by such section.</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225" w:lineRule="exact"/>
        <w:rPr>
          <w:sz w:val="20"/>
          <w:szCs w:val="20"/>
          <w:color w:val="auto"/>
        </w:rPr>
      </w:pPr>
    </w:p>
    <w:p>
      <w:pPr>
        <w:jc w:val="both"/>
        <w:ind w:firstLine="1305"/>
        <w:spacing w:after="0" w:line="259" w:lineRule="auto"/>
        <w:tabs>
          <w:tab w:leader="none" w:pos="17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 of the Credit Agreement for the fiscal quarter of Borrower ended as of the above date. Such financial statements fairly present in all material respects the financial condition, results of operations and cash flows of Borrower and its consolidated Subsidiaries in accordance with GAAP as at such date and for such periods, subject only to pro forma adjustments and normal year-end audit adjustments.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 supervision, a detailed review of the transactions and conditions (financial or otherwise) of Borrower during the accounting period covered by the attached financial statements.</w:t>
      </w:r>
    </w:p>
    <w:p>
      <w:pPr>
        <w:spacing w:after="0" w:line="181" w:lineRule="exact"/>
        <w:rPr>
          <w:rFonts w:ascii="Arial" w:cs="Arial" w:eastAsia="Arial" w:hAnsi="Arial"/>
          <w:sz w:val="18"/>
          <w:szCs w:val="18"/>
          <w:color w:val="auto"/>
        </w:rPr>
      </w:pPr>
    </w:p>
    <w:p>
      <w:pPr>
        <w:ind w:right="20" w:firstLine="1305"/>
        <w:spacing w:after="0" w:line="277" w:lineRule="auto"/>
        <w:tabs>
          <w:tab w:leader="none" w:pos="18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70" w:lineRule="exact"/>
        <w:rPr>
          <w:sz w:val="20"/>
          <w:szCs w:val="20"/>
          <w:color w:val="auto"/>
        </w:rPr>
      </w:pPr>
    </w:p>
    <w:p>
      <w:pPr>
        <w:jc w:val="both"/>
        <w:ind w:firstLine="1305"/>
        <w:spacing w:after="0" w:line="312" w:lineRule="auto"/>
        <w:tabs>
          <w:tab w:leader="none" w:pos="188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Annex 2 attached hereto are true and accurate. Such analyses and information set forth the necessary adjustments to exclude the Indebtedness and EBITDA attributed to Unrestricted Subsidiaries and give pro forma effect (in accordance with Section 1.07 of the Credit Agreement) to Material Acquisitions and Material Dispositions made during the period covered thereby.</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7" w:name="page128"/>
    <w:bookmarkEnd w:id="127"/>
    <w:p>
      <w:pPr>
        <w:ind w:left="100"/>
        <w:spacing w:after="0"/>
        <w:rPr>
          <w:sz w:val="20"/>
          <w:szCs w:val="20"/>
          <w:color w:val="auto"/>
        </w:rPr>
      </w:pPr>
      <w:r>
        <w:rPr>
          <w:rFonts w:ascii="Arial" w:cs="Arial" w:eastAsia="Arial" w:hAnsi="Arial"/>
          <w:sz w:val="16"/>
          <w:szCs w:val="16"/>
          <w:color w:val="auto"/>
        </w:rPr>
        <w:t>IN WITNESS WHEREOF, the undersigned has executed this Certificate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-130810</wp:posOffset>
            </wp:positionV>
            <wp:extent cx="31127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3376930</wp:posOffset>
            </wp:positionH>
            <wp:positionV relativeFrom="paragraph">
              <wp:posOffset>22860</wp:posOffset>
            </wp:positionV>
            <wp:extent cx="31127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3376930</wp:posOffset>
            </wp:positionH>
            <wp:positionV relativeFrom="paragraph">
              <wp:posOffset>-121920</wp:posOffset>
            </wp:positionV>
            <wp:extent cx="31127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t>ANNEX 1 TO COMPLIANCE CERTIFICATE</w:t>
      </w: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FINANCIAL STATEMENTS OF BORROWER AND ITS SUBSIDIARIES</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u w:val="single" w:color="auto"/>
          <w:color w:val="auto"/>
        </w:rPr>
        <w:t>ANNEX 2 TO COMPLIANCE CERTIFICATE</w:t>
      </w:r>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FINANCIAL COVENANT ANALYSES AND INFORMATION</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[Set forth detailed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Term Loan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Notwithstanding anything to the contrary in this Assignment and Assumption, the Assignor acknowledges and agrees that, (i) in connection with any assignment of Commitments on or prior to the Certain Funds Termination Date by a Lender to any of its Affiliates, the Assignor shall not be relieved of its obligations (as in effect immediately prior to giving effect to such assignment) to fund Loans in respect of its Commitments pursuant to the Credit Agreement without the prior written consent of Borrower (in its sole discretion) and (ii) while any 3-Year Tranche Term Commitments and/or 5-Year Tranche Term Commitments are outstanding, (x) any assignment of 3-Year Sterling Tranche Term Loans and/or 5-Year Sterling Tranche Term Loans without a corresponding assignment of the pro rata amount of 3-Year Dollar Tranche Term Loans or 5-Year Dollar Tranche Term Loans, as applicable, and the 3-Year Tranche Term Commitments and/or 5-Year Tranche Term Commitments, as applicable or (y) any assignment of 3-Year Dollar Tranche Term Loans and/or 5-Year Dollar Tranche Term Loans without a corresponding assignment of the pro rata amount of 3-Year Sterling Tranche Term Loans or 5-Year Sterling Tranche Term Loans, as applicable, and the 3-Year Tranche Term Commitments and/or 5-Year Tranche Term Commitments, as applicable, shall not be effective.</w:t>
      </w:r>
    </w:p>
    <w:p>
      <w:pPr>
        <w:spacing w:after="0" w:line="195"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21697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1" w:name="page132"/>
    <w:bookmarkEnd w:id="131"/>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Assignee: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14605</wp:posOffset>
            </wp:positionV>
            <wp:extent cx="21697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-404495</wp:posOffset>
            </wp:positionV>
            <wp:extent cx="21697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2460" w:type="dxa"/>
            <w:vAlign w:val="bottom"/>
          </w:tcPr>
          <w:p>
            <w:pPr>
              <w:jc w:val="right"/>
              <w:ind w:right="595"/>
              <w:spacing w:after="0"/>
              <w:rPr>
                <w:sz w:val="20"/>
                <w:szCs w:val="20"/>
                <w:color w:val="auto"/>
              </w:rPr>
            </w:pPr>
            <w:r>
              <w:rPr>
                <w:rFonts w:ascii="Arial" w:cs="Arial" w:eastAsia="Arial" w:hAnsi="Arial"/>
                <w:sz w:val="18"/>
                <w:szCs w:val="18"/>
                <w:color w:val="auto"/>
              </w:rPr>
              <w:t>Administrative Agent:</w:t>
            </w:r>
          </w:p>
        </w:tc>
        <w:tc>
          <w:tcPr>
            <w:tcW w:w="6380" w:type="dxa"/>
            <w:vAlign w:val="bottom"/>
            <w:gridSpan w:val="3"/>
          </w:tcPr>
          <w:p>
            <w:pPr>
              <w:spacing w:after="0"/>
              <w:rPr>
                <w:sz w:val="20"/>
                <w:szCs w:val="20"/>
                <w:color w:val="auto"/>
              </w:rPr>
            </w:pPr>
            <w:r>
              <w:rPr>
                <w:rFonts w:ascii="Arial" w:cs="Arial" w:eastAsia="Arial" w:hAnsi="Arial"/>
                <w:sz w:val="18"/>
                <w:szCs w:val="18"/>
                <w:color w:val="auto"/>
              </w:rPr>
              <w:t>Bank of America, N.A., as administrative agent under the Credit Agreement</w:t>
            </w:r>
          </w:p>
        </w:tc>
        <w:tc>
          <w:tcPr>
            <w:tcW w:w="2280" w:type="dxa"/>
            <w:vAlign w:val="bottom"/>
          </w:tcPr>
          <w:p>
            <w:pPr>
              <w:spacing w:after="0"/>
              <w:rPr>
                <w:sz w:val="20"/>
                <w:szCs w:val="20"/>
                <w:color w:val="auto"/>
              </w:rPr>
            </w:pPr>
          </w:p>
        </w:tc>
      </w:tr>
      <w:tr>
        <w:trPr>
          <w:trHeight w:val="4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2460" w:type="dxa"/>
            <w:vAlign w:val="bottom"/>
          </w:tcPr>
          <w:p>
            <w:pPr>
              <w:jc w:val="right"/>
              <w:ind w:right="855"/>
              <w:spacing w:after="0"/>
              <w:rPr>
                <w:sz w:val="20"/>
                <w:szCs w:val="20"/>
                <w:color w:val="auto"/>
              </w:rPr>
            </w:pPr>
            <w:r>
              <w:rPr>
                <w:rFonts w:ascii="Arial" w:cs="Arial" w:eastAsia="Arial" w:hAnsi="Arial"/>
                <w:sz w:val="18"/>
                <w:szCs w:val="18"/>
                <w:color w:val="auto"/>
              </w:rPr>
              <w:t>Credit Agreement:</w:t>
            </w:r>
          </w:p>
        </w:tc>
        <w:tc>
          <w:tcPr>
            <w:tcW w:w="8660" w:type="dxa"/>
            <w:vAlign w:val="bottom"/>
            <w:gridSpan w:val="4"/>
          </w:tcPr>
          <w:p>
            <w:pPr>
              <w:spacing w:after="0"/>
              <w:rPr>
                <w:sz w:val="20"/>
                <w:szCs w:val="20"/>
                <w:color w:val="auto"/>
              </w:rPr>
            </w:pPr>
            <w:r>
              <w:rPr>
                <w:rFonts w:ascii="Arial" w:cs="Arial" w:eastAsia="Arial" w:hAnsi="Arial"/>
                <w:sz w:val="18"/>
                <w:szCs w:val="18"/>
                <w:color w:val="auto"/>
                <w:w w:val="93"/>
              </w:rPr>
              <w:t>The Term Loan Credit Agreement dated as of April 25, 2018 among Comcast Corporation, the Lenders party thereto</w:t>
            </w:r>
          </w:p>
        </w:tc>
      </w:tr>
      <w:tr>
        <w:trPr>
          <w:trHeight w:val="230"/>
        </w:trPr>
        <w:tc>
          <w:tcPr>
            <w:tcW w:w="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w w:val="91"/>
              </w:rPr>
              <w:t>and Bank of America, N.A., as Administrative Agent, and the other agents party thereto</w:t>
            </w:r>
          </w:p>
        </w:tc>
        <w:tc>
          <w:tcPr>
            <w:tcW w:w="2280" w:type="dxa"/>
            <w:vAlign w:val="bottom"/>
          </w:tcPr>
          <w:p>
            <w:pPr>
              <w:spacing w:after="0"/>
              <w:rPr>
                <w:sz w:val="20"/>
                <w:szCs w:val="20"/>
                <w:color w:val="auto"/>
              </w:rPr>
            </w:pPr>
          </w:p>
        </w:tc>
      </w:tr>
      <w:tr>
        <w:trPr>
          <w:trHeight w:val="432"/>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2460" w:type="dxa"/>
            <w:vAlign w:val="bottom"/>
          </w:tcPr>
          <w:p>
            <w:pPr>
              <w:jc w:val="right"/>
              <w:ind w:right="875"/>
              <w:spacing w:after="0"/>
              <w:rPr>
                <w:sz w:val="20"/>
                <w:szCs w:val="20"/>
                <w:color w:val="auto"/>
              </w:rPr>
            </w:pPr>
            <w:r>
              <w:rPr>
                <w:rFonts w:ascii="Arial" w:cs="Arial" w:eastAsia="Arial" w:hAnsi="Arial"/>
                <w:sz w:val="18"/>
                <w:szCs w:val="18"/>
                <w:color w:val="auto"/>
              </w:rPr>
              <w:t>Assigned Interest:</w:t>
            </w:r>
          </w:p>
        </w:tc>
        <w:tc>
          <w:tcPr>
            <w:tcW w:w="3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r>
      <w:tr>
        <w:trPr>
          <w:trHeight w:val="196"/>
        </w:trPr>
        <w:tc>
          <w:tcPr>
            <w:tcW w:w="300" w:type="dxa"/>
            <w:vAlign w:val="bottom"/>
            <w:tcBorders>
              <w:left w:val="single" w:sz="8" w:color="auto"/>
            </w:tcBorders>
          </w:tcPr>
          <w:p>
            <w:pPr>
              <w:spacing w:after="0"/>
              <w:rPr>
                <w:sz w:val="17"/>
                <w:szCs w:val="17"/>
                <w:color w:val="auto"/>
              </w:rPr>
            </w:pPr>
          </w:p>
        </w:tc>
        <w:tc>
          <w:tcPr>
            <w:tcW w:w="2460" w:type="dxa"/>
            <w:vAlign w:val="bottom"/>
            <w:tcBorders>
              <w:right w:val="single" w:sz="8" w:color="auto"/>
            </w:tcBorders>
          </w:tcPr>
          <w:p>
            <w:pPr>
              <w:jc w:val="right"/>
              <w:ind w:right="615"/>
              <w:spacing w:after="0" w:line="197" w:lineRule="exact"/>
              <w:rPr>
                <w:sz w:val="20"/>
                <w:szCs w:val="20"/>
                <w:color w:val="auto"/>
              </w:rPr>
            </w:pPr>
            <w:r>
              <w:rPr>
                <w:rFonts w:ascii="Arial" w:cs="Arial" w:eastAsia="Arial" w:hAnsi="Arial"/>
                <w:sz w:val="14"/>
                <w:szCs w:val="14"/>
                <w:color w:val="auto"/>
              </w:rPr>
              <w:t>Facility Assigned</w:t>
            </w:r>
            <w:r>
              <w:rPr>
                <w:rFonts w:ascii="Arial" w:cs="Arial" w:eastAsia="Arial" w:hAnsi="Arial"/>
                <w:sz w:val="22"/>
                <w:szCs w:val="22"/>
                <w:color w:val="auto"/>
                <w:vertAlign w:val="superscript"/>
              </w:rPr>
              <w:t>7</w:t>
            </w:r>
          </w:p>
        </w:tc>
        <w:tc>
          <w:tcPr>
            <w:tcW w:w="30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Aggregate Amount of</w:t>
            </w:r>
          </w:p>
        </w:tc>
        <w:tc>
          <w:tcPr>
            <w:tcW w:w="2860" w:type="dxa"/>
            <w:vAlign w:val="bottom"/>
            <w:tcBorders>
              <w:right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Amount of Commitment/Loans</w:t>
            </w:r>
          </w:p>
        </w:tc>
        <w:tc>
          <w:tcPr>
            <w:tcW w:w="440" w:type="dxa"/>
            <w:vAlign w:val="bottom"/>
          </w:tcPr>
          <w:p>
            <w:pPr>
              <w:spacing w:after="0"/>
              <w:rPr>
                <w:sz w:val="17"/>
                <w:szCs w:val="17"/>
                <w:color w:val="auto"/>
              </w:rPr>
            </w:pPr>
          </w:p>
        </w:tc>
        <w:tc>
          <w:tcPr>
            <w:tcW w:w="2280" w:type="dxa"/>
            <w:vAlign w:val="bottom"/>
            <w:tcBorders>
              <w:right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91"/>
              </w:rPr>
              <w:t>Percentage Assigned of</w:t>
            </w:r>
          </w:p>
        </w:tc>
      </w:tr>
      <w:tr>
        <w:trPr>
          <w:trHeight w:val="270"/>
        </w:trPr>
        <w:tc>
          <w:tcPr>
            <w:tcW w:w="300" w:type="dxa"/>
            <w:vAlign w:val="bottom"/>
            <w:tcBorders>
              <w:left w:val="single" w:sz="8" w:color="auto"/>
              <w:bottom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Commitment/Loans for all Lenders</w:t>
            </w:r>
          </w:p>
        </w:tc>
        <w:tc>
          <w:tcPr>
            <w:tcW w:w="2860" w:type="dxa"/>
            <w:vAlign w:val="bottom"/>
            <w:tcBorders>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color w:val="auto"/>
              </w:rPr>
              <w:t>Assigned</w:t>
            </w:r>
          </w:p>
        </w:tc>
        <w:tc>
          <w:tcPr>
            <w:tcW w:w="440" w:type="dxa"/>
            <w:vAlign w:val="bottom"/>
            <w:tcBorders>
              <w:bottom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jc w:val="right"/>
              <w:ind w:right="530"/>
              <w:spacing w:after="0" w:line="269" w:lineRule="exact"/>
              <w:rPr>
                <w:sz w:val="20"/>
                <w:szCs w:val="20"/>
                <w:color w:val="auto"/>
              </w:rPr>
            </w:pPr>
            <w:r>
              <w:rPr>
                <w:rFonts w:ascii="Arial" w:cs="Arial" w:eastAsia="Arial" w:hAnsi="Arial"/>
                <w:sz w:val="18"/>
                <w:szCs w:val="18"/>
                <w:color w:val="auto"/>
                <w:w w:val="98"/>
              </w:rPr>
              <w:t>Commitment/Loans</w:t>
            </w:r>
            <w:r>
              <w:rPr>
                <w:rFonts w:ascii="Arial" w:cs="Arial" w:eastAsia="Arial" w:hAnsi="Arial"/>
                <w:sz w:val="30"/>
                <w:szCs w:val="30"/>
                <w:color w:val="auto"/>
                <w:w w:val="98"/>
                <w:vertAlign w:val="superscript"/>
              </w:rPr>
              <w:t>8</w:t>
            </w:r>
          </w:p>
        </w:tc>
      </w:tr>
      <w:tr>
        <w:trPr>
          <w:trHeight w:val="210"/>
        </w:trPr>
        <w:tc>
          <w:tcPr>
            <w:tcW w:w="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r>
      <w:tr>
        <w:trPr>
          <w:trHeight w:val="210"/>
        </w:trPr>
        <w:tc>
          <w:tcPr>
            <w:tcW w:w="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r>
      <w:tr>
        <w:trPr>
          <w:trHeight w:val="210"/>
        </w:trPr>
        <w:tc>
          <w:tcPr>
            <w:tcW w:w="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53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right w:val="single" w:sz="8" w:color="auto"/>
            </w:tcBorders>
          </w:tcPr>
          <w:p>
            <w:pPr>
              <w:jc w:val="right"/>
              <w:ind w:right="23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Administrative Agent a completed administrative questionnaire in which the Assignee designates one or more credit contacts to whom all syndicate-level information (which may contain material non-public information about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18097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right="820" w:hanging="332"/>
        <w:spacing w:after="0" w:line="194" w:lineRule="auto"/>
        <w:tabs>
          <w:tab w:leader="none" w:pos="340" w:val="left"/>
        </w:tabs>
        <w:numPr>
          <w:ilvl w:val="0"/>
          <w:numId w:val="124"/>
        </w:numPr>
        <w:rPr>
          <w:rFonts w:ascii="Arial" w:cs="Arial" w:eastAsia="Arial" w:hAnsi="Arial"/>
          <w:sz w:val="30"/>
          <w:szCs w:val="30"/>
          <w:color w:val="auto"/>
          <w:vertAlign w:val="superscript"/>
        </w:rPr>
      </w:pPr>
      <w:r>
        <w:rPr>
          <w:rFonts w:ascii="Arial" w:cs="Arial" w:eastAsia="Arial" w:hAnsi="Arial"/>
          <w:sz w:val="18"/>
          <w:szCs w:val="18"/>
          <w:color w:val="auto"/>
        </w:rPr>
        <w:t>Fill in either 3-Year Tranche Term Commitment, 3-Year Sterling Tranche Term Loan, 3-Year Dollar Tranche Term Loan, 5-Year Tranche Term Commitment, 5-Year Sterling Tranche Term Loan or 5-Year Dollar Tranche Term Loan (as applicable).</w:t>
      </w:r>
    </w:p>
    <w:p>
      <w:pPr>
        <w:spacing w:after="0" w:line="115"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30"/>
          <w:szCs w:val="30"/>
          <w:color w:val="auto"/>
          <w:vertAlign w:val="superscript"/>
        </w:rPr>
      </w:pPr>
      <w:r>
        <w:rPr>
          <w:rFonts w:ascii="Arial" w:cs="Arial" w:eastAsia="Arial" w:hAnsi="Arial"/>
          <w:sz w:val="18"/>
          <w:szCs w:val="18"/>
          <w:color w:val="auto"/>
        </w:rPr>
        <w:t>Set forth, to at least 9 decimals, as a percentage of the Commitment/Loans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u w:val="single" w:color="auto"/>
          <w:color w:val="auto"/>
        </w:rPr>
        <w:t>ASSIGNOR</w:t>
      </w:r>
    </w:p>
    <w:p>
      <w:pPr>
        <w:spacing w:after="0" w:line="200" w:lineRule="exact"/>
        <w:rPr>
          <w:sz w:val="20"/>
          <w:szCs w:val="20"/>
          <w:color w:val="auto"/>
        </w:rPr>
      </w:pPr>
    </w:p>
    <w:p>
      <w:pPr>
        <w:spacing w:after="0" w:line="255"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-130175</wp:posOffset>
            </wp:positionV>
            <wp:extent cx="36449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1012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-123190</wp:posOffset>
            </wp:positionV>
            <wp:extent cx="36449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1012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1780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178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18097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hanging="332"/>
        <w:spacing w:after="0" w:line="209" w:lineRule="auto"/>
        <w:tabs>
          <w:tab w:leader="none" w:pos="340" w:val="left"/>
        </w:tabs>
        <w:numPr>
          <w:ilvl w:val="0"/>
          <w:numId w:val="126"/>
        </w:numPr>
        <w:rPr>
          <w:rFonts w:ascii="Arial" w:cs="Arial" w:eastAsia="Arial" w:hAnsi="Arial"/>
          <w:sz w:val="30"/>
          <w:szCs w:val="30"/>
          <w:color w:val="auto"/>
          <w:vertAlign w:val="superscript"/>
        </w:rPr>
      </w:pPr>
      <w:r>
        <w:rPr>
          <w:rFonts w:ascii="Arial" w:cs="Arial" w:eastAsia="Arial" w:hAnsi="Arial"/>
          <w:sz w:val="18"/>
          <w:szCs w:val="18"/>
          <w:color w:val="auto"/>
        </w:rPr>
        <w:t>Must be included for assignments on or prior to the Certain Funds Termination Date (other than assignments by a Lender to any of its affiliates) (see Section 10.04 of the Credit Agreement). After the Certain Funds Termination Date, include if Borrower consent is required under the terms of Section 10.04(b)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584" w:right="519" w:bottom="1440" w:gutter="0" w:footer="0" w:header="0"/>
        </w:sectPr>
      </w:pPr>
    </w:p>
    <w:bookmarkStart w:id="134" w:name="page135"/>
    <w:bookmarkEnd w:id="134"/>
    <w:p>
      <w:pPr>
        <w:ind w:left="7540"/>
        <w:spacing w:after="0"/>
        <w:rPr>
          <w:sz w:val="20"/>
          <w:szCs w:val="20"/>
          <w:color w:val="auto"/>
        </w:rPr>
      </w:pPr>
      <w:r>
        <w:rPr>
          <w:rFonts w:ascii="Arial" w:cs="Arial" w:eastAsia="Arial" w:hAnsi="Arial"/>
          <w:sz w:val="17"/>
          <w:szCs w:val="17"/>
          <w:u w:val="single" w:color="auto"/>
          <w:color w:val="auto"/>
        </w:rPr>
        <w:t>ANNEX 1 TO ASSIGNMENT AND ASSUMPTION</w:t>
      </w:r>
    </w:p>
    <w:p>
      <w:pPr>
        <w:spacing w:after="0" w:line="237"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Term Loan Credit Agreement dated as of April 25, 2018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parties thereto, and Bank of America, N.A., as administrative agent (in such capacity,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other agents party thereto.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1480" w:hanging="175"/>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respective Subsidiaries or Affiliates or any other Person obligated in respect of any Loan Document or (iv) the performance or observance by Borrower, any of its respective Subsidiaries or Affiliates or any other Person of any of their respective obligations under any Loan Document.</w:t>
      </w:r>
    </w:p>
    <w:p>
      <w:pPr>
        <w:spacing w:after="0" w:line="16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(including that it be an Eligible Assignee and that it otherwise satisfy the requirements set forth in Section 10.04 of the Credit Agreement), (iii) it is capable of extending credit in all Alternative Currencies provided for under the Credit Agreement, (iv) from and after the Effective Date, it shall be bound by the provisions of the Credit Agreement as a Lender thereunder and, to the extent of the Assigned Interest, shall have the obligations of a Lender thereunder,</w:t>
      </w:r>
    </w:p>
    <w:p>
      <w:pPr>
        <w:spacing w:after="0" w:line="5" w:lineRule="exact"/>
        <w:rPr>
          <w:sz w:val="20"/>
          <w:szCs w:val="20"/>
          <w:color w:val="auto"/>
        </w:rPr>
      </w:pPr>
    </w:p>
    <w:p>
      <w:pPr>
        <w:jc w:val="both"/>
        <w:ind w:firstLine="8"/>
        <w:spacing w:after="0" w:line="281" w:lineRule="auto"/>
        <w:tabs>
          <w:tab w:leader="none" w:pos="2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and (vi) if it is a foreign Lender, attached to the Assignment and Assumption is any documentation required to be delivered by it pursuant to the terms of the Credit Agreement (including, without limitation, Section 10.20), duly completed and executed by the Assignee and</w:t>
      </w:r>
    </w:p>
    <w:p>
      <w:pPr>
        <w:spacing w:after="0" w:line="3" w:lineRule="exact"/>
        <w:rPr>
          <w:rFonts w:ascii="Arial" w:cs="Arial" w:eastAsia="Arial" w:hAnsi="Arial"/>
          <w:sz w:val="16"/>
          <w:szCs w:val="16"/>
          <w:color w:val="auto"/>
        </w:rPr>
      </w:pPr>
    </w:p>
    <w:p>
      <w:pPr>
        <w:jc w:val="both"/>
        <w:ind w:firstLine="8"/>
        <w:spacing w:after="0" w:line="281" w:lineRule="auto"/>
        <w:tabs>
          <w:tab w:leader="none" w:pos="2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Loan Documents and</w:t>
      </w:r>
    </w:p>
    <w:p>
      <w:pPr>
        <w:spacing w:after="0" w:line="1" w:lineRule="exact"/>
        <w:rPr>
          <w:rFonts w:ascii="Arial" w:cs="Arial" w:eastAsia="Arial" w:hAnsi="Arial"/>
          <w:sz w:val="16"/>
          <w:szCs w:val="16"/>
          <w:color w:val="auto"/>
        </w:rPr>
      </w:pPr>
    </w:p>
    <w:p>
      <w:pPr>
        <w:ind w:right="20" w:firstLine="8"/>
        <w:spacing w:after="0" w:line="261" w:lineRule="auto"/>
        <w:tabs>
          <w:tab w:leader="none" w:pos="2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5" w:name="page136"/>
    <w:bookmarkEnd w:id="135"/>
    <w:p>
      <w:pPr>
        <w:jc w:val="both"/>
        <w:ind w:left="-1200" w:firstLine="1305"/>
        <w:spacing w:after="0" w:line="264" w:lineRule="auto"/>
        <w:tabs>
          <w:tab w:leader="none" w:pos="27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 amounts) to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29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351790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1068705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F-1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Administrative Agent and Borrower with a certificate of its non-U.S. Person status on IRS Form W-8BEN or W-8BEN-E.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395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EXHIBIT F-2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10.20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395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EXHIBIT F-3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7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395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EXHIBIT F-4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Administrative Agent and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395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EXHIBIT 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TARGET ACQUISITION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2018</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 Capitalized terms used herein and not otherwise defined shall have the meanings given to such terms in the Credit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 [NAME], Responsible Officer of Borrower, do hereby certify, in my capacity as a Responsible Officer and not in my individual capacity and without personal liability, that all conditions to the consummation of the Target Acquisition have been satisfied, treated as satisfied or waived in accordance with Section 7.07(a) of the Credit Agreement (other than, for the avoidance of doubt, any condition to any Offer or Scheme requiring that the Target Acquisition has been completed).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IN WITNESS WHEREOF, I have executed this certificate on the date first above written.</w:t>
      </w:r>
    </w:p>
    <w:p>
      <w:pPr>
        <w:spacing w:after="0" w:line="24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-130810</wp:posOffset>
            </wp:positionV>
            <wp:extent cx="33274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502920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39"/>
          </w:cols>
          <w:pgMar w:left="1020" w:top="584"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1126490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364-DAY BRIDGE 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Financial Institutions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left="1940" w:right="3140"/>
        <w:spacing w:after="0" w:line="264" w:lineRule="auto"/>
        <w:rPr>
          <w:sz w:val="20"/>
          <w:szCs w:val="20"/>
          <w:color w:val="auto"/>
        </w:rPr>
      </w:pPr>
      <w:r>
        <w:rPr>
          <w:rFonts w:ascii="Arial" w:cs="Arial" w:eastAsia="Arial" w:hAnsi="Arial"/>
          <w:sz w:val="18"/>
          <w:szCs w:val="18"/>
          <w:color w:val="auto"/>
        </w:rPr>
        <w:t>MERRILL LYNCH, PIERCE, FENNER &amp; SMITH INCORPORATED AND WELLS FARGO SECURITIES LLC, 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870585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826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40"/>
        </w:trPr>
        <w:tc>
          <w:tcPr>
            <w:tcW w:w="886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1.01</w:t>
            </w:r>
          </w:p>
        </w:tc>
        <w:tc>
          <w:tcPr>
            <w:tcW w:w="82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1.02</w:t>
            </w:r>
          </w:p>
        </w:tc>
        <w:tc>
          <w:tcPr>
            <w:tcW w:w="8260" w:type="dxa"/>
            <w:vAlign w:val="bottom"/>
          </w:tcPr>
          <w:p>
            <w:pPr>
              <w:ind w:left="80"/>
              <w:spacing w:after="0"/>
              <w:rPr>
                <w:sz w:val="20"/>
                <w:szCs w:val="20"/>
                <w:color w:val="auto"/>
              </w:rPr>
            </w:pPr>
            <w:r>
              <w:rPr>
                <w:rFonts w:ascii="Arial" w:cs="Arial" w:eastAsia="Arial" w:hAnsi="Arial"/>
                <w:sz w:val="18"/>
                <w:szCs w:val="18"/>
                <w:color w:val="auto"/>
              </w:rPr>
              <w:t>Use of Certain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1.03</w:t>
            </w:r>
          </w:p>
        </w:tc>
        <w:tc>
          <w:tcPr>
            <w:tcW w:w="8260" w:type="dxa"/>
            <w:vAlign w:val="bottom"/>
          </w:tcPr>
          <w:p>
            <w:pPr>
              <w:ind w:left="60"/>
              <w:spacing w:after="0"/>
              <w:rPr>
                <w:sz w:val="20"/>
                <w:szCs w:val="20"/>
                <w:color w:val="auto"/>
              </w:rPr>
            </w:pPr>
            <w:r>
              <w:rPr>
                <w:rFonts w:ascii="Arial" w:cs="Arial" w:eastAsia="Arial" w:hAnsi="Arial"/>
                <w:sz w:val="18"/>
                <w:szCs w:val="18"/>
                <w:color w:val="auto"/>
              </w:rPr>
              <w:t>Accounting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1.04</w:t>
            </w:r>
          </w:p>
        </w:tc>
        <w:tc>
          <w:tcPr>
            <w:tcW w:w="8260" w:type="dxa"/>
            <w:vAlign w:val="bottom"/>
          </w:tcPr>
          <w:p>
            <w:pPr>
              <w:ind w:left="80"/>
              <w:spacing w:after="0"/>
              <w:rPr>
                <w:sz w:val="20"/>
                <w:szCs w:val="20"/>
                <w:color w:val="auto"/>
              </w:rPr>
            </w:pPr>
            <w:r>
              <w:rPr>
                <w:rFonts w:ascii="Arial" w:cs="Arial" w:eastAsia="Arial" w:hAnsi="Arial"/>
                <w:sz w:val="18"/>
                <w:szCs w:val="18"/>
                <w:color w:val="auto"/>
              </w:rPr>
              <w:t>Rounding</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1.05</w:t>
            </w:r>
          </w:p>
        </w:tc>
        <w:tc>
          <w:tcPr>
            <w:tcW w:w="8260" w:type="dxa"/>
            <w:vAlign w:val="bottom"/>
          </w:tcPr>
          <w:p>
            <w:pPr>
              <w:ind w:left="80"/>
              <w:spacing w:after="0"/>
              <w:rPr>
                <w:sz w:val="20"/>
                <w:szCs w:val="20"/>
                <w:color w:val="auto"/>
              </w:rPr>
            </w:pPr>
            <w:r>
              <w:rPr>
                <w:rFonts w:ascii="Arial" w:cs="Arial" w:eastAsia="Arial" w:hAnsi="Arial"/>
                <w:sz w:val="18"/>
                <w:szCs w:val="18"/>
                <w:color w:val="auto"/>
              </w:rPr>
              <w:t>Exhibits and Schedules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1.06</w:t>
            </w:r>
          </w:p>
        </w:tc>
        <w:tc>
          <w:tcPr>
            <w:tcW w:w="8260" w:type="dxa"/>
            <w:vAlign w:val="bottom"/>
          </w:tcPr>
          <w:p>
            <w:pPr>
              <w:ind w:left="80"/>
              <w:spacing w:after="0"/>
              <w:rPr>
                <w:sz w:val="20"/>
                <w:szCs w:val="20"/>
                <w:color w:val="auto"/>
              </w:rPr>
            </w:pPr>
            <w:r>
              <w:rPr>
                <w:rFonts w:ascii="Arial" w:cs="Arial" w:eastAsia="Arial" w:hAnsi="Arial"/>
                <w:sz w:val="18"/>
                <w:szCs w:val="18"/>
                <w:color w:val="auto"/>
              </w:rPr>
              <w:t>References to Agreements and Laws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1.07</w:t>
            </w:r>
          </w:p>
        </w:tc>
        <w:tc>
          <w:tcPr>
            <w:tcW w:w="8260" w:type="dxa"/>
            <w:vAlign w:val="bottom"/>
          </w:tcPr>
          <w:p>
            <w:pPr>
              <w:ind w:left="80"/>
              <w:spacing w:after="0"/>
              <w:rPr>
                <w:sz w:val="20"/>
                <w:szCs w:val="20"/>
                <w:color w:val="auto"/>
              </w:rPr>
            </w:pPr>
            <w:r>
              <w:rPr>
                <w:rFonts w:ascii="Arial" w:cs="Arial" w:eastAsia="Arial" w:hAnsi="Arial"/>
                <w:sz w:val="18"/>
                <w:szCs w:val="18"/>
                <w:color w:val="auto"/>
              </w:rPr>
              <w:t>Pro Forma Calculations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1.08</w:t>
            </w:r>
          </w:p>
        </w:tc>
        <w:tc>
          <w:tcPr>
            <w:tcW w:w="8260" w:type="dxa"/>
            <w:vAlign w:val="bottom"/>
          </w:tcPr>
          <w:p>
            <w:pPr>
              <w:ind w:left="80"/>
              <w:spacing w:after="0"/>
              <w:rPr>
                <w:sz w:val="20"/>
                <w:szCs w:val="20"/>
                <w:color w:val="auto"/>
              </w:rPr>
            </w:pPr>
            <w:r>
              <w:rPr>
                <w:rFonts w:ascii="Arial" w:cs="Arial" w:eastAsia="Arial" w:hAnsi="Arial"/>
                <w:sz w:val="18"/>
                <w:szCs w:val="18"/>
                <w:color w:val="auto"/>
              </w:rPr>
              <w:t>Rates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2 THE COMMITMENTS AND EXTENSIONS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2.01</w:t>
            </w:r>
          </w:p>
        </w:tc>
        <w:tc>
          <w:tcPr>
            <w:tcW w:w="8260" w:type="dxa"/>
            <w:vAlign w:val="bottom"/>
          </w:tcPr>
          <w:p>
            <w:pPr>
              <w:ind w:left="60"/>
              <w:spacing w:after="0"/>
              <w:rPr>
                <w:sz w:val="20"/>
                <w:szCs w:val="20"/>
                <w:color w:val="auto"/>
              </w:rPr>
            </w:pPr>
            <w:r>
              <w:rPr>
                <w:rFonts w:ascii="Arial" w:cs="Arial" w:eastAsia="Arial" w:hAnsi="Arial"/>
                <w:sz w:val="18"/>
                <w:szCs w:val="18"/>
                <w:color w:val="auto"/>
              </w:rPr>
              <w:t>Amount and Terms of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2.02</w:t>
            </w:r>
          </w:p>
        </w:tc>
        <w:tc>
          <w:tcPr>
            <w:tcW w:w="8260" w:type="dxa"/>
            <w:vAlign w:val="bottom"/>
          </w:tcPr>
          <w:p>
            <w:pPr>
              <w:ind w:left="80"/>
              <w:spacing w:after="0"/>
              <w:rPr>
                <w:sz w:val="20"/>
                <w:szCs w:val="20"/>
                <w:color w:val="auto"/>
              </w:rPr>
            </w:pPr>
            <w:r>
              <w:rPr>
                <w:rFonts w:ascii="Arial" w:cs="Arial" w:eastAsia="Arial" w:hAnsi="Arial"/>
                <w:sz w:val="18"/>
                <w:szCs w:val="18"/>
                <w:color w:val="auto"/>
              </w:rPr>
              <w:t>Procedure for Borrowings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2.03</w:t>
            </w:r>
          </w:p>
        </w:tc>
        <w:tc>
          <w:tcPr>
            <w:tcW w:w="82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2.04</w:t>
            </w:r>
          </w:p>
        </w:tc>
        <w:tc>
          <w:tcPr>
            <w:tcW w:w="8260" w:type="dxa"/>
            <w:vAlign w:val="bottom"/>
          </w:tcPr>
          <w:p>
            <w:pPr>
              <w:ind w:left="80"/>
              <w:spacing w:after="0"/>
              <w:rPr>
                <w:sz w:val="20"/>
                <w:szCs w:val="20"/>
                <w:color w:val="auto"/>
              </w:rPr>
            </w:pPr>
            <w:r>
              <w:rPr>
                <w:rFonts w:ascii="Arial" w:cs="Arial" w:eastAsia="Arial" w:hAnsi="Arial"/>
                <w:sz w:val="18"/>
                <w:szCs w:val="18"/>
                <w:color w:val="auto"/>
              </w:rPr>
              <w:t>[Reserved]</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2.05</w:t>
            </w:r>
          </w:p>
        </w:tc>
        <w:tc>
          <w:tcPr>
            <w:tcW w:w="8260" w:type="dxa"/>
            <w:vAlign w:val="bottom"/>
          </w:tcPr>
          <w:p>
            <w:pPr>
              <w:ind w:left="80"/>
              <w:spacing w:after="0"/>
              <w:rPr>
                <w:sz w:val="20"/>
                <w:szCs w:val="20"/>
                <w:color w:val="auto"/>
              </w:rPr>
            </w:pPr>
            <w:r>
              <w:rPr>
                <w:rFonts w:ascii="Arial" w:cs="Arial" w:eastAsia="Arial" w:hAnsi="Arial"/>
                <w:sz w:val="18"/>
                <w:szCs w:val="18"/>
                <w:color w:val="auto"/>
              </w:rPr>
              <w:t>Reduction or Termination of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2.06</w:t>
            </w:r>
          </w:p>
        </w:tc>
        <w:tc>
          <w:tcPr>
            <w:tcW w:w="8260" w:type="dxa"/>
            <w:vAlign w:val="bottom"/>
          </w:tcPr>
          <w:p>
            <w:pPr>
              <w:ind w:left="80"/>
              <w:spacing w:after="0"/>
              <w:rPr>
                <w:sz w:val="20"/>
                <w:szCs w:val="20"/>
                <w:color w:val="auto"/>
              </w:rPr>
            </w:pPr>
            <w:r>
              <w:rPr>
                <w:rFonts w:ascii="Arial" w:cs="Arial" w:eastAsia="Arial" w:hAnsi="Arial"/>
                <w:sz w:val="18"/>
                <w:szCs w:val="18"/>
                <w:color w:val="auto"/>
              </w:rPr>
              <w:t>Prepayments and Repayments of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2.07</w:t>
            </w:r>
          </w:p>
        </w:tc>
        <w:tc>
          <w:tcPr>
            <w:tcW w:w="8260" w:type="dxa"/>
            <w:vAlign w:val="bottom"/>
          </w:tcPr>
          <w:p>
            <w:pPr>
              <w:ind w:left="80"/>
              <w:spacing w:after="0"/>
              <w:rPr>
                <w:sz w:val="20"/>
                <w:szCs w:val="20"/>
                <w:color w:val="auto"/>
              </w:rPr>
            </w:pPr>
            <w:r>
              <w:rPr>
                <w:rFonts w:ascii="Arial" w:cs="Arial" w:eastAsia="Arial" w:hAnsi="Arial"/>
                <w:sz w:val="18"/>
                <w:szCs w:val="18"/>
                <w:color w:val="auto"/>
              </w:rPr>
              <w:t>Documentation of Loans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2.08</w:t>
            </w:r>
          </w:p>
        </w:tc>
        <w:tc>
          <w:tcPr>
            <w:tcW w:w="8260" w:type="dxa"/>
            <w:vAlign w:val="bottom"/>
          </w:tcPr>
          <w:p>
            <w:pPr>
              <w:ind w:left="80"/>
              <w:spacing w:after="0"/>
              <w:rPr>
                <w:sz w:val="20"/>
                <w:szCs w:val="20"/>
                <w:color w:val="auto"/>
              </w:rPr>
            </w:pPr>
            <w:r>
              <w:rPr>
                <w:rFonts w:ascii="Arial" w:cs="Arial" w:eastAsia="Arial" w:hAnsi="Arial"/>
                <w:sz w:val="18"/>
                <w:szCs w:val="18"/>
                <w:color w:val="auto"/>
              </w:rPr>
              <w:t>Continuation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2.09</w:t>
            </w:r>
          </w:p>
        </w:tc>
        <w:tc>
          <w:tcPr>
            <w:tcW w:w="8260" w:type="dxa"/>
            <w:vAlign w:val="bottom"/>
          </w:tcPr>
          <w:p>
            <w:pPr>
              <w:ind w:left="80"/>
              <w:spacing w:after="0"/>
              <w:rPr>
                <w:sz w:val="20"/>
                <w:szCs w:val="20"/>
                <w:color w:val="auto"/>
              </w:rPr>
            </w:pPr>
            <w:r>
              <w:rPr>
                <w:rFonts w:ascii="Arial" w:cs="Arial" w:eastAsia="Arial" w:hAnsi="Arial"/>
                <w:sz w:val="18"/>
                <w:szCs w:val="18"/>
                <w:color w:val="auto"/>
              </w:rPr>
              <w:t>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2.10</w:t>
            </w:r>
          </w:p>
        </w:tc>
        <w:tc>
          <w:tcPr>
            <w:tcW w:w="8260" w:type="dxa"/>
            <w:vAlign w:val="bottom"/>
          </w:tcPr>
          <w:p>
            <w:pPr>
              <w:ind w:left="80"/>
              <w:spacing w:after="0"/>
              <w:rPr>
                <w:sz w:val="20"/>
                <w:szCs w:val="20"/>
                <w:color w:val="auto"/>
              </w:rPr>
            </w:pPr>
            <w:r>
              <w:rPr>
                <w:rFonts w:ascii="Arial" w:cs="Arial" w:eastAsia="Arial" w:hAnsi="Arial"/>
                <w:sz w:val="18"/>
                <w:szCs w:val="18"/>
                <w:color w:val="auto"/>
              </w:rPr>
              <w:t>Fees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2.11  Computation of Interest and Fees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2.12</w:t>
            </w:r>
          </w:p>
        </w:tc>
        <w:tc>
          <w:tcPr>
            <w:tcW w:w="8260" w:type="dxa"/>
            <w:vAlign w:val="bottom"/>
          </w:tcPr>
          <w:p>
            <w:pPr>
              <w:ind w:left="80"/>
              <w:spacing w:after="0"/>
              <w:rPr>
                <w:sz w:val="20"/>
                <w:szCs w:val="20"/>
                <w:color w:val="auto"/>
              </w:rPr>
            </w:pPr>
            <w:r>
              <w:rPr>
                <w:rFonts w:ascii="Arial" w:cs="Arial" w:eastAsia="Arial" w:hAnsi="Arial"/>
                <w:sz w:val="18"/>
                <w:szCs w:val="18"/>
                <w:color w:val="auto"/>
              </w:rPr>
              <w:t>Making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2.13</w:t>
            </w:r>
          </w:p>
        </w:tc>
        <w:tc>
          <w:tcPr>
            <w:tcW w:w="8260" w:type="dxa"/>
            <w:vAlign w:val="bottom"/>
          </w:tcPr>
          <w:p>
            <w:pPr>
              <w:ind w:left="80"/>
              <w:spacing w:after="0"/>
              <w:rPr>
                <w:sz w:val="20"/>
                <w:szCs w:val="20"/>
                <w:color w:val="auto"/>
              </w:rPr>
            </w:pPr>
            <w:r>
              <w:rPr>
                <w:rFonts w:ascii="Arial" w:cs="Arial" w:eastAsia="Arial" w:hAnsi="Arial"/>
                <w:sz w:val="18"/>
                <w:szCs w:val="18"/>
                <w:color w:val="auto"/>
              </w:rPr>
              <w:t>Funding Sources</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2.14</w:t>
            </w:r>
          </w:p>
        </w:tc>
        <w:tc>
          <w:tcPr>
            <w:tcW w:w="8260" w:type="dxa"/>
            <w:vAlign w:val="bottom"/>
          </w:tcPr>
          <w:p>
            <w:pPr>
              <w:ind w:left="80"/>
              <w:spacing w:after="0"/>
              <w:rPr>
                <w:sz w:val="20"/>
                <w:szCs w:val="20"/>
                <w:color w:val="auto"/>
              </w:rPr>
            </w:pPr>
            <w:r>
              <w:rPr>
                <w:rFonts w:ascii="Arial" w:cs="Arial" w:eastAsia="Arial" w:hAnsi="Arial"/>
                <w:sz w:val="18"/>
                <w:szCs w:val="18"/>
                <w:color w:val="auto"/>
              </w:rPr>
              <w:t>Defaulting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2.15</w:t>
            </w:r>
          </w:p>
        </w:tc>
        <w:tc>
          <w:tcPr>
            <w:tcW w:w="8260" w:type="dxa"/>
            <w:vAlign w:val="bottom"/>
          </w:tcPr>
          <w:p>
            <w:pPr>
              <w:ind w:left="80"/>
              <w:spacing w:after="0"/>
              <w:rPr>
                <w:sz w:val="20"/>
                <w:szCs w:val="20"/>
                <w:color w:val="auto"/>
              </w:rPr>
            </w:pPr>
            <w:r>
              <w:rPr>
                <w:rFonts w:ascii="Arial" w:cs="Arial" w:eastAsia="Arial" w:hAnsi="Arial"/>
                <w:sz w:val="18"/>
                <w:szCs w:val="18"/>
                <w:color w:val="auto"/>
              </w:rPr>
              <w:t>Increase in Aggregate Commitments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3.01</w:t>
            </w:r>
          </w:p>
        </w:tc>
        <w:tc>
          <w:tcPr>
            <w:tcW w:w="8260" w:type="dxa"/>
            <w:vAlign w:val="bottom"/>
          </w:tcPr>
          <w:p>
            <w:pPr>
              <w:ind w:left="8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3.02</w:t>
            </w:r>
          </w:p>
        </w:tc>
        <w:tc>
          <w:tcPr>
            <w:tcW w:w="8260" w:type="dxa"/>
            <w:vAlign w:val="bottom"/>
          </w:tcPr>
          <w:p>
            <w:pPr>
              <w:ind w:left="80"/>
              <w:spacing w:after="0"/>
              <w:rPr>
                <w:sz w:val="20"/>
                <w:szCs w:val="20"/>
                <w:color w:val="auto"/>
              </w:rPr>
            </w:pPr>
            <w:r>
              <w:rPr>
                <w:rFonts w:ascii="Arial" w:cs="Arial" w:eastAsia="Arial" w:hAnsi="Arial"/>
                <w:sz w:val="18"/>
                <w:szCs w:val="18"/>
                <w:color w:val="auto"/>
              </w:rPr>
              <w:t>Illegality</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3.03</w:t>
            </w:r>
          </w:p>
        </w:tc>
        <w:tc>
          <w:tcPr>
            <w:tcW w:w="8260" w:type="dxa"/>
            <w:vAlign w:val="bottom"/>
          </w:tcPr>
          <w:p>
            <w:pPr>
              <w:ind w:left="80"/>
              <w:spacing w:after="0"/>
              <w:rPr>
                <w:sz w:val="20"/>
                <w:szCs w:val="20"/>
                <w:color w:val="auto"/>
              </w:rPr>
            </w:pPr>
            <w:r>
              <w:rPr>
                <w:rFonts w:ascii="Arial" w:cs="Arial" w:eastAsia="Arial" w:hAnsi="Arial"/>
                <w:sz w:val="18"/>
                <w:szCs w:val="18"/>
                <w:color w:val="auto"/>
              </w:rPr>
              <w:t>Inability to Determine Eurodollar Rates</w:t>
            </w:r>
          </w:p>
        </w:tc>
        <w:tc>
          <w:tcPr>
            <w:tcW w:w="2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3.04</w:t>
            </w:r>
          </w:p>
        </w:tc>
        <w:tc>
          <w:tcPr>
            <w:tcW w:w="8260" w:type="dxa"/>
            <w:vAlign w:val="bottom"/>
          </w:tcPr>
          <w:p>
            <w:pPr>
              <w:ind w:left="80"/>
              <w:spacing w:after="0"/>
              <w:rPr>
                <w:sz w:val="20"/>
                <w:szCs w:val="20"/>
                <w:color w:val="auto"/>
              </w:rPr>
            </w:pPr>
            <w:r>
              <w:rPr>
                <w:rFonts w:ascii="Arial" w:cs="Arial" w:eastAsia="Arial" w:hAnsi="Arial"/>
                <w:sz w:val="18"/>
                <w:szCs w:val="18"/>
                <w:color w:val="auto"/>
              </w:rPr>
              <w:t>Increased Cost and Reduced Return; Capital Adequacy</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3.05</w:t>
            </w:r>
          </w:p>
        </w:tc>
        <w:tc>
          <w:tcPr>
            <w:tcW w:w="8260" w:type="dxa"/>
            <w:vAlign w:val="bottom"/>
          </w:tcPr>
          <w:p>
            <w:pPr>
              <w:ind w:left="80"/>
              <w:spacing w:after="0"/>
              <w:rPr>
                <w:sz w:val="20"/>
                <w:szCs w:val="20"/>
                <w:color w:val="auto"/>
              </w:rPr>
            </w:pPr>
            <w:r>
              <w:rPr>
                <w:rFonts w:ascii="Arial" w:cs="Arial" w:eastAsia="Arial" w:hAnsi="Arial"/>
                <w:sz w:val="18"/>
                <w:szCs w:val="18"/>
                <w:color w:val="auto"/>
              </w:rPr>
              <w:t>Breakfunding Costs</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3.06</w:t>
            </w:r>
          </w:p>
        </w:tc>
        <w:tc>
          <w:tcPr>
            <w:tcW w:w="8260" w:type="dxa"/>
            <w:vAlign w:val="bottom"/>
          </w:tcPr>
          <w:p>
            <w:pPr>
              <w:ind w:left="80"/>
              <w:spacing w:after="0"/>
              <w:rPr>
                <w:sz w:val="20"/>
                <w:szCs w:val="20"/>
                <w:color w:val="auto"/>
              </w:rPr>
            </w:pPr>
            <w:r>
              <w:rPr>
                <w:rFonts w:ascii="Arial" w:cs="Arial" w:eastAsia="Arial" w:hAnsi="Arial"/>
                <w:sz w:val="18"/>
                <w:szCs w:val="18"/>
                <w:color w:val="auto"/>
              </w:rPr>
              <w:t>Matters Applicable to all Requests for 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3.07</w:t>
            </w:r>
          </w:p>
        </w:tc>
        <w:tc>
          <w:tcPr>
            <w:tcW w:w="8260" w:type="dxa"/>
            <w:vAlign w:val="bottom"/>
          </w:tcPr>
          <w:p>
            <w:pPr>
              <w:ind w:left="80"/>
              <w:spacing w:after="0"/>
              <w:rPr>
                <w:sz w:val="20"/>
                <w:szCs w:val="20"/>
                <w:color w:val="auto"/>
              </w:rPr>
            </w:pPr>
            <w:r>
              <w:rPr>
                <w:rFonts w:ascii="Arial" w:cs="Arial" w:eastAsia="Arial" w:hAnsi="Arial"/>
                <w:sz w:val="18"/>
                <w:szCs w:val="18"/>
                <w:color w:val="auto"/>
              </w:rPr>
              <w:t>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4 CONDITIONS PRECEDENT TO EXTENSIONS OF CREDIT</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78"/>
        </w:trPr>
        <w:tc>
          <w:tcPr>
            <w:tcW w:w="600" w:type="dxa"/>
            <w:vAlign w:val="bottom"/>
          </w:tcPr>
          <w:p>
            <w:pPr>
              <w:ind w:left="220"/>
              <w:spacing w:after="0"/>
              <w:rPr>
                <w:sz w:val="20"/>
                <w:szCs w:val="20"/>
                <w:color w:val="auto"/>
              </w:rPr>
            </w:pPr>
            <w:r>
              <w:rPr>
                <w:rFonts w:ascii="Arial" w:cs="Arial" w:eastAsia="Arial" w:hAnsi="Arial"/>
                <w:sz w:val="18"/>
                <w:szCs w:val="18"/>
                <w:color w:val="auto"/>
              </w:rPr>
              <w:t>4.01</w:t>
            </w:r>
          </w:p>
        </w:tc>
        <w:tc>
          <w:tcPr>
            <w:tcW w:w="8260" w:type="dxa"/>
            <w:vAlign w:val="bottom"/>
          </w:tcPr>
          <w:p>
            <w:pPr>
              <w:ind w:left="80"/>
              <w:spacing w:after="0"/>
              <w:rPr>
                <w:sz w:val="20"/>
                <w:szCs w:val="20"/>
                <w:color w:val="auto"/>
              </w:rPr>
            </w:pPr>
            <w:r>
              <w:rPr>
                <w:rFonts w:ascii="Arial" w:cs="Arial" w:eastAsia="Arial" w:hAnsi="Arial"/>
                <w:sz w:val="18"/>
                <w:szCs w:val="18"/>
                <w:color w:val="auto"/>
              </w:rPr>
              <w:t>Conditions Precedent to Effective Date</w:t>
            </w:r>
          </w:p>
        </w:tc>
        <w:tc>
          <w:tcPr>
            <w:tcW w:w="2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4.02</w:t>
            </w:r>
          </w:p>
        </w:tc>
        <w:tc>
          <w:tcPr>
            <w:tcW w:w="8260" w:type="dxa"/>
            <w:vAlign w:val="bottom"/>
          </w:tcPr>
          <w:p>
            <w:pPr>
              <w:ind w:left="80"/>
              <w:spacing w:after="0"/>
              <w:rPr>
                <w:sz w:val="20"/>
                <w:szCs w:val="20"/>
                <w:color w:val="auto"/>
              </w:rPr>
            </w:pPr>
            <w:r>
              <w:rPr>
                <w:rFonts w:ascii="Arial" w:cs="Arial" w:eastAsia="Arial" w:hAnsi="Arial"/>
                <w:sz w:val="18"/>
                <w:szCs w:val="18"/>
                <w:color w:val="auto"/>
              </w:rPr>
              <w:t>Conditions Precedent to Borrowings</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600" w:type="dxa"/>
            <w:vAlign w:val="bottom"/>
          </w:tcPr>
          <w:p>
            <w:pPr>
              <w:ind w:left="220"/>
              <w:spacing w:after="0"/>
              <w:rPr>
                <w:sz w:val="20"/>
                <w:szCs w:val="20"/>
                <w:color w:val="auto"/>
              </w:rPr>
            </w:pPr>
            <w:r>
              <w:rPr>
                <w:rFonts w:ascii="Arial" w:cs="Arial" w:eastAsia="Arial" w:hAnsi="Arial"/>
                <w:sz w:val="18"/>
                <w:szCs w:val="18"/>
                <w:color w:val="auto"/>
              </w:rPr>
              <w:t>4.03</w:t>
            </w:r>
          </w:p>
        </w:tc>
        <w:tc>
          <w:tcPr>
            <w:tcW w:w="8260" w:type="dxa"/>
            <w:vAlign w:val="bottom"/>
          </w:tcPr>
          <w:p>
            <w:pPr>
              <w:ind w:left="80"/>
              <w:spacing w:after="0"/>
              <w:rPr>
                <w:sz w:val="20"/>
                <w:szCs w:val="20"/>
                <w:color w:val="auto"/>
              </w:rPr>
            </w:pPr>
            <w:r>
              <w:rPr>
                <w:rFonts w:ascii="Arial" w:cs="Arial" w:eastAsia="Arial" w:hAnsi="Arial"/>
                <w:sz w:val="18"/>
                <w:szCs w:val="18"/>
                <w:color w:val="auto"/>
              </w:rPr>
              <w:t>Determinations Under Sections 4.01 and 4.02</w:t>
            </w:r>
          </w:p>
        </w:tc>
        <w:tc>
          <w:tcPr>
            <w:tcW w:w="25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6"/>
        </w:trPr>
        <w:tc>
          <w:tcPr>
            <w:tcW w:w="600" w:type="dxa"/>
            <w:vAlign w:val="bottom"/>
          </w:tcPr>
          <w:p>
            <w:pPr>
              <w:jc w:val="right"/>
              <w:spacing w:after="0"/>
              <w:rPr>
                <w:sz w:val="20"/>
                <w:szCs w:val="20"/>
                <w:color w:val="auto"/>
              </w:rPr>
            </w:pPr>
            <w:r>
              <w:rPr>
                <w:rFonts w:ascii="Arial" w:cs="Arial" w:eastAsia="Arial" w:hAnsi="Arial"/>
                <w:sz w:val="18"/>
                <w:szCs w:val="18"/>
                <w:color w:val="auto"/>
              </w:rPr>
              <w:t>4.04</w:t>
            </w:r>
          </w:p>
        </w:tc>
        <w:tc>
          <w:tcPr>
            <w:tcW w:w="7140" w:type="dxa"/>
            <w:vAlign w:val="bottom"/>
          </w:tcPr>
          <w:p>
            <w:pPr>
              <w:ind w:left="60"/>
              <w:spacing w:after="0"/>
              <w:rPr>
                <w:sz w:val="20"/>
                <w:szCs w:val="20"/>
                <w:color w:val="auto"/>
              </w:rPr>
            </w:pPr>
            <w:r>
              <w:rPr>
                <w:rFonts w:ascii="Arial" w:cs="Arial" w:eastAsia="Arial" w:hAnsi="Arial"/>
                <w:sz w:val="18"/>
                <w:szCs w:val="18"/>
                <w:color w:val="auto"/>
              </w:rPr>
              <w:t>Actions by Lenders During Certain Funds Period</w:t>
            </w:r>
          </w:p>
        </w:tc>
        <w:tc>
          <w:tcPr>
            <w:tcW w:w="3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3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7140" w:type="dxa"/>
            <w:vAlign w:val="bottom"/>
          </w:tcPr>
          <w:p>
            <w:pPr>
              <w:ind w:left="80"/>
              <w:spacing w:after="0"/>
              <w:rPr>
                <w:sz w:val="20"/>
                <w:szCs w:val="20"/>
                <w:color w:val="auto"/>
              </w:rPr>
            </w:pPr>
            <w:r>
              <w:rPr>
                <w:rFonts w:ascii="Arial" w:cs="Arial" w:eastAsia="Arial" w:hAnsi="Arial"/>
                <w:sz w:val="18"/>
                <w:szCs w:val="18"/>
                <w:color w:val="auto"/>
              </w:rPr>
              <w:t>Existence and Qualification; Compliance with Laws</w:t>
            </w:r>
          </w:p>
        </w:tc>
        <w:tc>
          <w:tcPr>
            <w:tcW w:w="3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7140" w:type="dxa"/>
            <w:vAlign w:val="bottom"/>
          </w:tcPr>
          <w:p>
            <w:pPr>
              <w:ind w:left="80"/>
              <w:spacing w:after="0"/>
              <w:rPr>
                <w:sz w:val="20"/>
                <w:szCs w:val="20"/>
                <w:color w:val="auto"/>
              </w:rPr>
            </w:pPr>
            <w:r>
              <w:rPr>
                <w:rFonts w:ascii="Arial" w:cs="Arial" w:eastAsia="Arial" w:hAnsi="Arial"/>
                <w:sz w:val="18"/>
                <w:szCs w:val="18"/>
                <w:color w:val="auto"/>
              </w:rPr>
              <w:t>Power; Authorization; Enforceable Obligations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5.03</w:t>
            </w:r>
          </w:p>
        </w:tc>
        <w:tc>
          <w:tcPr>
            <w:tcW w:w="7140" w:type="dxa"/>
            <w:vAlign w:val="bottom"/>
          </w:tcPr>
          <w:p>
            <w:pPr>
              <w:ind w:left="80"/>
              <w:spacing w:after="0"/>
              <w:rPr>
                <w:sz w:val="20"/>
                <w:szCs w:val="20"/>
                <w:color w:val="auto"/>
              </w:rPr>
            </w:pPr>
            <w:r>
              <w:rPr>
                <w:rFonts w:ascii="Arial" w:cs="Arial" w:eastAsia="Arial" w:hAnsi="Arial"/>
                <w:sz w:val="18"/>
                <w:szCs w:val="18"/>
                <w:color w:val="auto"/>
              </w:rPr>
              <w:t>No Legal Bar</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Statements; No Material Adverse Effect</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5.05</w:t>
            </w:r>
          </w:p>
        </w:tc>
        <w:tc>
          <w:tcPr>
            <w:tcW w:w="714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714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5.07</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7140" w:type="dxa"/>
            <w:vAlign w:val="bottom"/>
          </w:tcPr>
          <w:p>
            <w:pPr>
              <w:ind w:left="80"/>
              <w:spacing w:after="0"/>
              <w:rPr>
                <w:sz w:val="20"/>
                <w:szCs w:val="20"/>
                <w:color w:val="auto"/>
              </w:rPr>
            </w:pPr>
            <w:r>
              <w:rPr>
                <w:rFonts w:ascii="Arial" w:cs="Arial" w:eastAsia="Arial" w:hAnsi="Arial"/>
                <w:sz w:val="18"/>
                <w:szCs w:val="18"/>
                <w:color w:val="auto"/>
              </w:rPr>
              <w:t>Target Acquisition Documents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6.01</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7140" w:type="dxa"/>
            <w:vAlign w:val="bottom"/>
          </w:tcPr>
          <w:p>
            <w:pPr>
              <w:ind w:left="80"/>
              <w:spacing w:after="0"/>
              <w:rPr>
                <w:sz w:val="20"/>
                <w:szCs w:val="20"/>
                <w:color w:val="auto"/>
              </w:rPr>
            </w:pPr>
            <w:r>
              <w:rPr>
                <w:rFonts w:ascii="Arial" w:cs="Arial" w:eastAsia="Arial" w:hAnsi="Arial"/>
                <w:sz w:val="18"/>
                <w:szCs w:val="18"/>
                <w:color w:val="auto"/>
              </w:rPr>
              <w:t>Certificates, Notices and Other Information</w:t>
            </w:r>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7140" w:type="dxa"/>
            <w:vAlign w:val="bottom"/>
          </w:tcPr>
          <w:p>
            <w:pPr>
              <w:ind w:left="80"/>
              <w:spacing w:after="0"/>
              <w:rPr>
                <w:sz w:val="20"/>
                <w:szCs w:val="20"/>
                <w:color w:val="auto"/>
              </w:rPr>
            </w:pPr>
            <w:r>
              <w:rPr>
                <w:rFonts w:ascii="Arial" w:cs="Arial" w:eastAsia="Arial" w:hAnsi="Arial"/>
                <w:sz w:val="18"/>
                <w:szCs w:val="18"/>
                <w:color w:val="auto"/>
              </w:rPr>
              <w:t>Payment of Taxes</w:t>
            </w:r>
          </w:p>
        </w:tc>
        <w:tc>
          <w:tcPr>
            <w:tcW w:w="3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7140" w:type="dxa"/>
            <w:vAlign w:val="bottom"/>
          </w:tcPr>
          <w:p>
            <w:pPr>
              <w:ind w:left="80"/>
              <w:spacing w:after="0"/>
              <w:rPr>
                <w:sz w:val="20"/>
                <w:szCs w:val="20"/>
                <w:color w:val="auto"/>
              </w:rPr>
            </w:pPr>
            <w:r>
              <w:rPr>
                <w:rFonts w:ascii="Arial" w:cs="Arial" w:eastAsia="Arial" w:hAnsi="Arial"/>
                <w:sz w:val="18"/>
                <w:szCs w:val="18"/>
                <w:color w:val="auto"/>
              </w:rPr>
              <w:t>Preservation of Existence</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714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7140" w:type="dxa"/>
            <w:vAlign w:val="bottom"/>
          </w:tcPr>
          <w:p>
            <w:pPr>
              <w:ind w:left="80"/>
              <w:spacing w:after="0"/>
              <w:rPr>
                <w:sz w:val="20"/>
                <w:szCs w:val="20"/>
                <w:color w:val="auto"/>
              </w:rPr>
            </w:pPr>
            <w:r>
              <w:rPr>
                <w:rFonts w:ascii="Arial" w:cs="Arial" w:eastAsia="Arial" w:hAnsi="Arial"/>
                <w:sz w:val="18"/>
                <w:szCs w:val="18"/>
                <w:color w:val="auto"/>
              </w:rPr>
              <w:t>Inspection Rights</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7140" w:type="dxa"/>
            <w:vAlign w:val="bottom"/>
          </w:tcPr>
          <w:p>
            <w:pPr>
              <w:ind w:left="80"/>
              <w:spacing w:after="0"/>
              <w:rPr>
                <w:sz w:val="20"/>
                <w:szCs w:val="20"/>
                <w:color w:val="auto"/>
              </w:rPr>
            </w:pPr>
            <w:r>
              <w:rPr>
                <w:rFonts w:ascii="Arial" w:cs="Arial" w:eastAsia="Arial" w:hAnsi="Arial"/>
                <w:sz w:val="18"/>
                <w:szCs w:val="18"/>
                <w:color w:val="auto"/>
              </w:rPr>
              <w:t>Keeping of Records and Books of Account</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7140" w:type="dxa"/>
            <w:vAlign w:val="bottom"/>
          </w:tcPr>
          <w:p>
            <w:pPr>
              <w:ind w:left="80"/>
              <w:spacing w:after="0"/>
              <w:rPr>
                <w:sz w:val="20"/>
                <w:szCs w:val="20"/>
                <w:color w:val="auto"/>
              </w:rPr>
            </w:pPr>
            <w:r>
              <w:rPr>
                <w:rFonts w:ascii="Arial" w:cs="Arial" w:eastAsia="Arial" w:hAnsi="Arial"/>
                <w:sz w:val="18"/>
                <w:szCs w:val="18"/>
                <w:color w:val="auto"/>
              </w:rPr>
              <w:t>Designation of Unrestricted Subsidiaries</w:t>
            </w:r>
          </w:p>
        </w:tc>
        <w:tc>
          <w:tcPr>
            <w:tcW w:w="3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7140" w:type="dxa"/>
            <w:vAlign w:val="bottom"/>
          </w:tcPr>
          <w:p>
            <w:pPr>
              <w:ind w:left="80"/>
              <w:spacing w:after="0"/>
              <w:rPr>
                <w:sz w:val="20"/>
                <w:szCs w:val="20"/>
                <w:color w:val="auto"/>
              </w:rPr>
            </w:pPr>
            <w:r>
              <w:rPr>
                <w:rFonts w:ascii="Arial" w:cs="Arial" w:eastAsia="Arial" w:hAnsi="Arial"/>
                <w:sz w:val="18"/>
                <w:szCs w:val="18"/>
                <w:color w:val="auto"/>
              </w:rPr>
              <w:t>Guarantors</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7140" w:type="dxa"/>
            <w:vAlign w:val="bottom"/>
          </w:tcPr>
          <w:p>
            <w:pPr>
              <w:ind w:left="80"/>
              <w:spacing w:after="0"/>
              <w:rPr>
                <w:sz w:val="20"/>
                <w:szCs w:val="20"/>
                <w:color w:val="auto"/>
              </w:rPr>
            </w:pPr>
            <w:r>
              <w:rPr>
                <w:rFonts w:ascii="Arial" w:cs="Arial" w:eastAsia="Arial" w:hAnsi="Arial"/>
                <w:sz w:val="18"/>
                <w:szCs w:val="18"/>
                <w:color w:val="auto"/>
              </w:rPr>
              <w:t>Scheme and Offer</w:t>
            </w:r>
          </w:p>
        </w:tc>
        <w:tc>
          <w:tcPr>
            <w:tcW w:w="3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7.01</w:t>
            </w:r>
          </w:p>
        </w:tc>
        <w:tc>
          <w:tcPr>
            <w:tcW w:w="7140" w:type="dxa"/>
            <w:vAlign w:val="bottom"/>
          </w:tcPr>
          <w:p>
            <w:pPr>
              <w:ind w:left="80"/>
              <w:spacing w:after="0"/>
              <w:rPr>
                <w:sz w:val="20"/>
                <w:szCs w:val="20"/>
                <w:color w:val="auto"/>
              </w:rPr>
            </w:pPr>
            <w:r>
              <w:rPr>
                <w:rFonts w:ascii="Arial" w:cs="Arial" w:eastAsia="Arial" w:hAnsi="Arial"/>
                <w:sz w:val="18"/>
                <w:szCs w:val="18"/>
                <w:color w:val="auto"/>
              </w:rPr>
              <w:t>Liens</w:t>
            </w: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7140" w:type="dxa"/>
            <w:vAlign w:val="bottom"/>
          </w:tcPr>
          <w:p>
            <w:pPr>
              <w:ind w:left="80"/>
              <w:spacing w:after="0"/>
              <w:rPr>
                <w:sz w:val="20"/>
                <w:szCs w:val="20"/>
                <w:color w:val="auto"/>
              </w:rPr>
            </w:pPr>
            <w:r>
              <w:rPr>
                <w:rFonts w:ascii="Arial" w:cs="Arial" w:eastAsia="Arial" w:hAnsi="Arial"/>
                <w:sz w:val="18"/>
                <w:szCs w:val="18"/>
                <w:color w:val="auto"/>
              </w:rPr>
              <w:t>Non-Guarantor Subsidiary Indebtedness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7.03</w:t>
            </w:r>
          </w:p>
        </w:tc>
        <w:tc>
          <w:tcPr>
            <w:tcW w:w="7140" w:type="dxa"/>
            <w:vAlign w:val="bottom"/>
          </w:tcPr>
          <w:p>
            <w:pPr>
              <w:ind w:left="80"/>
              <w:spacing w:after="0"/>
              <w:rPr>
                <w:sz w:val="20"/>
                <w:szCs w:val="20"/>
                <w:color w:val="auto"/>
              </w:rPr>
            </w:pPr>
            <w:r>
              <w:rPr>
                <w:rFonts w:ascii="Arial" w:cs="Arial" w:eastAsia="Arial" w:hAnsi="Arial"/>
                <w:sz w:val="18"/>
                <w:szCs w:val="18"/>
                <w:color w:val="auto"/>
              </w:rPr>
              <w:t>Fundamental Changes</w:t>
            </w: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7140" w:type="dxa"/>
            <w:vAlign w:val="bottom"/>
          </w:tcPr>
          <w:p>
            <w:pPr>
              <w:ind w:left="80"/>
              <w:spacing w:after="0"/>
              <w:rPr>
                <w:sz w:val="20"/>
                <w:szCs w:val="20"/>
                <w:color w:val="auto"/>
              </w:rPr>
            </w:pPr>
            <w:r>
              <w:rPr>
                <w:rFonts w:ascii="Arial" w:cs="Arial" w:eastAsia="Arial" w:hAnsi="Arial"/>
                <w:sz w:val="18"/>
                <w:szCs w:val="18"/>
                <w:color w:val="auto"/>
              </w:rPr>
              <w:t>ERISA</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7.05</w:t>
            </w:r>
          </w:p>
        </w:tc>
        <w:tc>
          <w:tcPr>
            <w:tcW w:w="7140" w:type="dxa"/>
            <w:vAlign w:val="bottom"/>
          </w:tcPr>
          <w:p>
            <w:pPr>
              <w:ind w:left="60"/>
              <w:spacing w:after="0"/>
              <w:rPr>
                <w:sz w:val="20"/>
                <w:szCs w:val="20"/>
                <w:color w:val="auto"/>
              </w:rPr>
            </w:pPr>
            <w:r>
              <w:rPr>
                <w:rFonts w:ascii="Arial" w:cs="Arial" w:eastAsia="Arial" w:hAnsi="Arial"/>
                <w:sz w:val="18"/>
                <w:szCs w:val="18"/>
                <w:color w:val="auto"/>
              </w:rPr>
              <w:t>Anti-Corruption Laws and Sanctions</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7.06</w:t>
            </w:r>
          </w:p>
        </w:tc>
        <w:tc>
          <w:tcPr>
            <w:tcW w:w="7140" w:type="dxa"/>
            <w:vAlign w:val="bottom"/>
          </w:tcPr>
          <w:p>
            <w:pPr>
              <w:ind w:left="80"/>
              <w:spacing w:after="0"/>
              <w:rPr>
                <w:sz w:val="20"/>
                <w:szCs w:val="20"/>
                <w:color w:val="auto"/>
              </w:rPr>
            </w:pPr>
            <w:r>
              <w:rPr>
                <w:rFonts w:ascii="Arial" w:cs="Arial" w:eastAsia="Arial" w:hAnsi="Arial"/>
                <w:sz w:val="18"/>
                <w:szCs w:val="18"/>
                <w:color w:val="auto"/>
              </w:rPr>
              <w:t>Financial Covenant</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7140" w:type="dxa"/>
            <w:vAlign w:val="bottom"/>
          </w:tcPr>
          <w:p>
            <w:pPr>
              <w:ind w:left="80"/>
              <w:spacing w:after="0"/>
              <w:rPr>
                <w:sz w:val="20"/>
                <w:szCs w:val="20"/>
                <w:color w:val="auto"/>
              </w:rPr>
            </w:pPr>
            <w:r>
              <w:rPr>
                <w:rFonts w:ascii="Arial" w:cs="Arial" w:eastAsia="Arial" w:hAnsi="Arial"/>
                <w:sz w:val="18"/>
                <w:szCs w:val="18"/>
                <w:color w:val="auto"/>
              </w:rPr>
              <w:t>Scheme and Offer</w:t>
            </w: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8.01</w:t>
            </w:r>
          </w:p>
        </w:tc>
        <w:tc>
          <w:tcPr>
            <w:tcW w:w="7140" w:type="dxa"/>
            <w:vAlign w:val="bottom"/>
          </w:tcPr>
          <w:p>
            <w:pPr>
              <w:ind w:left="80"/>
              <w:spacing w:after="0"/>
              <w:rPr>
                <w:sz w:val="20"/>
                <w:szCs w:val="20"/>
                <w:color w:val="auto"/>
              </w:rPr>
            </w:pPr>
            <w:r>
              <w:rPr>
                <w:rFonts w:ascii="Arial" w:cs="Arial" w:eastAsia="Arial" w:hAnsi="Arial"/>
                <w:sz w:val="18"/>
                <w:szCs w:val="18"/>
                <w:color w:val="auto"/>
              </w:rPr>
              <w:t>Events of Default</w:t>
            </w:r>
          </w:p>
        </w:tc>
        <w:tc>
          <w:tcPr>
            <w:tcW w:w="36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7140" w:type="dxa"/>
            <w:vAlign w:val="bottom"/>
          </w:tcPr>
          <w:p>
            <w:pPr>
              <w:ind w:left="80"/>
              <w:spacing w:after="0"/>
              <w:rPr>
                <w:sz w:val="20"/>
                <w:szCs w:val="20"/>
                <w:color w:val="auto"/>
              </w:rPr>
            </w:pPr>
            <w:r>
              <w:rPr>
                <w:rFonts w:ascii="Arial" w:cs="Arial" w:eastAsia="Arial" w:hAnsi="Arial"/>
                <w:sz w:val="18"/>
                <w:szCs w:val="18"/>
                <w:color w:val="auto"/>
              </w:rPr>
              <w:t>Remedies Upon Event of Default</w:t>
            </w:r>
          </w:p>
        </w:tc>
        <w:tc>
          <w:tcPr>
            <w:tcW w:w="3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7140" w:type="dxa"/>
            <w:vAlign w:val="bottom"/>
          </w:tcPr>
          <w:p>
            <w:pPr>
              <w:ind w:left="80"/>
              <w:spacing w:after="0"/>
              <w:rPr>
                <w:sz w:val="20"/>
                <w:szCs w:val="20"/>
                <w:color w:val="auto"/>
              </w:rPr>
            </w:pPr>
            <w:r>
              <w:rPr>
                <w:rFonts w:ascii="Arial" w:cs="Arial" w:eastAsia="Arial" w:hAnsi="Arial"/>
                <w:sz w:val="18"/>
                <w:szCs w:val="18"/>
                <w:color w:val="auto"/>
              </w:rPr>
              <w:t>Clean-Up Period</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774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600" w:type="dxa"/>
            <w:vAlign w:val="bottom"/>
          </w:tcPr>
          <w:p>
            <w:pPr>
              <w:jc w:val="right"/>
              <w:spacing w:after="0"/>
              <w:rPr>
                <w:sz w:val="20"/>
                <w:szCs w:val="20"/>
                <w:color w:val="auto"/>
              </w:rPr>
            </w:pPr>
            <w:r>
              <w:rPr>
                <w:rFonts w:ascii="Arial" w:cs="Arial" w:eastAsia="Arial" w:hAnsi="Arial"/>
                <w:sz w:val="18"/>
                <w:szCs w:val="18"/>
                <w:color w:val="auto"/>
              </w:rPr>
              <w:t>9.01</w:t>
            </w:r>
          </w:p>
        </w:tc>
        <w:tc>
          <w:tcPr>
            <w:tcW w:w="7140" w:type="dxa"/>
            <w:vAlign w:val="bottom"/>
          </w:tcPr>
          <w:p>
            <w:pPr>
              <w:ind w:left="60"/>
              <w:spacing w:after="0"/>
              <w:rPr>
                <w:sz w:val="20"/>
                <w:szCs w:val="20"/>
                <w:color w:val="auto"/>
              </w:rPr>
            </w:pPr>
            <w:r>
              <w:rPr>
                <w:rFonts w:ascii="Arial" w:cs="Arial" w:eastAsia="Arial" w:hAnsi="Arial"/>
                <w:sz w:val="18"/>
                <w:szCs w:val="18"/>
                <w:color w:val="auto"/>
              </w:rPr>
              <w:t>Appointment</w:t>
            </w:r>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7140" w:type="dxa"/>
            <w:vAlign w:val="bottom"/>
          </w:tcPr>
          <w:p>
            <w:pPr>
              <w:ind w:left="80"/>
              <w:spacing w:after="0"/>
              <w:rPr>
                <w:sz w:val="20"/>
                <w:szCs w:val="20"/>
                <w:color w:val="auto"/>
              </w:rPr>
            </w:pPr>
            <w:r>
              <w:rPr>
                <w:rFonts w:ascii="Arial" w:cs="Arial" w:eastAsia="Arial" w:hAnsi="Arial"/>
                <w:sz w:val="18"/>
                <w:szCs w:val="18"/>
                <w:color w:val="auto"/>
              </w:rPr>
              <w:t>Delegation of Duties</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9.03</w:t>
            </w:r>
          </w:p>
        </w:tc>
        <w:tc>
          <w:tcPr>
            <w:tcW w:w="7140" w:type="dxa"/>
            <w:vAlign w:val="bottom"/>
          </w:tcPr>
          <w:p>
            <w:pPr>
              <w:ind w:left="80"/>
              <w:spacing w:after="0"/>
              <w:rPr>
                <w:sz w:val="20"/>
                <w:szCs w:val="20"/>
                <w:color w:val="auto"/>
              </w:rPr>
            </w:pPr>
            <w:r>
              <w:rPr>
                <w:rFonts w:ascii="Arial" w:cs="Arial" w:eastAsia="Arial" w:hAnsi="Arial"/>
                <w:sz w:val="18"/>
                <w:szCs w:val="18"/>
                <w:color w:val="auto"/>
              </w:rPr>
              <w:t>Exculpatory Provisions</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9.04</w:t>
            </w:r>
          </w:p>
        </w:tc>
        <w:tc>
          <w:tcPr>
            <w:tcW w:w="7140" w:type="dxa"/>
            <w:vAlign w:val="bottom"/>
          </w:tcPr>
          <w:p>
            <w:pPr>
              <w:ind w:left="80"/>
              <w:spacing w:after="0"/>
              <w:rPr>
                <w:sz w:val="20"/>
                <w:szCs w:val="20"/>
                <w:color w:val="auto"/>
              </w:rPr>
            </w:pPr>
            <w:r>
              <w:rPr>
                <w:rFonts w:ascii="Arial" w:cs="Arial" w:eastAsia="Arial" w:hAnsi="Arial"/>
                <w:sz w:val="18"/>
                <w:szCs w:val="18"/>
                <w:color w:val="auto"/>
              </w:rPr>
              <w:t>Reliance by Administrative Agent</w:t>
            </w:r>
          </w:p>
        </w:tc>
        <w:tc>
          <w:tcPr>
            <w:tcW w:w="36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6"/>
        </w:trPr>
        <w:tc>
          <w:tcPr>
            <w:tcW w:w="660" w:type="dxa"/>
            <w:vAlign w:val="bottom"/>
          </w:tcPr>
          <w:p>
            <w:pPr>
              <w:ind w:left="220"/>
              <w:spacing w:after="0"/>
              <w:rPr>
                <w:sz w:val="20"/>
                <w:szCs w:val="20"/>
                <w:color w:val="auto"/>
              </w:rPr>
            </w:pPr>
            <w:r>
              <w:rPr>
                <w:rFonts w:ascii="Arial" w:cs="Arial" w:eastAsia="Arial" w:hAnsi="Arial"/>
                <w:sz w:val="18"/>
                <w:szCs w:val="18"/>
                <w:color w:val="auto"/>
              </w:rPr>
              <w:t>9.05</w:t>
            </w:r>
          </w:p>
        </w:tc>
        <w:tc>
          <w:tcPr>
            <w:tcW w:w="8200" w:type="dxa"/>
            <w:vAlign w:val="bottom"/>
          </w:tcPr>
          <w:p>
            <w:pPr>
              <w:ind w:left="20"/>
              <w:spacing w:after="0"/>
              <w:rPr>
                <w:sz w:val="20"/>
                <w:szCs w:val="20"/>
                <w:color w:val="auto"/>
              </w:rPr>
            </w:pPr>
            <w:r>
              <w:rPr>
                <w:rFonts w:ascii="Arial" w:cs="Arial" w:eastAsia="Arial" w:hAnsi="Arial"/>
                <w:sz w:val="18"/>
                <w:szCs w:val="18"/>
                <w:color w:val="auto"/>
              </w:rPr>
              <w:t>Notice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9.06  Non-Reliance on Agents and Other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9.07</w:t>
            </w:r>
          </w:p>
        </w:tc>
        <w:tc>
          <w:tcPr>
            <w:tcW w:w="8200" w:type="dxa"/>
            <w:vAlign w:val="bottom"/>
          </w:tcPr>
          <w:p>
            <w:pPr>
              <w:ind w:left="2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9.08  Agent in Its Individual Capacity</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9.09</w:t>
            </w:r>
          </w:p>
        </w:tc>
        <w:tc>
          <w:tcPr>
            <w:tcW w:w="8200" w:type="dxa"/>
            <w:vAlign w:val="bottom"/>
          </w:tcPr>
          <w:p>
            <w:pPr>
              <w:ind w:left="20"/>
              <w:spacing w:after="0"/>
              <w:rPr>
                <w:sz w:val="20"/>
                <w:szCs w:val="20"/>
                <w:color w:val="auto"/>
              </w:rPr>
            </w:pPr>
            <w:r>
              <w:rPr>
                <w:rFonts w:ascii="Arial" w:cs="Arial" w:eastAsia="Arial" w:hAnsi="Arial"/>
                <w:sz w:val="18"/>
                <w:szCs w:val="18"/>
                <w:color w:val="auto"/>
              </w:rPr>
              <w:t>Successor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9.10</w:t>
            </w:r>
          </w:p>
        </w:tc>
        <w:tc>
          <w:tcPr>
            <w:tcW w:w="8200" w:type="dxa"/>
            <w:vAlign w:val="bottom"/>
          </w:tcPr>
          <w:p>
            <w:pPr>
              <w:ind w:left="20"/>
              <w:spacing w:after="0"/>
              <w:rPr>
                <w:sz w:val="20"/>
                <w:szCs w:val="20"/>
                <w:color w:val="auto"/>
              </w:rPr>
            </w:pPr>
            <w:r>
              <w:rPr>
                <w:rFonts w:ascii="Arial" w:cs="Arial" w:eastAsia="Arial" w:hAnsi="Arial"/>
                <w:sz w:val="18"/>
                <w:szCs w:val="18"/>
                <w:color w:val="auto"/>
              </w:rPr>
              <w:t>Syndication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9.11</w:t>
            </w:r>
          </w:p>
        </w:tc>
        <w:tc>
          <w:tcPr>
            <w:tcW w:w="8200" w:type="dxa"/>
            <w:vAlign w:val="bottom"/>
          </w:tcPr>
          <w:p>
            <w:pPr>
              <w:ind w:left="20"/>
              <w:spacing w:after="0"/>
              <w:rPr>
                <w:sz w:val="20"/>
                <w:szCs w:val="20"/>
                <w:color w:val="auto"/>
              </w:rPr>
            </w:pPr>
            <w:r>
              <w:rPr>
                <w:rFonts w:ascii="Arial" w:cs="Arial" w:eastAsia="Arial" w:hAnsi="Arial"/>
                <w:sz w:val="18"/>
                <w:szCs w:val="18"/>
                <w:color w:val="auto"/>
              </w:rPr>
              <w:t>Certain ERISA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78"/>
        </w:trPr>
        <w:tc>
          <w:tcPr>
            <w:tcW w:w="886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78"/>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10.01</w:t>
            </w:r>
          </w:p>
        </w:tc>
        <w:tc>
          <w:tcPr>
            <w:tcW w:w="8200" w:type="dxa"/>
            <w:vAlign w:val="bottom"/>
          </w:tcPr>
          <w:p>
            <w:pPr>
              <w:ind w:left="100"/>
              <w:spacing w:after="0"/>
              <w:rPr>
                <w:sz w:val="20"/>
                <w:szCs w:val="20"/>
                <w:color w:val="auto"/>
              </w:rPr>
            </w:pPr>
            <w:r>
              <w:rPr>
                <w:rFonts w:ascii="Arial" w:cs="Arial" w:eastAsia="Arial" w:hAnsi="Arial"/>
                <w:sz w:val="18"/>
                <w:szCs w:val="18"/>
                <w:color w:val="auto"/>
              </w:rPr>
              <w:t>Amendments; Consents</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10.02</w:t>
            </w:r>
          </w:p>
        </w:tc>
        <w:tc>
          <w:tcPr>
            <w:tcW w:w="8200" w:type="dxa"/>
            <w:vAlign w:val="bottom"/>
          </w:tcPr>
          <w:p>
            <w:pPr>
              <w:ind w:left="100"/>
              <w:spacing w:after="0"/>
              <w:rPr>
                <w:sz w:val="20"/>
                <w:szCs w:val="20"/>
                <w:color w:val="auto"/>
              </w:rPr>
            </w:pPr>
            <w:r>
              <w:rPr>
                <w:rFonts w:ascii="Arial" w:cs="Arial" w:eastAsia="Arial" w:hAnsi="Arial"/>
                <w:sz w:val="18"/>
                <w:szCs w:val="18"/>
                <w:color w:val="auto"/>
              </w:rPr>
              <w:t>Requisite Notice; Electronic Communications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10.03</w:t>
            </w:r>
          </w:p>
        </w:tc>
        <w:tc>
          <w:tcPr>
            <w:tcW w:w="8200" w:type="dxa"/>
            <w:vAlign w:val="bottom"/>
          </w:tcPr>
          <w:p>
            <w:pPr>
              <w:ind w:left="100"/>
              <w:spacing w:after="0"/>
              <w:rPr>
                <w:sz w:val="20"/>
                <w:szCs w:val="20"/>
                <w:color w:val="auto"/>
              </w:rPr>
            </w:pPr>
            <w:r>
              <w:rPr>
                <w:rFonts w:ascii="Arial" w:cs="Arial" w:eastAsia="Arial" w:hAnsi="Arial"/>
                <w:sz w:val="18"/>
                <w:szCs w:val="18"/>
                <w:color w:val="auto"/>
              </w:rPr>
              <w:t>Attorney Costs and 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10.04</w:t>
            </w:r>
          </w:p>
        </w:tc>
        <w:tc>
          <w:tcPr>
            <w:tcW w:w="8200" w:type="dxa"/>
            <w:vAlign w:val="bottom"/>
          </w:tcPr>
          <w:p>
            <w:pPr>
              <w:ind w:left="100"/>
              <w:spacing w:after="0"/>
              <w:rPr>
                <w:sz w:val="20"/>
                <w:szCs w:val="20"/>
                <w:color w:val="auto"/>
              </w:rPr>
            </w:pPr>
            <w:r>
              <w:rPr>
                <w:rFonts w:ascii="Arial" w:cs="Arial" w:eastAsia="Arial" w:hAnsi="Arial"/>
                <w:sz w:val="18"/>
                <w:szCs w:val="18"/>
                <w:color w:val="auto"/>
              </w:rPr>
              <w:t>Binding Effect; 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10.05</w:t>
            </w:r>
          </w:p>
        </w:tc>
        <w:tc>
          <w:tcPr>
            <w:tcW w:w="8200" w:type="dxa"/>
            <w:vAlign w:val="bottom"/>
          </w:tcPr>
          <w:p>
            <w:pPr>
              <w:ind w:left="100"/>
              <w:spacing w:after="0"/>
              <w:rPr>
                <w:sz w:val="20"/>
                <w:szCs w:val="20"/>
                <w:color w:val="auto"/>
              </w:rPr>
            </w:pPr>
            <w:r>
              <w:rPr>
                <w:rFonts w:ascii="Arial" w:cs="Arial" w:eastAsia="Arial" w:hAnsi="Arial"/>
                <w:sz w:val="18"/>
                <w:szCs w:val="18"/>
                <w:color w:val="auto"/>
              </w:rPr>
              <w:t>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10.06</w:t>
            </w:r>
          </w:p>
        </w:tc>
        <w:tc>
          <w:tcPr>
            <w:tcW w:w="8200" w:type="dxa"/>
            <w:vAlign w:val="bottom"/>
          </w:tcPr>
          <w:p>
            <w:pPr>
              <w:ind w:left="100"/>
              <w:spacing w:after="0"/>
              <w:rPr>
                <w:sz w:val="20"/>
                <w:szCs w:val="20"/>
                <w:color w:val="auto"/>
              </w:rPr>
            </w:pPr>
            <w:r>
              <w:rPr>
                <w:rFonts w:ascii="Arial" w:cs="Arial" w:eastAsia="Arial" w:hAnsi="Arial"/>
                <w:sz w:val="18"/>
                <w:szCs w:val="18"/>
                <w:color w:val="auto"/>
              </w:rPr>
              <w:t>Sharing of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10.07</w:t>
            </w:r>
          </w:p>
        </w:tc>
        <w:tc>
          <w:tcPr>
            <w:tcW w:w="8200" w:type="dxa"/>
            <w:vAlign w:val="bottom"/>
          </w:tcPr>
          <w:p>
            <w:pPr>
              <w:ind w:left="100"/>
              <w:spacing w:after="0"/>
              <w:rPr>
                <w:sz w:val="20"/>
                <w:szCs w:val="20"/>
                <w:color w:val="auto"/>
              </w:rPr>
            </w:pPr>
            <w:r>
              <w:rPr>
                <w:rFonts w:ascii="Arial" w:cs="Arial" w:eastAsia="Arial" w:hAnsi="Arial"/>
                <w:sz w:val="18"/>
                <w:szCs w:val="18"/>
                <w:color w:val="auto"/>
              </w:rPr>
              <w:t>No Waiver; Cumulative 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10.08</w:t>
            </w:r>
          </w:p>
        </w:tc>
        <w:tc>
          <w:tcPr>
            <w:tcW w:w="8200" w:type="dxa"/>
            <w:vAlign w:val="bottom"/>
          </w:tcPr>
          <w:p>
            <w:pPr>
              <w:ind w:left="100"/>
              <w:spacing w:after="0"/>
              <w:rPr>
                <w:sz w:val="20"/>
                <w:szCs w:val="20"/>
                <w:color w:val="auto"/>
              </w:rPr>
            </w:pPr>
            <w:r>
              <w:rPr>
                <w:rFonts w:ascii="Arial" w:cs="Arial" w:eastAsia="Arial" w:hAnsi="Arial"/>
                <w:sz w:val="18"/>
                <w:szCs w:val="18"/>
                <w:color w:val="auto"/>
              </w:rPr>
              <w:t>Usury</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10.09</w:t>
            </w:r>
          </w:p>
        </w:tc>
        <w:tc>
          <w:tcPr>
            <w:tcW w:w="8200" w:type="dxa"/>
            <w:vAlign w:val="bottom"/>
          </w:tcPr>
          <w:p>
            <w:pPr>
              <w:ind w:left="100"/>
              <w:spacing w:after="0"/>
              <w:rPr>
                <w:sz w:val="20"/>
                <w:szCs w:val="20"/>
                <w:color w:val="auto"/>
              </w:rPr>
            </w:pPr>
            <w:r>
              <w:rPr>
                <w:rFonts w:ascii="Arial" w:cs="Arial" w:eastAsia="Arial" w:hAnsi="Arial"/>
                <w:sz w:val="18"/>
                <w:szCs w:val="18"/>
                <w:color w:val="auto"/>
              </w:rPr>
              <w:t>Counterparts, Electronic Execution of Assignments and Certain Other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10.10</w:t>
            </w:r>
          </w:p>
        </w:tc>
        <w:tc>
          <w:tcPr>
            <w:tcW w:w="8200" w:type="dxa"/>
            <w:vAlign w:val="bottom"/>
          </w:tcPr>
          <w:p>
            <w:pPr>
              <w:ind w:left="100"/>
              <w:spacing w:after="0"/>
              <w:rPr>
                <w:sz w:val="20"/>
                <w:szCs w:val="20"/>
                <w:color w:val="auto"/>
              </w:rPr>
            </w:pPr>
            <w:r>
              <w:rPr>
                <w:rFonts w:ascii="Arial" w:cs="Arial" w:eastAsia="Arial" w:hAnsi="Arial"/>
                <w:sz w:val="18"/>
                <w:szCs w:val="18"/>
                <w:color w:val="auto"/>
              </w:rPr>
              <w:t>Integration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10.11  Nature of Lenders’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10.12</w:t>
            </w:r>
          </w:p>
        </w:tc>
        <w:tc>
          <w:tcPr>
            <w:tcW w:w="8200" w:type="dxa"/>
            <w:vAlign w:val="bottom"/>
          </w:tcPr>
          <w:p>
            <w:pPr>
              <w:ind w:left="100"/>
              <w:spacing w:after="0"/>
              <w:rPr>
                <w:sz w:val="20"/>
                <w:szCs w:val="20"/>
                <w:color w:val="auto"/>
              </w:rPr>
            </w:pPr>
            <w:r>
              <w:rPr>
                <w:rFonts w:ascii="Arial" w:cs="Arial" w:eastAsia="Arial" w:hAnsi="Arial"/>
                <w:sz w:val="18"/>
                <w:szCs w:val="18"/>
                <w:color w:val="auto"/>
              </w:rPr>
              <w:t>Survival of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10.13</w:t>
            </w:r>
          </w:p>
        </w:tc>
        <w:tc>
          <w:tcPr>
            <w:tcW w:w="8200" w:type="dxa"/>
            <w:vAlign w:val="bottom"/>
          </w:tcPr>
          <w:p>
            <w:pPr>
              <w:ind w:left="100"/>
              <w:spacing w:after="0"/>
              <w:rPr>
                <w:sz w:val="20"/>
                <w:szCs w:val="20"/>
                <w:color w:val="auto"/>
              </w:rPr>
            </w:pPr>
            <w:r>
              <w:rPr>
                <w:rFonts w:ascii="Arial" w:cs="Arial" w:eastAsia="Arial" w:hAnsi="Arial"/>
                <w:sz w:val="18"/>
                <w:szCs w:val="18"/>
                <w:color w:val="auto"/>
              </w:rPr>
              <w:t>Indemnity by Borrower</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10.14</w:t>
            </w:r>
          </w:p>
        </w:tc>
        <w:tc>
          <w:tcPr>
            <w:tcW w:w="8200" w:type="dxa"/>
            <w:vAlign w:val="bottom"/>
          </w:tcPr>
          <w:p>
            <w:pPr>
              <w:ind w:left="100"/>
              <w:spacing w:after="0"/>
              <w:rPr>
                <w:sz w:val="20"/>
                <w:szCs w:val="20"/>
                <w:color w:val="auto"/>
              </w:rPr>
            </w:pPr>
            <w:r>
              <w:rPr>
                <w:rFonts w:ascii="Arial" w:cs="Arial" w:eastAsia="Arial" w:hAnsi="Arial"/>
                <w:sz w:val="18"/>
                <w:szCs w:val="18"/>
                <w:color w:val="auto"/>
              </w:rPr>
              <w:t>Nonliability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10.15</w:t>
            </w:r>
          </w:p>
        </w:tc>
        <w:tc>
          <w:tcPr>
            <w:tcW w:w="8200" w:type="dxa"/>
            <w:vAlign w:val="bottom"/>
          </w:tcPr>
          <w:p>
            <w:pPr>
              <w:ind w:left="100"/>
              <w:spacing w:after="0"/>
              <w:rPr>
                <w:sz w:val="20"/>
                <w:szCs w:val="20"/>
                <w:color w:val="auto"/>
              </w:rPr>
            </w:pPr>
            <w:r>
              <w:rPr>
                <w:rFonts w:ascii="Arial" w:cs="Arial" w:eastAsia="Arial" w:hAnsi="Arial"/>
                <w:sz w:val="18"/>
                <w:szCs w:val="18"/>
                <w:color w:val="auto"/>
              </w:rPr>
              <w:t>No Third Parties Benefitted</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10.16</w:t>
            </w:r>
          </w:p>
        </w:tc>
        <w:tc>
          <w:tcPr>
            <w:tcW w:w="82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10.17</w:t>
            </w:r>
          </w:p>
        </w:tc>
        <w:tc>
          <w:tcPr>
            <w:tcW w:w="82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10.18</w:t>
            </w:r>
          </w:p>
        </w:tc>
        <w:tc>
          <w:tcPr>
            <w:tcW w:w="8200" w:type="dxa"/>
            <w:vAlign w:val="bottom"/>
          </w:tcPr>
          <w:p>
            <w:pPr>
              <w:ind w:left="100"/>
              <w:spacing w:after="0"/>
              <w:rPr>
                <w:sz w:val="20"/>
                <w:szCs w:val="20"/>
                <w:color w:val="auto"/>
              </w:rPr>
            </w:pPr>
            <w:r>
              <w:rPr>
                <w:rFonts w:ascii="Arial" w:cs="Arial" w:eastAsia="Arial" w:hAnsi="Arial"/>
                <w:sz w:val="18"/>
                <w:szCs w:val="18"/>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10.19</w:t>
            </w:r>
          </w:p>
        </w:tc>
        <w:tc>
          <w:tcPr>
            <w:tcW w:w="8200" w:type="dxa"/>
            <w:vAlign w:val="bottom"/>
          </w:tcPr>
          <w:p>
            <w:pPr>
              <w:ind w:left="100"/>
              <w:spacing w:after="0"/>
              <w:rPr>
                <w:sz w:val="20"/>
                <w:szCs w:val="20"/>
                <w:color w:val="auto"/>
              </w:rPr>
            </w:pPr>
            <w:r>
              <w:rPr>
                <w:rFonts w:ascii="Arial" w:cs="Arial" w:eastAsia="Arial" w:hAnsi="Arial"/>
                <w:sz w:val="18"/>
                <w:szCs w:val="18"/>
                <w:color w:val="auto"/>
              </w:rPr>
              <w:t>Time of the Essence</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10.20</w:t>
            </w:r>
          </w:p>
        </w:tc>
        <w:tc>
          <w:tcPr>
            <w:tcW w:w="8200" w:type="dxa"/>
            <w:vAlign w:val="bottom"/>
          </w:tcPr>
          <w:p>
            <w:pPr>
              <w:ind w:left="100"/>
              <w:spacing w:after="0"/>
              <w:rPr>
                <w:sz w:val="20"/>
                <w:szCs w:val="20"/>
                <w:color w:val="auto"/>
              </w:rPr>
            </w:pPr>
            <w:r>
              <w:rPr>
                <w:rFonts w:ascii="Arial" w:cs="Arial" w:eastAsia="Arial" w:hAnsi="Arial"/>
                <w:sz w:val="18"/>
                <w:szCs w:val="18"/>
                <w:color w:val="auto"/>
              </w:rPr>
              <w:t>Status of Lenders and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10.21</w:t>
            </w:r>
          </w:p>
        </w:tc>
        <w:tc>
          <w:tcPr>
            <w:tcW w:w="8200" w:type="dxa"/>
            <w:vAlign w:val="bottom"/>
          </w:tcPr>
          <w:p>
            <w:pPr>
              <w:ind w:left="100"/>
              <w:spacing w:after="0"/>
              <w:rPr>
                <w:sz w:val="20"/>
                <w:szCs w:val="20"/>
                <w:color w:val="auto"/>
              </w:rPr>
            </w:pPr>
            <w:r>
              <w:rPr>
                <w:rFonts w:ascii="Arial" w:cs="Arial" w:eastAsia="Arial" w:hAnsi="Arial"/>
                <w:sz w:val="18"/>
                <w:szCs w:val="18"/>
                <w:color w:val="auto"/>
              </w:rPr>
              <w:t>Removal and Replacement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10.22</w:t>
            </w:r>
          </w:p>
        </w:tc>
        <w:tc>
          <w:tcPr>
            <w:tcW w:w="8200" w:type="dxa"/>
            <w:vAlign w:val="bottom"/>
          </w:tcPr>
          <w:p>
            <w:pPr>
              <w:ind w:left="100"/>
              <w:spacing w:after="0"/>
              <w:rPr>
                <w:sz w:val="20"/>
                <w:szCs w:val="20"/>
                <w:color w:val="auto"/>
              </w:rPr>
            </w:pPr>
            <w:r>
              <w:rPr>
                <w:rFonts w:ascii="Arial" w:cs="Arial" w:eastAsia="Arial" w:hAnsi="Arial"/>
                <w:sz w:val="18"/>
                <w:szCs w:val="18"/>
                <w:color w:val="auto"/>
              </w:rPr>
              <w:t>Governing Law; Submission to Jurisdiction;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10.23</w:t>
            </w:r>
          </w:p>
        </w:tc>
        <w:tc>
          <w:tcPr>
            <w:tcW w:w="8200" w:type="dxa"/>
            <w:vAlign w:val="bottom"/>
          </w:tcPr>
          <w:p>
            <w:pPr>
              <w:ind w:left="100"/>
              <w:spacing w:after="0"/>
              <w:rPr>
                <w:sz w:val="20"/>
                <w:szCs w:val="20"/>
                <w:color w:val="auto"/>
              </w:rPr>
            </w:pPr>
            <w:r>
              <w:rPr>
                <w:rFonts w:ascii="Arial" w:cs="Arial" w:eastAsia="Arial" w:hAnsi="Arial"/>
                <w:sz w:val="18"/>
                <w:szCs w:val="18"/>
                <w:color w:val="auto"/>
              </w:rPr>
              <w:t>Waiver of Right to Trial by Jury</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10.24</w:t>
            </w:r>
          </w:p>
        </w:tc>
        <w:tc>
          <w:tcPr>
            <w:tcW w:w="8200" w:type="dxa"/>
            <w:vAlign w:val="bottom"/>
          </w:tcPr>
          <w:p>
            <w:pPr>
              <w:ind w:left="100"/>
              <w:spacing w:after="0"/>
              <w:rPr>
                <w:sz w:val="20"/>
                <w:szCs w:val="20"/>
                <w:color w:val="auto"/>
              </w:rPr>
            </w:pPr>
            <w:r>
              <w:rPr>
                <w:rFonts w:ascii="Arial" w:cs="Arial" w:eastAsia="Arial" w:hAnsi="Arial"/>
                <w:sz w:val="18"/>
                <w:szCs w:val="18"/>
                <w:color w:val="auto"/>
              </w:rPr>
              <w:t>USA PATRIOT Act</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10.25</w:t>
            </w:r>
          </w:p>
        </w:tc>
        <w:tc>
          <w:tcPr>
            <w:tcW w:w="820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w w:val="93"/>
              </w:rPr>
              <w:t>10.26</w:t>
            </w:r>
          </w:p>
        </w:tc>
        <w:tc>
          <w:tcPr>
            <w:tcW w:w="8200" w:type="dxa"/>
            <w:vAlign w:val="bottom"/>
          </w:tcPr>
          <w:p>
            <w:pPr>
              <w:ind w:left="10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820" w:hanging="816"/>
        <w:spacing w:after="0"/>
        <w:tabs>
          <w:tab w:leader="none" w:pos="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117" w:lineRule="exact"/>
        <w:rPr>
          <w:sz w:val="20"/>
          <w:szCs w:val="20"/>
          <w:color w:val="auto"/>
        </w:rPr>
      </w:pPr>
    </w:p>
    <w:p>
      <w:pPr>
        <w:ind w:left="820" w:hanging="816"/>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117" w:lineRule="exact"/>
        <w:rPr>
          <w:sz w:val="20"/>
          <w:szCs w:val="20"/>
          <w:color w:val="auto"/>
        </w:rPr>
      </w:pPr>
    </w:p>
    <w:p>
      <w:pPr>
        <w:ind w:left="820" w:hanging="816"/>
        <w:spacing w:after="0"/>
        <w:tabs>
          <w:tab w:leader="none" w:pos="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117" w:lineRule="exact"/>
        <w:rPr>
          <w:sz w:val="20"/>
          <w:szCs w:val="20"/>
          <w:color w:val="auto"/>
        </w:rPr>
      </w:pPr>
    </w:p>
    <w:p>
      <w:pPr>
        <w:ind w:left="820" w:hanging="816"/>
        <w:spacing w:after="0"/>
        <w:tabs>
          <w:tab w:leader="none" w:pos="8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117" w:lineRule="exact"/>
        <w:rPr>
          <w:sz w:val="20"/>
          <w:szCs w:val="20"/>
          <w:color w:val="auto"/>
        </w:rPr>
      </w:pPr>
    </w:p>
    <w:p>
      <w:pPr>
        <w:ind w:left="820" w:hanging="816"/>
        <w:spacing w:after="0"/>
        <w:tabs>
          <w:tab w:leader="none" w:pos="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6"/>
          <w:szCs w:val="16"/>
          <w:color w:val="auto"/>
        </w:rPr>
        <w:t>Form of U.S. Tax Compliance Certificate (For Non-U.S. Lenders That Are Not Partnerships For U.S. Federal Income Tax Purposes)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Form of U.S. Tax Compliance Certificate (For Non-U.S. Participants That Are Not Partnerships For U.S. Federal Income Tax Purposes)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Form of U.S. Tax Compliance Certificate (For Non-U.S. Participants That Are Partnerships For U.S. Federal Income Tax Purposes)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Form of U.S. Tax Compliance Certificate (For Non-U.S. Lenders That Are Partnerships For U.S. Federal Income Tax Purposes)</w:t>
      </w:r>
    </w:p>
    <w:p>
      <w:pPr>
        <w:spacing w:after="0" w:line="117" w:lineRule="exact"/>
        <w:rPr>
          <w:sz w:val="20"/>
          <w:szCs w:val="20"/>
          <w:color w:val="auto"/>
        </w:rPr>
      </w:pPr>
    </w:p>
    <w:p>
      <w:pPr>
        <w:ind w:left="820" w:hanging="816"/>
        <w:spacing w:after="0"/>
        <w:tabs>
          <w:tab w:leader="none" w:pos="8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Form of Target Acquisition Certificate</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SCHEDULES</w:t>
      </w:r>
    </w:p>
    <w:p>
      <w:pPr>
        <w:spacing w:after="0" w:line="239" w:lineRule="exact"/>
        <w:rPr>
          <w:sz w:val="20"/>
          <w:szCs w:val="20"/>
          <w:color w:val="auto"/>
        </w:rPr>
      </w:pPr>
    </w:p>
    <w:p>
      <w:pPr>
        <w:ind w:left="820" w:hanging="816"/>
        <w:spacing w:after="0"/>
        <w:tabs>
          <w:tab w:leader="none" w:pos="8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Asset Monetization Transactions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Commitments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6.08</w:t>
      </w:r>
      <w:r>
        <w:rPr>
          <w:rFonts w:ascii="Arial" w:cs="Arial" w:eastAsia="Arial" w:hAnsi="Arial"/>
          <w:sz w:val="16"/>
          <w:szCs w:val="16"/>
          <w:color w:val="auto"/>
        </w:rPr>
        <w:t>Unrestricted Subsidiaries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10.02</w:t>
      </w:r>
      <w:r>
        <w:rPr>
          <w:rFonts w:ascii="Arial" w:cs="Arial" w:eastAsia="Arial" w:hAnsi="Arial"/>
          <w:sz w:val="16"/>
          <w:szCs w:val="16"/>
          <w:color w:val="auto"/>
        </w:rPr>
        <w:t>Addresses for Notices</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80" w:top="584" w:right="99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364-DAY BRIDGE CREDIT AGREEMENT</w:t>
      </w:r>
    </w:p>
    <w:p>
      <w:pPr>
        <w:spacing w:after="0" w:line="229"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This 364-DAY BRIDGE CREDIT AGREEMENT is entered into as of April 25, 2018, by and among Comcast Corporation, a Pennsylvania corporation (“Borrower”), each lender from time to time party hereto (collectively, “Lenders” and individually, a “Lender”), BANK OF AMERICA, N.A., as Administrative Agent, and WELLS FARGO BANK, NATIONAL ASSOCIATION, as syndication agent (in such capacity, “Syndication Agent”).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WHEREAS, Borrower has requested that the Lenders and Administrative Agent provide the Bridge Facility (as defined below), and the Lenders and Administrative Agent are willing to do so on the terms and conditions set forth herein;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5" w:lineRule="exact"/>
        <w:rPr>
          <w:sz w:val="20"/>
          <w:szCs w:val="20"/>
          <w:color w:val="auto"/>
        </w:rPr>
      </w:pPr>
    </w:p>
    <w:p>
      <w:pPr>
        <w:jc w:val="both"/>
        <w:ind w:right="480" w:firstLine="1297"/>
        <w:spacing w:after="0" w:line="264" w:lineRule="auto"/>
        <w:rPr>
          <w:sz w:val="20"/>
          <w:szCs w:val="20"/>
          <w:color w:val="auto"/>
        </w:rPr>
      </w:pPr>
      <w:r>
        <w:rPr>
          <w:rFonts w:ascii="Arial" w:cs="Arial" w:eastAsia="Arial" w:hAnsi="Arial"/>
          <w:sz w:val="18"/>
          <w:szCs w:val="18"/>
          <w:color w:val="auto"/>
        </w:rPr>
        <w:t>“Acceptance Condition” means, with respect to an Offer, the condition set forth in the Offer Documents with respect to the number of acceptances to an Offer which must be secured to declare such Offer unconditional as to acceptances which shall be more than 50% of the Target shares carrying voting rights.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right="20" w:firstLine="1297"/>
        <w:spacing w:after="0" w:line="269" w:lineRule="auto"/>
        <w:rPr>
          <w:sz w:val="20"/>
          <w:szCs w:val="20"/>
          <w:color w:val="auto"/>
        </w:rPr>
      </w:pPr>
      <w:r>
        <w:rPr>
          <w:rFonts w:ascii="Arial" w:cs="Arial" w:eastAsia="Arial" w:hAnsi="Arial"/>
          <w:sz w:val="17"/>
          <w:szCs w:val="17"/>
          <w:color w:val="auto"/>
        </w:rPr>
        <w:t xml:space="preserve">“Acquisition Debt” means any Indebtedness of Borrower or any of its Restricted Subsidiaries (or an Unrestricted Subsidiary, so long as, in the good faith determination of Borrower, such Unrestricted Subsidiary is expected to become a Restricted Subsidiary in connection with the consummation of the applicable Material Acquisition) that has been issued for the purpose of financing, in whole or in part, the Target Acquisition or any other acquisition that is a Material Acquisition in accordance with clause (ii) of the definition thereof and any related transactions or series of related transactions in respect of the Target Acquisition or any other acquisition that is a Material Acquisition in accordance with clause (ii) of the definition thereof (including for the purpose of refinancing or replacing all or a portion of any pre-existing Indebtedness of the Target Group or the Person(s) or assets to be acquired);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release of the proceeds thereof to Borrower and its Restricted Subsidiaries (or an Unrestricted Subsidiary, so long as, in the good faith determination of Borrower, such Unrestricted Subsidiary is expected to become a Restricted Subsidiary in connection with the consummation of such Material Acquisition) is contingent upon the consummation of the Target Acquisition or such Material Acquisition and, pending such release, such proceeds are held in escrow (and, if the definitive agreement (or, in the case of a tender offer or similar transaction, the definitive offer document) for the Target Acquisition or such Material Acquisition is terminated prior to the consummation thereof or if the Target Acquisition or such Material Acquisition is otherwise not consummated by the date specified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definitive documentation relating to such Indebtedness, such proceeds shall be promptly applied to satisfy and discharge all obligations of Borrower and its Restricted Subsidiaries (or an Unrestricted Subsidiary, so long as, in the good faith determination of Borrower, such Unrestricted Subsidiary is expected to become a Restricted Subsidiary in connection with the consummation of such Material Acquisition) in respect of such Indebtedness) or (b) such Indebtedness contains a “special mandatory redemption” provision (or other similar provision) or otherwise permits such Indebtedness to be redeemed or prepaid if the Target Acquisition or such Material Acquisition is not consummated by the date specified in the definitive documentation relating to such Indebtedness (and if the definitive agreement (or, in the case of a tender offer or similar transaction, the definitive offer document) for the Target Acquisition or such Material Acquisition is terminated in accordance with its terms prior to the consummation of the Target Acquisition or such Material Acquisition or the Target Acquisition or such Material Acquisition is otherwise not consummated by the date specified in the definitive documentation relating to such Indebtedness, such Indebtedness is so redeemed or prepaid within 90 days of such termination or such specified date, as the case may be).</w:t>
      </w:r>
    </w:p>
    <w:p>
      <w:pPr>
        <w:spacing w:after="0" w:line="16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“Administrative Agent” means Bank of America, N.A., in its capacity as administrative agent under any of the Loan Documents, or any successor administrative agent permitted under the Loan Documents.</w:t>
      </w:r>
    </w:p>
    <w:p>
      <w:pPr>
        <w:spacing w:after="0" w:line="170" w:lineRule="exact"/>
        <w:rPr>
          <w:sz w:val="20"/>
          <w:szCs w:val="20"/>
          <w:color w:val="auto"/>
        </w:rPr>
      </w:pPr>
    </w:p>
    <w:p>
      <w:pPr>
        <w:ind w:right="800" w:firstLine="1297"/>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“Agents” means the collective reference to Administrative Agent and Syndication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“Aggregate Exposure” means, with respect to any Lender at any time, an amount equal to the sum of such Lender’s Loans then outstanding and such Lender’s Commitments then in effect.</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“Agreement” means this 364-Day Bridge Credit Agreement, as amended, restated, extended, supplemented or otherwise modified in writing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“Announcement Date” has the meaning set forth in the definition of Certain Funds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0" w:name="page151"/>
    <w:bookmarkEnd w:id="150"/>
    <w:p>
      <w:pPr>
        <w:ind w:left="11340"/>
        <w:spacing w:after="0"/>
        <w:rPr>
          <w:sz w:val="20"/>
          <w:szCs w:val="20"/>
          <w:color w:val="auto"/>
        </w:rPr>
      </w:pPr>
      <w:r>
        <w:rPr>
          <w:rFonts w:ascii="Arial" w:cs="Arial" w:eastAsia="Arial" w:hAnsi="Arial"/>
          <w:sz w:val="14"/>
          <w:szCs w:val="14"/>
          <w:color w:val="auto"/>
        </w:rPr>
        <w:t>3</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“Annualized EBITDA” means, at any date of determination, EBITDA for the two (2) fiscal quarter periods then most recently ended times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(2).</w:t>
      </w:r>
    </w:p>
    <w:p>
      <w:pPr>
        <w:spacing w:after="0" w:line="21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“Applicable Amount” means the rate per annum, in basis points, set forth under the relevant column heading below based upon the applicable Debt Ratings: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40" w:type="dxa"/>
            <w:vAlign w:val="bottom"/>
            <w:tcBorders>
              <w:top w:val="single" w:sz="8" w:color="auto"/>
              <w:left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Pricing Level</w:t>
            </w:r>
          </w:p>
        </w:tc>
        <w:tc>
          <w:tcPr>
            <w:tcW w:w="920" w:type="dxa"/>
            <w:vAlign w:val="bottom"/>
            <w:tcBorders>
              <w:top w:val="single" w:sz="8" w:color="auto"/>
              <w:bottom w:val="single" w:sz="8" w:color="auto"/>
              <w:right w:val="single" w:sz="8" w:color="auto"/>
            </w:tcBorders>
          </w:tcPr>
          <w:p>
            <w:pPr>
              <w:spacing w:after="0"/>
              <w:rPr>
                <w:sz w:val="19"/>
                <w:szCs w:val="19"/>
                <w:color w:val="auto"/>
              </w:rPr>
            </w:pPr>
          </w:p>
        </w:tc>
        <w:tc>
          <w:tcPr>
            <w:tcW w:w="40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Debt Ratings S&amp;P/Moody’s</w:t>
            </w: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Commitment Fee</w:t>
            </w:r>
          </w:p>
        </w:tc>
        <w:tc>
          <w:tcPr>
            <w:tcW w:w="17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A+/A1</w:t>
            </w:r>
          </w:p>
        </w:tc>
        <w:tc>
          <w:tcPr>
            <w:tcW w:w="27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A/A2</w:t>
            </w:r>
          </w:p>
        </w:tc>
        <w:tc>
          <w:tcPr>
            <w:tcW w:w="27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A-/A3</w:t>
            </w:r>
          </w:p>
        </w:tc>
        <w:tc>
          <w:tcPr>
            <w:tcW w:w="27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9.0</w:t>
            </w: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BBB+/Baa1</w:t>
            </w:r>
          </w:p>
        </w:tc>
        <w:tc>
          <w:tcPr>
            <w:tcW w:w="27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BBB/Baa2</w:t>
            </w:r>
          </w:p>
        </w:tc>
        <w:tc>
          <w:tcPr>
            <w:tcW w:w="27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191"/>
        </w:trPr>
        <w:tc>
          <w:tcPr>
            <w:tcW w:w="68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Initial Closing Date</w:t>
            </w:r>
          </w:p>
        </w:tc>
        <w:tc>
          <w:tcPr>
            <w:tcW w:w="27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90 days after the Initial Closing</w:t>
            </w:r>
          </w:p>
        </w:tc>
        <w:tc>
          <w:tcPr>
            <w:tcW w:w="2840" w:type="dxa"/>
            <w:vAlign w:val="bottom"/>
            <w:tcBorders>
              <w:right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180 days after the Initial Closing</w:t>
            </w:r>
          </w:p>
        </w:tc>
        <w:tc>
          <w:tcPr>
            <w:tcW w:w="17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8"/>
                <w:szCs w:val="18"/>
                <w:b w:val="1"/>
                <w:bCs w:val="1"/>
                <w:color w:val="auto"/>
              </w:rPr>
              <w:t>270 days after the</w:t>
            </w:r>
          </w:p>
        </w:tc>
      </w:tr>
      <w:tr>
        <w:trPr>
          <w:trHeight w:val="216"/>
        </w:trPr>
        <w:tc>
          <w:tcPr>
            <w:tcW w:w="6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through 89 days after the</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Date through 179 days after the</w:t>
            </w:r>
          </w:p>
        </w:tc>
        <w:tc>
          <w:tcPr>
            <w:tcW w:w="28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Date through 269 days after the</w:t>
            </w: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Initial Closing Date</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Initial Closing Date</w:t>
            </w: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Initial Closing Date</w:t>
            </w:r>
          </w:p>
        </w:tc>
        <w:tc>
          <w:tcPr>
            <w:tcW w:w="28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Initial Closing Date</w:t>
            </w: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and thereafter</w:t>
            </w:r>
          </w:p>
        </w:tc>
      </w:tr>
      <w:tr>
        <w:trPr>
          <w:trHeight w:val="191"/>
        </w:trPr>
        <w:tc>
          <w:tcPr>
            <w:tcW w:w="680" w:type="dxa"/>
            <w:vAlign w:val="bottom"/>
            <w:tcBorders>
              <w:left w:val="single" w:sz="8" w:color="auto"/>
              <w:right w:val="single" w:sz="8" w:color="auto"/>
            </w:tcBorders>
          </w:tcPr>
          <w:p>
            <w:pPr>
              <w:ind w:left="60"/>
              <w:spacing w:after="0" w:line="191" w:lineRule="exact"/>
              <w:rPr>
                <w:sz w:val="20"/>
                <w:szCs w:val="20"/>
                <w:color w:val="auto"/>
              </w:rPr>
            </w:pPr>
            <w:r>
              <w:rPr>
                <w:rFonts w:ascii="Arial" w:cs="Arial" w:eastAsia="Arial" w:hAnsi="Arial"/>
                <w:sz w:val="18"/>
                <w:szCs w:val="18"/>
                <w:b w:val="1"/>
                <w:bCs w:val="1"/>
                <w:color w:val="auto"/>
                <w:w w:val="94"/>
              </w:rPr>
              <w:t>Pricing</w:t>
            </w:r>
          </w:p>
        </w:tc>
        <w:tc>
          <w:tcPr>
            <w:tcW w:w="116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w w:val="99"/>
              </w:rPr>
              <w:t>Debt Ratings</w:t>
            </w:r>
          </w:p>
        </w:tc>
        <w:tc>
          <w:tcPr>
            <w:tcW w:w="9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4"/>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Level</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5"/>
              </w:rPr>
              <w:t>S&amp;P/Moody’s</w:t>
            </w:r>
          </w:p>
        </w:tc>
        <w:tc>
          <w:tcPr>
            <w:tcW w:w="21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Eurodollar Rate</w:t>
            </w: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Eurodollar Rate</w:t>
            </w:r>
          </w:p>
        </w:tc>
        <w:tc>
          <w:tcPr>
            <w:tcW w:w="28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Eurodollar Rate</w:t>
            </w: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Eurodollar Rate</w:t>
            </w:r>
          </w:p>
        </w:tc>
      </w:tr>
      <w:tr>
        <w:trPr>
          <w:trHeight w:val="210"/>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A+/A1</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75.0</w:t>
            </w:r>
          </w:p>
        </w:tc>
        <w:tc>
          <w:tcPr>
            <w:tcW w:w="12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100.0</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125.0</w:t>
            </w:r>
          </w:p>
        </w:tc>
        <w:tc>
          <w:tcPr>
            <w:tcW w:w="20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150.0</w:t>
            </w:r>
          </w:p>
        </w:tc>
      </w:tr>
      <w:tr>
        <w:trPr>
          <w:trHeight w:val="210"/>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A/A2</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87.5</w:t>
            </w:r>
          </w:p>
        </w:tc>
        <w:tc>
          <w:tcPr>
            <w:tcW w:w="12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112.5</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137.5</w:t>
            </w:r>
          </w:p>
        </w:tc>
        <w:tc>
          <w:tcPr>
            <w:tcW w:w="20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162.5</w:t>
            </w:r>
          </w:p>
        </w:tc>
      </w:tr>
      <w:tr>
        <w:trPr>
          <w:trHeight w:val="210"/>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A-/A3</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125.0</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150.0</w:t>
            </w:r>
          </w:p>
        </w:tc>
        <w:tc>
          <w:tcPr>
            <w:tcW w:w="20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175.0</w:t>
            </w:r>
          </w:p>
        </w:tc>
      </w:tr>
      <w:tr>
        <w:trPr>
          <w:trHeight w:val="210"/>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BBB+/Baa1</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112.5</w:t>
            </w:r>
          </w:p>
        </w:tc>
        <w:tc>
          <w:tcPr>
            <w:tcW w:w="12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137.5</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162.5</w:t>
            </w:r>
          </w:p>
        </w:tc>
        <w:tc>
          <w:tcPr>
            <w:tcW w:w="20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187.5</w:t>
            </w:r>
          </w:p>
        </w:tc>
      </w:tr>
      <w:tr>
        <w:trPr>
          <w:trHeight w:val="210"/>
        </w:trPr>
        <w:tc>
          <w:tcPr>
            <w:tcW w:w="6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BBB/Baa2</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125.0</w:t>
            </w:r>
          </w:p>
        </w:tc>
        <w:tc>
          <w:tcPr>
            <w:tcW w:w="126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150.0</w:t>
            </w: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175.0</w:t>
            </w:r>
          </w:p>
        </w:tc>
        <w:tc>
          <w:tcPr>
            <w:tcW w:w="20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200.0</w:t>
            </w:r>
          </w:p>
        </w:tc>
      </w:tr>
    </w:tbl>
    <w:p>
      <w:pPr>
        <w:spacing w:after="0" w:line="202"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determining the Applicable Amount, if a Debt Rating is issued by 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 (x) if such rating agency has ceased to issue debt ratings generally, or if Borrower has used commercially reasonable efforts to maintain ratings from both S&amp;P and Moody’s, the Debt Rating shall be deemed to be the Remaining Debt Rating and (y)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54"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“Applicable Payment Date” means, (a) as to any Eurodollar Rate Loan, the last day of the relevant Interest Period, any date that such Loan is prepaid in whole or in part and the maturity date of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interest shall also be paid on the Business Day which falls every three months after the beginning of such Interest Period; and (b) as to any other Obligations, the last Business Day of each calendar quarter and the maturity date of such Obligation, except as otherwise provided herein.</w:t>
      </w:r>
    </w:p>
    <w:p>
      <w:pPr>
        <w:spacing w:after="0" w:line="154"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“Applicable Percentage” means as to any Lender at any time, the percentage which the sum of such Lender’s undrawn Commitment and the aggregate principal amount of such Lender’s Loans then outstanding in respect of the Commitments constitutes of the aggregate principal amount of the sum of the undrawn Commitments and the Loans then outstanding in respect of Commitments.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“Applicable Time” means New York City time.</w:t>
      </w:r>
    </w:p>
    <w:p>
      <w:pPr>
        <w:spacing w:after="0" w:line="225"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“Approved Fund”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“Arranger” means each of MLPFS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and WFS, in its respective capacity as a Joint Lead Arranger and Joint Bookrunner hereunder (collectively, the “Arrangers”).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“Asset Sale” means any non-ordinary course asset sale or other disposition of property by Borrower or any of its Domestic Restricted Subsidiaries (including the issuance or sale of stock of any Subsidiary) to any Person other than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sales or other dispositions of assets or property generating Net Cash Proceeds not exceeding $250,000,000 for any single transaction or series of related transactions or $1,000,000,000 in the aggregate after the Effective Date shall not constitute Asset Sales.</w:t>
      </w:r>
    </w:p>
    <w:p>
      <w:pPr>
        <w:spacing w:after="0" w:line="17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any other form (including electronic documentation generated by use of an electronic platform) approved by the Administrative Agent and the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“Assuming Lender” has the meaning set forth in Section 2.15(b).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“Attorney Costs” means the reasonable and documented or invoiced fees and disbursements of a law firm or other external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66"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“Bank of America” means Bank of America, N.A.</w:t>
      </w:r>
    </w:p>
    <w:p>
      <w:pPr>
        <w:spacing w:after="0" w:line="225" w:lineRule="exact"/>
        <w:rPr>
          <w:sz w:val="20"/>
          <w:szCs w:val="20"/>
          <w:color w:val="auto"/>
        </w:rPr>
      </w:pPr>
    </w:p>
    <w:p>
      <w:pPr>
        <w:jc w:val="both"/>
        <w:ind w:right="460" w:firstLine="1297"/>
        <w:spacing w:after="0" w:line="264" w:lineRule="auto"/>
        <w:rPr>
          <w:sz w:val="20"/>
          <w:szCs w:val="20"/>
          <w:color w:val="auto"/>
        </w:rPr>
      </w:pPr>
      <w:r>
        <w:rPr>
          <w:rFonts w:ascii="Arial" w:cs="Arial" w:eastAsia="Arial" w:hAnsi="Arial"/>
          <w:sz w:val="18"/>
          <w:szCs w:val="18"/>
          <w:color w:val="auto"/>
        </w:rPr>
        <w:t>“Benefit Plan”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“Bidco” means a wholly-owned Subsidiary of Borrower formed for the purpose of acquiring all or a portion of the Target shares as set forth in the Offer Document.</w:t>
      </w:r>
    </w:p>
    <w:p>
      <w:pPr>
        <w:spacing w:after="0" w:line="170"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“Borrower Materials” has the meaning set forth in Section 6.02.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“Bridge Facility” means the Commitments and the Extensions of Credit made hereunder.</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“Business Day” means any day other than a Saturday, Sunday or other day on which commercial banks in New York, New York or in London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“Business Day”, when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connection with any Eurodollar Rate Loan, shall also exclude any day on which banks are not open for dealings in Sterling deposits in the London interbank market.</w:t>
      </w:r>
    </w:p>
    <w:p>
      <w:pPr>
        <w:spacing w:after="0" w:line="170"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Period” means the period from and including the Effective Date to and including the first to occur of:</w:t>
      </w:r>
    </w:p>
    <w:p>
      <w:pPr>
        <w:spacing w:after="0" w:line="225" w:lineRule="exact"/>
        <w:rPr>
          <w:sz w:val="20"/>
          <w:szCs w:val="20"/>
          <w:color w:val="auto"/>
        </w:rPr>
      </w:pPr>
    </w:p>
    <w:p>
      <w:pPr>
        <w:ind w:right="840" w:firstLine="1305"/>
        <w:spacing w:after="0" w:line="277" w:lineRule="auto"/>
        <w:tabs>
          <w:tab w:leader="none" w:pos="154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11:59 p.m. (New York City time) on the first to occur of (i) the date that is 15 months from the issuance of the initial Rule 2.7 Announcement (the date of such issuance, the “Announcement Date”) and (ii) September 30, 2019;</w:t>
      </w:r>
    </w:p>
    <w:p>
      <w:pPr>
        <w:spacing w:after="0" w:line="170" w:lineRule="exact"/>
        <w:rPr>
          <w:rFonts w:ascii="Arial" w:cs="Arial" w:eastAsia="Arial" w:hAnsi="Arial"/>
          <w:sz w:val="18"/>
          <w:szCs w:val="18"/>
          <w:color w:val="auto"/>
        </w:rPr>
      </w:pPr>
    </w:p>
    <w:p>
      <w:pPr>
        <w:ind w:right="140" w:firstLine="1305"/>
        <w:spacing w:after="0" w:line="264" w:lineRule="auto"/>
        <w:tabs>
          <w:tab w:leader="none" w:pos="15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an Offer lapses, terminates or is withdrawn (unless, within ten Business Days of such date, Borrower has notified Administrative Agent that it intends to launch a Scheme or a new Offer and a Rule 2.7 Announcement in respect of that Scheme or Offer, as applicable, is issued;</w:t>
      </w:r>
    </w:p>
    <w:p>
      <w:pPr>
        <w:spacing w:after="0" w:line="181" w:lineRule="exact"/>
        <w:rPr>
          <w:rFonts w:ascii="Arial" w:cs="Arial" w:eastAsia="Arial" w:hAnsi="Arial"/>
          <w:sz w:val="18"/>
          <w:szCs w:val="18"/>
          <w:color w:val="auto"/>
        </w:rPr>
      </w:pPr>
    </w:p>
    <w:p>
      <w:pPr>
        <w:ind w:right="20" w:firstLine="1305"/>
        <w:spacing w:after="0" w:line="259" w:lineRule="auto"/>
        <w:tabs>
          <w:tab w:leader="none" w:pos="154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11:59 p.m. (New York City time) on the date which is twenty-one (21) days after the later of (i) the date on which an Offer has become or has been declared unconditional in all respects and (ii) the date on which an Offer has closed for acceptances (unless, in each case, compulsory squeeze-out procedures for the acquisition of minority shareholdings in the Target pursuant to Part 28 of the Companies Act (“Compulsory Acquisition Procedures”) have commenced before such date);</w:t>
      </w:r>
    </w:p>
    <w:p>
      <w:pPr>
        <w:spacing w:after="0" w:line="186" w:lineRule="exact"/>
        <w:rPr>
          <w:rFonts w:ascii="Arial" w:cs="Arial" w:eastAsia="Arial" w:hAnsi="Arial"/>
          <w:sz w:val="18"/>
          <w:szCs w:val="18"/>
          <w:color w:val="auto"/>
        </w:rPr>
      </w:pPr>
    </w:p>
    <w:p>
      <w:pPr>
        <w:ind w:right="120" w:firstLine="1305"/>
        <w:spacing w:after="0" w:line="264" w:lineRule="auto"/>
        <w:tabs>
          <w:tab w:leader="none" w:pos="15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11:59 p.m. (New York City time) on the date on which the Target becomes a direct or indirect wholly-owned Subsidiary of Borrower and Borrower has paid all sums due pursuant to or in connection with, the Target Acquisition and any surrender or cancellation of options or awards over the shares of the Target;</w:t>
      </w:r>
    </w:p>
    <w:p>
      <w:pPr>
        <w:spacing w:after="0" w:line="181" w:lineRule="exact"/>
        <w:rPr>
          <w:rFonts w:ascii="Arial" w:cs="Arial" w:eastAsia="Arial" w:hAnsi="Arial"/>
          <w:sz w:val="18"/>
          <w:szCs w:val="18"/>
          <w:color w:val="auto"/>
        </w:rPr>
      </w:pPr>
    </w:p>
    <w:p>
      <w:pPr>
        <w:ind w:right="140" w:firstLine="1305"/>
        <w:spacing w:after="0" w:line="264" w:lineRule="auto"/>
        <w:tabs>
          <w:tab w:leader="none" w:pos="154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Target Acquisition is effected by way of a Scheme, 11:59 p.m. (New York City time) on the date falling 14 days after the Scheme Effective Date or, if later, the date immediately following any extension of the period for settlement of consideration provided by the Panel pursuant to the Takeover Code; and</w:t>
      </w:r>
    </w:p>
    <w:p>
      <w:pPr>
        <w:spacing w:after="0" w:line="181" w:lineRule="exact"/>
        <w:rPr>
          <w:rFonts w:ascii="Arial" w:cs="Arial" w:eastAsia="Arial" w:hAnsi="Arial"/>
          <w:sz w:val="18"/>
          <w:szCs w:val="18"/>
          <w:color w:val="auto"/>
        </w:rPr>
      </w:pPr>
    </w:p>
    <w:p>
      <w:pPr>
        <w:ind w:firstLine="1305"/>
        <w:spacing w:after="0" w:line="264" w:lineRule="auto"/>
        <w:tabs>
          <w:tab w:leader="none" w:pos="152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11:59 p.m. (New York City time) on the date upon which a Scheme lapses, terminates or is withdrawn (or the same is rejected by the High Court or is not approved by the requisite shareholders of the Target (unless, within ten Business Days of such date, Borrower has notified Administrative Agent that it intends to launch an Offer and a Rule 2.7 Announcement in respect of that Offer is issued).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“Certain Funds Termination Date” means the date that is the last day of the Certain Funds Period.</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or approved by the board of directors of Borrower (or by the Nominating Committee of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“Clean-Up Period Termination Date” means the date that is 120 days after the Final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“Comcast Cable” means Comcast Cable Communications, LLC, a Delaware limited liability company.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“Commitment” means, for each Lender, the amount set forth under the heading “Commitment” opposite such Lender’s name on Schedule 2.01 or in the Assignment and Assumption pursuant to which such Lender became a party to this Agreement, as such amount may be reduced or adjusted from time to time in accordance with the terms of this Agreement (collectively, the “Commitments”). As of the Effective Date, the aggregate amount of the Commitments of all Lenders is £16,000,000,000.</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“Commitment Date” has the meaning set forth in Section 2.15(b).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“Commitment Increase” has the meaning set forth in Section 2.15(a).</w:t>
      </w:r>
    </w:p>
    <w:p>
      <w:pPr>
        <w:spacing w:after="0" w:line="225" w:lineRule="exact"/>
        <w:rPr>
          <w:sz w:val="20"/>
          <w:szCs w:val="20"/>
          <w:color w:val="auto"/>
        </w:rPr>
      </w:pPr>
    </w:p>
    <w:p>
      <w:pPr>
        <w:ind w:right="280" w:firstLine="1297"/>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or any Lender by means of electronic communications pursuant to Section 10.02(e), including through an Electronic System.</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“Companies Act” means the Companies Act 2006 of the United Kingdom,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“Compliance Certificate” means a certificate substantially in the form of Exhibit C, properly completed and signed by a Responsible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Borrower.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“Compulsory Acquisition Procedures” has the meaning set forth in the definition of Certain Funds Period.</w:t>
      </w:r>
    </w:p>
    <w:p>
      <w:pPr>
        <w:spacing w:after="0" w:line="225"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6.01(a) or, at any time prior to the initial delivery of such consolidated balance sheet pursuant to Section 6.01(a), the consolidated balance sheet of Borrower and its consolidated Subsidiaries as set forth in Borrower’s annual report most recently filed on Form 10-K with the U.S. Securities and Exchange Commission.</w:t>
      </w:r>
    </w:p>
    <w:p>
      <w:pPr>
        <w:spacing w:after="0" w:line="15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similar terms to the asset monetization transactions set forth on Schedule A (collectively, “Asset Monetization Transactions”).</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70"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“Debt Issuance” means the incurrence of Indebtedness for borrowed money by Borrower or any of its Domestic Restricted Subsidiaries, other than (a) any Indebtedness of Borrower or any of its Domestic Restricted Subsidiaries owing to Borrower or any of its Subsidiaries, (b) borrowings under the Revolving Credit Agreement or any revolving facility entered into to refinance or replace the Revolving Credit Agreement, (c) any other ordinary course borrowings under working capital, letter of credit or overdraft facilities, (d) issuances of commercial paper and any refinancings thereof, (e) purchase money Indebtedness, (f) Indebtedness with respect to capital leases, (g) borrowings under the Term Loan Credit Agreement in an aggregate principal amount not to exceed £7,000,000,000, (h) any refinancing of Indebtedness of Borrower or its Subsidiaries that (i) is callable or matures prior to the date that is 27 months after the Announcement Date, (ii) constitutes (x) refinanced term loans (including, without limitation, the Loans (as defined in the Term Loan Credit Agreement)) or (y) Indebtedness of Unrestricted Subsidiaries (including Indebtedness of Unrestricted Subsidiaries that may be incurred or guaranteed by Borrower or a Restricted Subsidiary (or, for the avoidance of doubt, refinanced at such Person)) or (iii) occurs within six months of the maturity of the Indebtedness being refinanced (in each case of this clause (h), including the payment of any fees or other amounts in respect thereof or otherwise in connection therewith (including any prepayment or redemption premiums and accrued interest thereon)), (i) Indebtedness in an aggregate principal amount not to exceed $1,000,000,000 to fund Acquisitions or other investments committed to after March 28, 2018, (j) Indebtedness with respect to contractual obligations in existence on the Effective Date and (k) other Indebtedness in an aggregate principal amount not to exceed $1,000,000,000.</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“Default Rate” means an interest rate equal to 2% per annum plus the rate otherwise applicable to such Loan as provided in Section 2.09(a), in each case to the fullest extent permitted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ind w:right="120" w:firstLine="1297"/>
        <w:spacing w:after="0" w:line="284" w:lineRule="auto"/>
        <w:rPr>
          <w:sz w:val="20"/>
          <w:szCs w:val="20"/>
          <w:color w:val="auto"/>
        </w:rPr>
      </w:pPr>
      <w:r>
        <w:rPr>
          <w:rFonts w:ascii="Arial" w:cs="Arial" w:eastAsia="Arial" w:hAnsi="Arial"/>
          <w:sz w:val="16"/>
          <w:szCs w:val="16"/>
          <w:color w:val="auto"/>
        </w:rPr>
        <w:t xml:space="preserve">“Defaulting Lender” means any Lender that has (a) failed to fund its portion of any Borrowing within three Business Days of the date on which it shall have been required to fund the same (or, in the case of any Borrowing on the Initial Closing Date, on the Initial Closing Date), (b) notified Borrower, Administrative Agent or any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w:t>
      </w:r>
    </w:p>
    <w:p>
      <w:pPr>
        <w:spacing w:after="0" w:line="3" w:lineRule="exact"/>
        <w:rPr>
          <w:sz w:val="20"/>
          <w:szCs w:val="20"/>
          <w:color w:val="auto"/>
        </w:rPr>
      </w:pPr>
    </w:p>
    <w:p>
      <w:pPr>
        <w:ind w:firstLine="8"/>
        <w:spacing w:after="0" w:line="267"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otherwise failed to pay over to Administrative Agent or any other Lender any other amount required to be paid by it hereunder within three Business Days of the date when due, unless the subject of a good faith dispute, (e)(i)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and Administrative Agent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82"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“Domestic Restricted Subsidiary” means any Restricted Subsidiary that is organized under the laws of any political subdivision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 (b) depreciation, amortization and other non-cash charges to operating income, in each case for such 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 plus (e)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incurred by Borrower and/or its Restricted Subsidiaries (in each case whether paid in cash or accrued).</w:t>
      </w:r>
    </w:p>
    <w:p>
      <w:pPr>
        <w:spacing w:after="0" w:line="225"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w:t>
      </w:r>
    </w:p>
    <w:p>
      <w:pPr>
        <w:spacing w:after="0" w:line="229" w:lineRule="exact"/>
        <w:rPr>
          <w:sz w:val="20"/>
          <w:szCs w:val="20"/>
          <w:color w:val="auto"/>
        </w:rPr>
      </w:pPr>
    </w:p>
    <w:p>
      <w:pPr>
        <w:ind w:right="760" w:firstLine="1297"/>
        <w:spacing w:after="0" w:line="210"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ClearPar®, Debt Domain, Syndtrak, FpML messaging and any other Internet or extranet-based site.</w:t>
      </w:r>
    </w:p>
    <w:p>
      <w:pPr>
        <w:spacing w:after="0" w:line="202"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16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“Equity Interests” means shares,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“Equity Issuance” means any issuance by Borrower to any Person of Equity Interests of Borrower, other than (a) any issuance of Equity Interests pursuant to any employee stock plan or other benefit or employee incentive arrangement, (b) any issuance of Equity Interests among Borrower and its Subsidiaries, (c) any issuance by Borrower of Equity Interests as consideration for any Acquisition or any other acquisition or strategic initiative (including, without limitation, the Target Acquisition), (d) any issuance of Equity Interests pursuant to the exercise of options or warrants, (e) any issuance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11</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Interests pursuant to the conversion of any debt securities to equity or the conversion of any class equity securities to any other class of equity securities, (f) any issuance of options or warrants relating to its Equity Interests and (g) other issuances of Equity Interests in an amount not to exceed $500,000,000.</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“ERISA” means the Employee Retirement Income Security Act of 1974, as amended, and the rules and regulations promulgated thereunder.</w:t>
      </w:r>
    </w:p>
    <w:p>
      <w:pPr>
        <w:spacing w:after="0" w:line="248" w:lineRule="exact"/>
        <w:rPr>
          <w:sz w:val="20"/>
          <w:szCs w:val="20"/>
          <w:color w:val="auto"/>
        </w:rPr>
      </w:pPr>
    </w:p>
    <w:p>
      <w:pPr>
        <w:ind w:right="180" w:firstLine="1297"/>
        <w:spacing w:after="0" w:line="308" w:lineRule="auto"/>
        <w:rPr>
          <w:sz w:val="20"/>
          <w:szCs w:val="20"/>
          <w:color w:val="auto"/>
        </w:rPr>
      </w:pPr>
      <w:r>
        <w:rPr>
          <w:rFonts w:ascii="Arial" w:cs="Arial" w:eastAsia="Arial" w:hAnsi="Arial"/>
          <w:sz w:val="17"/>
          <w:szCs w:val="17"/>
          <w:color w:val="auto"/>
        </w:rPr>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could reasonably be expected to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Rate” means:</w:t>
      </w:r>
    </w:p>
    <w:p>
      <w:pPr>
        <w:spacing w:after="0" w:line="225" w:lineRule="exact"/>
        <w:rPr>
          <w:sz w:val="20"/>
          <w:szCs w:val="20"/>
          <w:color w:val="auto"/>
        </w:rPr>
      </w:pPr>
    </w:p>
    <w:p>
      <w:pPr>
        <w:jc w:val="both"/>
        <w:ind w:left="660" w:firstLine="645"/>
        <w:spacing w:after="0" w:line="276" w:lineRule="auto"/>
        <w:tabs>
          <w:tab w:leader="none" w:pos="19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(“LIBOR”) or successor rate, which rate is approved by the Administrative Agent, as published on the applicable Bloomberg screen page (or such other comparable commercially available source providing such quotations as may be designated by the Administrative Agent from time to time in its reasonable discretion) at approximately 11:00 a.m., London time, two Business Days prior to the commencement of such Interest Period, for Sterling deposits (for delivery on the first day of such Interest Period) with a term equivalent to such Interest Period; and</w:t>
      </w:r>
    </w:p>
    <w:p>
      <w:pPr>
        <w:spacing w:after="0" w:line="172" w:lineRule="exact"/>
        <w:rPr>
          <w:rFonts w:ascii="Arial" w:cs="Arial" w:eastAsia="Arial" w:hAnsi="Arial"/>
          <w:sz w:val="17"/>
          <w:szCs w:val="17"/>
          <w:color w:val="auto"/>
        </w:rPr>
      </w:pPr>
    </w:p>
    <w:p>
      <w:pPr>
        <w:ind w:left="1880" w:hanging="575"/>
        <w:spacing w:after="0"/>
        <w:tabs>
          <w:tab w:leader="none" w:pos="1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Eurodollar Rate shall be less than zero, such rate shall be deemed zero for purposes of this Agreement;</w:t>
      </w:r>
    </w:p>
    <w:p>
      <w:pPr>
        <w:spacing w:after="0" w:line="225" w:lineRule="exact"/>
        <w:rPr>
          <w:sz w:val="20"/>
          <w:szCs w:val="20"/>
          <w:color w:val="auto"/>
        </w:rPr>
      </w:pPr>
    </w:p>
    <w:p>
      <w:pPr>
        <w:ind w:right="440" w:firstLine="1297"/>
        <w:spacing w:after="0" w:line="342" w:lineRule="auto"/>
        <w:rPr>
          <w:sz w:val="20"/>
          <w:szCs w:val="20"/>
          <w:color w:val="auto"/>
        </w:rPr>
      </w:pPr>
      <w:r>
        <w:rPr>
          <w:rFonts w:ascii="Arial" w:cs="Arial" w:eastAsia="Arial" w:hAnsi="Arial"/>
          <w:sz w:val="16"/>
          <w:szCs w:val="16"/>
          <w:color w:val="auto"/>
        </w:rPr>
        <w:t>provided that to the extent a successor rate is approved by the Administrative Agent in connection herewith, the approved rate shall be applied in a manner consistent with market practice; provided, further that to the extent such market practice is not administratively feasible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such approved rate shall be applied in a manner as otherwise reasonably determined by the Administrative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“Eurodollar Rate Loan” means a Loan bearing interest based on the Eurodollar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right="600" w:firstLine="1297"/>
        <w:spacing w:after="0" w:line="277" w:lineRule="auto"/>
        <w:rPr>
          <w:sz w:val="20"/>
          <w:szCs w:val="20"/>
          <w:color w:val="auto"/>
        </w:rPr>
      </w:pPr>
      <w:r>
        <w:rPr>
          <w:rFonts w:ascii="Arial" w:cs="Arial" w:eastAsia="Arial" w:hAnsi="Arial"/>
          <w:sz w:val="18"/>
          <w:szCs w:val="18"/>
          <w:color w:val="auto"/>
        </w:rPr>
        <w:t>“Existing Restricted Subsidiaries” means all Subsidiaries of Borrower in existence as such on March 28, 2018 and not designated as “Unrestricted Subsidiaries” pursuant to the terms of the Revolving Credit Agreement as of such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“Extension of Credit” means a Borrowing or Continuation of Loans and (collectively, the “Extensions of Credit”).</w:t>
      </w:r>
    </w:p>
    <w:p>
      <w:pPr>
        <w:spacing w:after="0" w:line="225"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law, regulation, rule, promulgation, or official agreement implementing an official intergovernmental agreement with respect to such sections or regulations.</w:t>
      </w:r>
    </w:p>
    <w:p>
      <w:pPr>
        <w:spacing w:after="0" w:line="187"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“Federal Funds Rate” means, for any day, the rate per annum equal to the weighted average of the rates on overnight Federal funds transactions with members of the Federal Reserve System,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If the Federal Funds Rate shall be less than zero, such rate shall be deemed to be zero for purposes of this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“Fee Letter” means that certain Fee Letter, dated as of March 28, 2018, by and among Borrower, MLPFS, Bank of America, WFS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Wells Fargo.</w:t>
      </w:r>
    </w:p>
    <w:p>
      <w:pPr>
        <w:spacing w:after="0" w:line="21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“Final Closing Date” means the first date on which the conditions set forth in clause (c) (unless Compulsory Acquisition Procedures have commenced before such date), (d) or (e) of the definition of Certain Funds Period shall have occurred.</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authority and any federal, state, county, or municipal licensing or franchising authority or (d) any court or administrative tribunal.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11"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“Guarantors” means Comcast Cable, NBCU and each Restricted Subsidiary that becomes a party to the Guarantee Agreement pursuant to Section 6.10 (in each case to the extent not released as contemplated by this Agreement).</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 xml:space="preserve">“Guaranty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“High Court” means the High Court of Justice of England and Wales.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 Date” has the meaning set forth in Section 2.15(a).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“Increased Commitment” has the meaning set forth in Section 2.15(b).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“Increasing Lender” has the meaning set forth in Section 2.15(b).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“Incremental Assumption Agreement” has the meaning set forth in Section 2.15(c).</w:t>
      </w:r>
    </w:p>
    <w:p>
      <w:pPr>
        <w:spacing w:after="0" w:line="225" w:lineRule="exact"/>
        <w:rPr>
          <w:sz w:val="20"/>
          <w:szCs w:val="20"/>
          <w:color w:val="auto"/>
        </w:rPr>
      </w:pPr>
    </w:p>
    <w:p>
      <w:pPr>
        <w:ind w:right="20" w:firstLine="1297"/>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right="20" w:firstLine="8"/>
        <w:spacing w:after="0" w:line="269" w:lineRule="auto"/>
        <w:tabs>
          <w:tab w:leader="none" w:pos="25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Indebtedness shall not include (i) 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amount of any Indebtedness described in clause (e) above shall be the lesser of the amount of the Indebtedness or the fair market value of the property securing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14</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“Initial Closing Date” means the date upon which all the conditions precedent in Section 4.02 have been satisfied or waived with respect to the initial Borrowing of Loans hereunder and such initial Borrowing of Loans occurs.</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“Interest Period” means, for each Eurodollar Rate Loan, (a) initially, the period commencing on the date such Eurodollar Rate Loan is disbursed or Continued as such Eurodollar Rate Loan and (b) thereafter, the period commencing on the last day of the preceding Interest Period, and ending, in each case, on the earlier of (i) the scheduled maturity date of such Loan, or (ii) one, two, three, six or, if agreed to by each Lender, 12 months or periods less than one month,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660" w:right="220" w:firstLine="645"/>
        <w:spacing w:after="0" w:line="342" w:lineRule="auto"/>
        <w:tabs>
          <w:tab w:leader="none" w:pos="179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3" w:lineRule="exact"/>
        <w:rPr>
          <w:rFonts w:ascii="Arial" w:cs="Arial" w:eastAsia="Arial" w:hAnsi="Arial"/>
          <w:sz w:val="16"/>
          <w:szCs w:val="16"/>
          <w:color w:val="auto"/>
        </w:rPr>
      </w:pPr>
    </w:p>
    <w:p>
      <w:pPr>
        <w:ind w:left="660" w:right="280" w:firstLine="645"/>
        <w:spacing w:after="0" w:line="264" w:lineRule="auto"/>
        <w:tabs>
          <w:tab w:leader="none" w:pos="184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89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unless Administrative Agent otherwise consents, there may not be more than ten (10) Interest Periods for Eurodollar Rate Loans in effect at any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jc w:val="both"/>
        <w:ind w:right="560" w:firstLine="1297"/>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81"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“Lender” means each lender from time to time party hereto and, subject to the terms and conditions of this Agreement, their respective successors and assigns (but not any purchaser of a participation hereunder unless otherwise a party to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“Lender Party” means any Agent or any Lender.</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 xml:space="preserve">“Leverage Ratio” means, at any date of determination, the ratio of (a) Consolidated Total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up to $1,000,000,000 of unrestricted cash and cash equivalents on the balance sheet of Borrower and its Restricted Subsidiaries on or as of such date to (b) Annualized EBITDA of Borrower and its Restricted Subsidiaries, on a consolidated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after (x) in connection with the Target Acquisition or with respect to any acquisition that is a Material Acquisition in accordance with clause (ii) of the definition thereof to which the United Kingdom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Code on Takeovers and Mergers (or any comparable laws, rules or regulations in any other jurisdiction) applies, the date on which (i) the Rule 2.7 Announcement is issued in connection with the Target Acquisition or (ii) a “Rule 2.7 announcement” of a firm intention to make an offer in respect of a target of such Material Acquisition (or the equivalent notice under such comparable laws, rules or regulations in such other jurisdiction) is issued or (y) in connection with any acquisition that is a Material Acquisition in accordance with clause (ii) of the definition thereof, the date a definitive agreement for such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(or such later date as such indebtedness ceases to constitute Acquisition Debt as set forth in the definition of “Acquisition Debt”)), any Acquisition Debt to the extent the proceeds of such Acquisition Debt are held in escrow or held on the balance sheet of Borrower or any of its Restricted Subsidiaries (or an Unrestricted Subsidiary, so long as, in the good faith determination of Borrower, such Unrestricted Subsidiary is expected to become a Restricted Subsidiary in connection with the consummation of such Material Acquisition) shall be excluded from the determination of the Leverage Ratio.</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has the meaning set forth in the definition of Eurodollar Rate.</w:t>
      </w:r>
    </w:p>
    <w:p>
      <w:pPr>
        <w:spacing w:after="0" w:line="225"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“LIBOR Screen Rate” means, the LIBOR quote on the applicable screen page the Administrative Agent designates to determine LIBOR (or such other comparable commercially available source providing such quotations as may be designated by the Administrative Agent from time to time).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“LIBOR Successor Rate” has the meaning set forth in Section 3.03(b).</w:t>
      </w:r>
    </w:p>
    <w:p>
      <w:pPr>
        <w:spacing w:after="0" w:line="225" w:lineRule="exact"/>
        <w:rPr>
          <w:sz w:val="20"/>
          <w:szCs w:val="20"/>
          <w:color w:val="auto"/>
        </w:rPr>
      </w:pPr>
    </w:p>
    <w:p>
      <w:pPr>
        <w:ind w:right="220" w:firstLine="1297"/>
        <w:spacing w:after="0" w:line="293" w:lineRule="auto"/>
        <w:rPr>
          <w:sz w:val="20"/>
          <w:szCs w:val="20"/>
          <w:color w:val="auto"/>
        </w:rPr>
      </w:pPr>
      <w:r>
        <w:rPr>
          <w:rFonts w:ascii="Arial" w:cs="Arial" w:eastAsia="Arial" w:hAnsi="Arial"/>
          <w:sz w:val="16"/>
          <w:szCs w:val="16"/>
          <w:color w:val="auto"/>
        </w:rPr>
        <w:t>“LIBOR Successor Rate Conforming Changes” means, with respect to any proposed LIBOR Successor Rate, any conforming changes to the definition of “Interest Period”, timing and frequency of determining rates and making payments of interest and other administrative matters as may 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65" w:lineRule="exact"/>
        <w:rPr>
          <w:sz w:val="20"/>
          <w:szCs w:val="20"/>
          <w:color w:val="auto"/>
        </w:rPr>
      </w:pPr>
    </w:p>
    <w:p>
      <w:pPr>
        <w:ind w:right="120" w:firstLine="1297"/>
        <w:spacing w:after="0" w:line="302" w:lineRule="auto"/>
        <w:rPr>
          <w:sz w:val="20"/>
          <w:szCs w:val="20"/>
          <w:color w:val="auto"/>
        </w:rPr>
      </w:pPr>
      <w:r>
        <w:rPr>
          <w:rFonts w:ascii="Arial" w:cs="Arial" w:eastAsia="Arial" w:hAnsi="Arial"/>
          <w:sz w:val="16"/>
          <w:szCs w:val="16"/>
          <w:color w:val="auto"/>
        </w:rPr>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has the meaning set forth in Section 2.01(a) (collectively, the “Loans”).</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“Loan Documents” means this Agreement, the Guarantee Agreement, each Note, each Incremental Assumption Agreement, each Request for Extension of Credit, each Compliance Certificate, each fee letter (including the Fee Letter) and each other instrument or agreement from time to time delivered by any Loan Party pursuant to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16</w:t>
      </w:r>
    </w:p>
    <w:p>
      <w:pPr>
        <w:spacing w:after="0" w:line="117"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“Major Event of Default” means an Event of Default arising from any of the following with respect to Borrower and the Guarantors only (and not, for the avoidance of doubt, (a) in relation to any other Subsidiary of Borrower or the Target Group or (b) in respect of any obligation to procure any action by any other Subsidiary of Borrower or the Target Group):</w:t>
      </w:r>
    </w:p>
    <w:p>
      <w:pPr>
        <w:spacing w:after="0" w:line="181" w:lineRule="exact"/>
        <w:rPr>
          <w:sz w:val="20"/>
          <w:szCs w:val="20"/>
          <w:color w:val="auto"/>
        </w:rPr>
      </w:pPr>
    </w:p>
    <w:p>
      <w:pPr>
        <w:ind w:left="1780" w:hanging="475"/>
        <w:spacing w:after="0"/>
        <w:tabs>
          <w:tab w:leader="none" w:pos="17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8.01(a);</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8.01(b);</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89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8.01(c), but solely as it relates to the failure to perform or observe any of covenants set forth in Section 7.03 (</w:t>
      </w:r>
      <w:r>
        <w:rPr>
          <w:rFonts w:ascii="Arial" w:cs="Arial" w:eastAsia="Arial" w:hAnsi="Arial"/>
          <w:sz w:val="18"/>
          <w:szCs w:val="18"/>
          <w:i w:val="1"/>
          <w:iCs w:val="1"/>
          <w:color w:val="auto"/>
        </w:rPr>
        <w:t>Fundamental Changes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60" w:firstLine="645"/>
        <w:spacing w:after="0" w:line="264" w:lineRule="auto"/>
        <w:tabs>
          <w:tab w:leader="none" w:pos="188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8.01(d), but solely as it relates to the failure to perform or observe any of the covenants set forth in Section 6.04 (</w:t>
      </w:r>
      <w:r>
        <w:rPr>
          <w:rFonts w:ascii="Arial" w:cs="Arial" w:eastAsia="Arial" w:hAnsi="Arial"/>
          <w:sz w:val="18"/>
          <w:szCs w:val="18"/>
          <w:i w:val="1"/>
          <w:iCs w:val="1"/>
          <w:color w:val="auto"/>
        </w:rPr>
        <w:t>Preservation of Existence</w:t>
      </w:r>
      <w:r>
        <w:rPr>
          <w:rFonts w:ascii="Arial" w:cs="Arial" w:eastAsia="Arial" w:hAnsi="Arial"/>
          <w:sz w:val="18"/>
          <w:szCs w:val="18"/>
          <w:color w:val="auto"/>
        </w:rPr>
        <w:t>) but only insofar as it refers to “existence” therein, 6.11(a) and (c)(ii) (only) (</w:t>
      </w:r>
      <w:r>
        <w:rPr>
          <w:rFonts w:ascii="Arial" w:cs="Arial" w:eastAsia="Arial" w:hAnsi="Arial"/>
          <w:sz w:val="18"/>
          <w:szCs w:val="18"/>
          <w:i w:val="1"/>
          <w:iCs w:val="1"/>
          <w:color w:val="auto"/>
        </w:rPr>
        <w:t>Scheme and Offer</w:t>
      </w:r>
      <w:r>
        <w:rPr>
          <w:rFonts w:ascii="Arial" w:cs="Arial" w:eastAsia="Arial" w:hAnsi="Arial"/>
          <w:sz w:val="18"/>
          <w:szCs w:val="18"/>
          <w:color w:val="auto"/>
        </w:rPr>
        <w:t>), 7.01 (</w:t>
      </w:r>
      <w:r>
        <w:rPr>
          <w:rFonts w:ascii="Arial" w:cs="Arial" w:eastAsia="Arial" w:hAnsi="Arial"/>
          <w:sz w:val="18"/>
          <w:szCs w:val="18"/>
          <w:i w:val="1"/>
          <w:iCs w:val="1"/>
          <w:color w:val="auto"/>
        </w:rPr>
        <w:t>Liens</w:t>
      </w:r>
      <w:r>
        <w:rPr>
          <w:rFonts w:ascii="Arial" w:cs="Arial" w:eastAsia="Arial" w:hAnsi="Arial"/>
          <w:sz w:val="18"/>
          <w:szCs w:val="18"/>
          <w:color w:val="auto"/>
        </w:rPr>
        <w:t>), 7.05 (</w:t>
      </w: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or 7.07 (</w:t>
      </w:r>
      <w:r>
        <w:rPr>
          <w:rFonts w:ascii="Arial" w:cs="Arial" w:eastAsia="Arial" w:hAnsi="Arial"/>
          <w:sz w:val="18"/>
          <w:szCs w:val="18"/>
          <w:i w:val="1"/>
          <w:iCs w:val="1"/>
          <w:color w:val="auto"/>
        </w:rPr>
        <w:t>Scheme and Offer</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120" w:firstLine="645"/>
        <w:spacing w:after="0" w:line="297" w:lineRule="auto"/>
        <w:tabs>
          <w:tab w:leader="none" w:pos="183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circumstance constituting an Event of Default under Section 8.01(e), but solely as it relates to the inaccuracy of any representation or warranty set forth in Section 5.01 (</w:t>
      </w:r>
      <w:r>
        <w:rPr>
          <w:rFonts w:ascii="Arial" w:cs="Arial" w:eastAsia="Arial" w:hAnsi="Arial"/>
          <w:sz w:val="16"/>
          <w:szCs w:val="16"/>
          <w:i w:val="1"/>
          <w:iCs w:val="1"/>
          <w:color w:val="auto"/>
        </w:rPr>
        <w:t>Existence and Qualification; Compliance with Laws</w:t>
      </w:r>
      <w:r>
        <w:rPr>
          <w:rFonts w:ascii="Arial" w:cs="Arial" w:eastAsia="Arial" w:hAnsi="Arial"/>
          <w:sz w:val="16"/>
          <w:szCs w:val="16"/>
          <w:color w:val="auto"/>
        </w:rPr>
        <w:t>), 5.02 (</w:t>
      </w:r>
      <w:r>
        <w:rPr>
          <w:rFonts w:ascii="Arial" w:cs="Arial" w:eastAsia="Arial" w:hAnsi="Arial"/>
          <w:sz w:val="16"/>
          <w:szCs w:val="16"/>
          <w:i w:val="1"/>
          <w:iCs w:val="1"/>
          <w:color w:val="auto"/>
        </w:rPr>
        <w:t>Power; Authorization; Enforceable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5.03(a)(i), (ii) and (iii) (</w:t>
      </w:r>
      <w:r>
        <w:rPr>
          <w:rFonts w:ascii="Arial" w:cs="Arial" w:eastAsia="Arial" w:hAnsi="Arial"/>
          <w:sz w:val="16"/>
          <w:szCs w:val="16"/>
          <w:i w:val="1"/>
          <w:iCs w:val="1"/>
          <w:color w:val="auto"/>
        </w:rPr>
        <w:t>No Legal Bar</w:t>
      </w:r>
      <w:r>
        <w:rPr>
          <w:rFonts w:ascii="Arial" w:cs="Arial" w:eastAsia="Arial" w:hAnsi="Arial"/>
          <w:sz w:val="16"/>
          <w:szCs w:val="16"/>
          <w:color w:val="auto"/>
        </w:rPr>
        <w:t>) (but only in respect of Section 5.03(iii) with respect to any Contractual Obligation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for borrowed money incurred or issued by a Loan Party in an aggregate principal amount equal to or greater than the Threshold Amount), 5.06 (</w:t>
      </w:r>
      <w:r>
        <w:rPr>
          <w:rFonts w:ascii="Arial" w:cs="Arial" w:eastAsia="Arial" w:hAnsi="Arial"/>
          <w:sz w:val="16"/>
          <w:szCs w:val="16"/>
          <w:i w:val="1"/>
          <w:iCs w:val="1"/>
          <w:color w:val="auto"/>
        </w:rPr>
        <w:t>Use of Proceeds</w:t>
      </w:r>
      <w:r>
        <w:rPr>
          <w:rFonts w:ascii="Arial" w:cs="Arial" w:eastAsia="Arial" w:hAnsi="Arial"/>
          <w:sz w:val="16"/>
          <w:szCs w:val="16"/>
          <w:color w:val="auto"/>
        </w:rPr>
        <w:t>) (solely with respect to the second sentence thereof) or 5.08 (</w:t>
      </w:r>
      <w:r>
        <w:rPr>
          <w:rFonts w:ascii="Arial" w:cs="Arial" w:eastAsia="Arial" w:hAnsi="Arial"/>
          <w:sz w:val="16"/>
          <w:szCs w:val="16"/>
          <w:i w:val="1"/>
          <w:iCs w:val="1"/>
          <w:color w:val="auto"/>
        </w:rPr>
        <w:t>Target Acquisition Documents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880" w:hanging="575"/>
        <w:spacing w:after="0"/>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8.01(g); and</w:t>
      </w:r>
    </w:p>
    <w:p>
      <w:pPr>
        <w:spacing w:after="0" w:line="225" w:lineRule="exact"/>
        <w:rPr>
          <w:rFonts w:ascii="Arial" w:cs="Arial" w:eastAsia="Arial" w:hAnsi="Arial"/>
          <w:sz w:val="18"/>
          <w:szCs w:val="18"/>
          <w:color w:val="auto"/>
        </w:rPr>
      </w:pPr>
    </w:p>
    <w:p>
      <w:pPr>
        <w:jc w:val="both"/>
        <w:ind w:left="660" w:right="80" w:firstLine="645"/>
        <w:spacing w:after="0" w:line="264" w:lineRule="auto"/>
        <w:tabs>
          <w:tab w:leader="none" w:pos="193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circumstance constituting an Event of Default under Section 8.01(i) (but excluding, in relation to involuntary proceedings, any Event of Default caused by a frivolous or vexatious (and, in either case, lacking in merit) action, proceeding or petition in respect of which no order or decree in respect of such involuntary proceeding shall have been entered).</w:t>
      </w:r>
    </w:p>
    <w:p>
      <w:pPr>
        <w:spacing w:after="0" w:line="18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93"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17</w:t>
      </w:r>
    </w:p>
    <w:p>
      <w:pPr>
        <w:spacing w:after="0" w:line="11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93" w:lineRule="exact"/>
        <w:rPr>
          <w:sz w:val="20"/>
          <w:szCs w:val="20"/>
          <w:color w:val="auto"/>
        </w:rPr>
      </w:pPr>
    </w:p>
    <w:p>
      <w:pPr>
        <w:ind w:right="200" w:firstLine="1297"/>
        <w:spacing w:after="0" w:line="293" w:lineRule="auto"/>
        <w:rPr>
          <w:sz w:val="20"/>
          <w:szCs w:val="20"/>
          <w:color w:val="auto"/>
        </w:rPr>
      </w:pPr>
      <w:r>
        <w:rPr>
          <w:rFonts w:ascii="Arial" w:cs="Arial" w:eastAsia="Arial" w:hAnsi="Arial"/>
          <w:sz w:val="16"/>
          <w:szCs w:val="16"/>
          <w:color w:val="auto"/>
        </w:rPr>
        <w:t>“Materially Adverse Amendment” means a modification, amendment or waiver to or of the terms or conditions of any Target Acquisition Document that is, when compared to the terms and conditions that are included in the draft of the Rule 2.7 Announcement delivered pursuant to Section 4.01(c), materially prejudicial to the interests of the Lenders (taken as a whole), it being acknowledged that (a) a waiver of a pre-condition which then becomes a condition to be satisfied in connection with the Target Acquisition or an increase to the price of the Target Acquisition would not be materially prejudicial to the interests of the Lenders (taken as a whole), and (b) any modification, amendment or waiver required by the Takeover Code, the Panel, any other competent regulatory body or by a court of competent jurisdiction shall not be a Materially Adverse Amendment.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“Maturity Date” means the date that is 364 days following the Initial Closing Date.</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Minimum Amount</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Multiples in excess thereof</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Borrowing, prepayment or Continuation of Loans</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£10,000,000</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Reduction of Commitments</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£15,000,000</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£2,500,000</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7"/>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Assignments</w:t>
            </w:r>
          </w:p>
        </w:tc>
        <w:tc>
          <w:tcPr>
            <w:tcW w:w="37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£15,000,000</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None</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“MLPFS” means Merrill Lynch, Pierce, Fenner &amp; Smith Incorporated.</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“Net Cash Proceeds” means, with respect to any event, the cash proceeds actually received by Borrower or any of its Domestic Restricted Subsidiaries in respect of such event, including any cash received in respect of any noncash proceeds, but only as and when received, net of the sum, without duplication, of (a) all fees and expenses incurred in connection with such event by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5" w:name="page166"/>
    <w:bookmarkEnd w:id="165"/>
    <w:p>
      <w:pPr>
        <w:ind w:left="11240"/>
        <w:spacing w:after="0"/>
        <w:rPr>
          <w:sz w:val="20"/>
          <w:szCs w:val="20"/>
          <w:color w:val="auto"/>
        </w:rPr>
      </w:pPr>
      <w:r>
        <w:rPr>
          <w:rFonts w:ascii="Arial" w:cs="Arial" w:eastAsia="Arial" w:hAnsi="Arial"/>
          <w:sz w:val="16"/>
          <w:szCs w:val="16"/>
          <w:color w:val="auto"/>
        </w:rPr>
        <w:t>18</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its Subsidiaries, (b) in the case of a sale, transfer, lease or other disposition (including pursuant to a Sale-Leaseback Transaction) of an asset, the amount of all payments required to be made by Borrower and its Subsidiaries as a result of such event to repay debt for borrowed money secured by a Lien on such asset and (c) the amount of all taxes paid (or reasonably estimated to be payable) by Borrower and its Subsidiaries, and the amount of any reserves established by Borrower and its Subsidiaries in accordance with GAAP or other applicable accounting standards to fund purchase price adjustment,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such reserves exceeds the amounts charged against such reserve, then such excess, upon determination thereof, shall then constitute Net Cash Proceeds.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Commitment” has the meaning set forth in Section 2.15(b).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“NBCU” means NBCUniversal Media, LLC,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jc w:val="both"/>
        <w:ind w:right="500" w:firstLine="1297"/>
        <w:spacing w:after="0" w:line="312" w:lineRule="auto"/>
        <w:rPr>
          <w:sz w:val="20"/>
          <w:szCs w:val="20"/>
          <w:color w:val="auto"/>
        </w:rPr>
      </w:pPr>
      <w:r>
        <w:rPr>
          <w:rFonts w:ascii="Arial" w:cs="Arial" w:eastAsia="Arial" w:hAnsi="Arial"/>
          <w:sz w:val="16"/>
          <w:szCs w:val="16"/>
          <w:color w:val="auto"/>
        </w:rPr>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4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“Offer” means a public offer by, or made on behalf of, Borrower in accordance with the Takeover Code and the provisions of the Companies Act for Borrower (or a Subsidiary thereof, including Bidco) to acquire all of the shares of the Target not owned, held or agreed to be acquired by Borrower (or a Subsidiary thereof, including Bidco).</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“Offer Documents” means (a) any Offer Press Release, (b) any document published in accordance with the Takeover Code pursuant to which an Offer is made to the shareholders of the Target (including, without limitation, any revision to an Offer and any alternative Offer) and (c) any other document designated in writing as such by Borrower and Administrative Agent.</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“Offer Press Release” means a press release announcing, in compliance with Rule 2.7, a firm intention to make an Offer or, as the case may be, a switch to an Offer in accordance with Section 8 of Appendix 7 to the Takeover Code.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ind w:right="460" w:firstLine="1297"/>
        <w:spacing w:after="0" w:line="312" w:lineRule="auto"/>
        <w:rPr>
          <w:sz w:val="20"/>
          <w:szCs w:val="20"/>
          <w:color w:val="auto"/>
        </w:rPr>
      </w:pPr>
      <w:r>
        <w:rPr>
          <w:rFonts w:ascii="Arial" w:cs="Arial" w:eastAsia="Arial" w:hAnsi="Arial"/>
          <w:sz w:val="16"/>
          <w:szCs w:val="16"/>
          <w:color w:val="auto"/>
        </w:rPr>
        <w:t>“Outstanding Obligations” means, as of any date, and giving effect to making any Extension of Credit requested on such date and all payments, repayments and prepayments made on such date, (a) when reference is made to all Lenders, the aggregate outstanding principal amount of all Loans and (b) when reference is made to one Lender, the aggregate outstanding principal amount of all Loans made by such Lender.</w:t>
      </w:r>
    </w:p>
    <w:p>
      <w:pPr>
        <w:spacing w:after="0" w:line="14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“Panel” means The Panel on Takeovers and Mergers established in 1968 and designated as the supervisory authority in the United Kingdom to carry out certain regulatory functions in relation to takeovers pursuant to the EU Directive on Takeover Bids (2004/25/EC).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19</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“PATRIOT Act” has the meaning set forth in Section 10.24.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“Permanent Financing” means the issuance of debt securities by Borrower or a Subsidiary thereof, through a public offering or in a private placement, the proceeds of which are used (in whole or in part) to consummate the Target Acquisition or to replace or refinance some or all of the Loans.</w:t>
      </w:r>
    </w:p>
    <w:p>
      <w:pPr>
        <w:spacing w:after="0" w:line="124"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“PTE” means a prohibited transaction class exemption issued by the U.S. Department of Labor, as any such exemption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“Public Lenders” has the meaning set forth in Section 6.02.</w:t>
      </w:r>
    </w:p>
    <w:p>
      <w:pPr>
        <w:spacing w:after="0" w:line="225"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“Reference Statements” means (a) the audited consolidated financial statements of Borrower and its Subsidiaries for the most recent fiscal year ended prior to the Effective Date as to which such financial statements are available and (b) the unaudited interim consolidated financial statements of Borrower and its Subsidiaries for each quarterly period, if any, ended subsequent to the date of the financial statements referenced in clause (a) above and prior to the Effective Date as to which such financial statements are available.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“Refund Repayment Requirement” has the meaning set forth in Section 3.01(f).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“Request for Extension of Credit” means, unless otherwise specified herein, with respect to a Borrowing or Continuation of Loans, a written request substantially in the form of Exhibit B or such other form as may be approved by the Administrative Agent and the Borrower (including any form on an electronic platform or electronic transmission system as shall be approved by the Administrative Agent), appropriately completed and signed by a Responsible Officer of the Borrower.</w:t>
      </w:r>
    </w:p>
    <w:p>
      <w:pPr>
        <w:spacing w:after="0" w:line="187"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the sum of (x) the unused Commitments at such time and (y) the aggregate principal amount of the Loans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7" w:name="page168"/>
    <w:bookmarkEnd w:id="167"/>
    <w:p>
      <w:pPr>
        <w:ind w:left="11240"/>
        <w:spacing w:after="0"/>
        <w:rPr>
          <w:sz w:val="20"/>
          <w:szCs w:val="20"/>
          <w:color w:val="auto"/>
        </w:rPr>
      </w:pPr>
      <w:r>
        <w:rPr>
          <w:rFonts w:ascii="Arial" w:cs="Arial" w:eastAsia="Arial" w:hAnsi="Arial"/>
          <w:sz w:val="16"/>
          <w:szCs w:val="16"/>
          <w:color w:val="auto"/>
        </w:rPr>
        <w:t>20</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Notice” means a notice delivered in accordance with Section 10.02.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Type of Action</w:t>
            </w:r>
          </w:p>
        </w:tc>
        <w:tc>
          <w:tcPr>
            <w:tcW w:w="37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Applicable Time</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Date of Action</w:t>
            </w: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6"/>
              </w:rPr>
              <w:t>Delivery of Request for Extension of Credit for, or</w:t>
            </w:r>
          </w:p>
        </w:tc>
        <w:tc>
          <w:tcPr>
            <w:tcW w:w="378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r>
      <w:tr>
        <w:trPr>
          <w:trHeight w:val="216"/>
        </w:trPr>
        <w:tc>
          <w:tcPr>
            <w:tcW w:w="3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notice for, or determination of any LIBOR Screen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Rate related to:</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8"/>
              </w:rPr>
              <w:t>Borrowing, prepayment or Continuation of Loans</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10:00 a.m.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Business Days prior to such prepayment,</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Borrowing or Continuation</w:t>
            </w:r>
          </w:p>
        </w:tc>
      </w:tr>
      <w:tr>
        <w:trPr>
          <w:trHeight w:val="418"/>
        </w:trPr>
        <w:tc>
          <w:tcPr>
            <w:tcW w:w="3900" w:type="dxa"/>
            <w:vAlign w:val="bottom"/>
            <w:tcBorders>
              <w:left w:val="single" w:sz="8" w:color="auto"/>
              <w:right w:val="single" w:sz="8" w:color="auto"/>
            </w:tcBorders>
          </w:tcPr>
          <w:p>
            <w:pPr>
              <w:spacing w:after="0"/>
              <w:rPr>
                <w:sz w:val="24"/>
                <w:szCs w:val="24"/>
                <w:color w:val="auto"/>
              </w:rPr>
            </w:pPr>
          </w:p>
        </w:tc>
        <w:tc>
          <w:tcPr>
            <w:tcW w:w="378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Determination of a LIBOR Screen Rate 11:00 a.m.</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(London Time) on the first Business Day of such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requested Borrowing or Continuation</w:t>
            </w:r>
          </w:p>
        </w:tc>
      </w:tr>
      <w:tr>
        <w:trPr>
          <w:trHeight w:val="216"/>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Voluntary reduction in or termination of</w:t>
            </w:r>
          </w:p>
        </w:tc>
        <w:tc>
          <w:tcPr>
            <w:tcW w:w="3780" w:type="dxa"/>
            <w:vAlign w:val="bottom"/>
            <w:tcBorders>
              <w:right w:val="single" w:sz="8" w:color="auto"/>
            </w:tcBorders>
          </w:tcPr>
          <w:p>
            <w:pPr>
              <w:ind w:left="1460"/>
              <w:spacing w:after="0" w:line="195" w:lineRule="exact"/>
              <w:rPr>
                <w:sz w:val="20"/>
                <w:szCs w:val="20"/>
                <w:color w:val="auto"/>
              </w:rPr>
            </w:pPr>
            <w:r>
              <w:rPr>
                <w:rFonts w:ascii="Arial" w:cs="Arial" w:eastAsia="Arial" w:hAnsi="Arial"/>
                <w:sz w:val="18"/>
                <w:szCs w:val="18"/>
                <w:color w:val="auto"/>
              </w:rPr>
              <w:t>11:00 a.m.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3 Business Days prior to such reduction or</w:t>
            </w: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Commitments</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termination</w:t>
            </w:r>
          </w:p>
        </w:tc>
      </w:tr>
      <w:tr>
        <w:trPr>
          <w:trHeight w:val="195"/>
        </w:trPr>
        <w:tc>
          <w:tcPr>
            <w:tcW w:w="390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w w:val="92"/>
              </w:rPr>
              <w:t>Payments by Lenders or Borrower to Administrative</w:t>
            </w:r>
          </w:p>
        </w:tc>
        <w:tc>
          <w:tcPr>
            <w:tcW w:w="3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 p.m.</w:t>
            </w:r>
          </w:p>
        </w:tc>
        <w:tc>
          <w:tcPr>
            <w:tcW w:w="3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On the date payment is due</w:t>
            </w:r>
          </w:p>
        </w:tc>
      </w:tr>
      <w:tr>
        <w:trPr>
          <w:trHeight w:val="230"/>
        </w:trPr>
        <w:tc>
          <w:tcPr>
            <w:tcW w:w="3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Agent</w:t>
            </w:r>
          </w:p>
        </w:tc>
        <w:tc>
          <w:tcPr>
            <w:tcW w:w="378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“Responsible Officer” means, as to any Person, the president, any vice president, the controller, the chief financial officer, the treasurer or any assistant treasurer of such Person and, solely for purposes of notices given pursuant to Section 2, any other officer of the applicable Loan Party so designated by any of the foregoing officers in a notice to the Administrative Agent or any other officer of the applicable Loan Party designated in or pursuant to an agreement between the applicable Loan Party and the Administrative Agent.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225"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“Revolving Credit Agreement” means that certain Credit Agreement dated as of May 26, 2016, by and among Comcast Corporation, the lenders party thereto, JPMorgan Chase Bank, N.A., as administrative agent, Citibank, N.A., as syndication agent, and Morgan Stanley MUFG Loan Partners, LLC (acting through Morgan Stanley Senior Funding, Inc. and MUFG Bank, Ltd. (f/k/a The Bank of Tokyo-Mitsubishi UFJ, Ltd.), Wells Fargo and Mizuho Bank, Ltd., as co-documentation agents (as it may be amended, restated, amended and restated, supplemented or otherwise modified from time to time).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“Rule 2.7” means Rule 2.7 of the Takeover Code.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“Rule 2.7 Announcement” means (in relation to a Scheme) a Scheme Press Release or (in relation to an Offer) an Offer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21</w:t>
      </w:r>
    </w:p>
    <w:p>
      <w:pPr>
        <w:spacing w:after="0" w:line="117"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ind w:right="180" w:firstLine="1297"/>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166"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 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“Scheduled Unavailability Date” has the meaning set forth in Section 3.03(b).</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“Scheme” means a scheme of arrangement made pursuant to Part 26 of the Companies Act between the Target and the holders of the Target shares in relation to the transfer of the entire issued share capital of the Target to Bidco (or another Subsidiary of Borrower) as contemplated by a Scheme Circular (as such Scheme Circular may be amended in accordance with the terms of this Agreement) as such Scheme may from time to time be amended, added to, revised, renewed or waived in accordance with this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“Scheme Circular” means any circular to the shareholders of the Target to be issued by the Target setting out the proposals for any Scheme.</w:t>
      </w:r>
    </w:p>
    <w:p>
      <w:pPr>
        <w:spacing w:after="0" w:line="248"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“Scheme Documents” means (a) any Scheme Press Release, (b) the Scheme Circular (if any) and (c) any other document designated in writing as such by Borrower and Administrative Agent.</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“Scheme Effective Date” means the date on which a copy of the High Court order sanctioning a Scheme is duly filed on behalf of the Target with the Registrar of Companies in accordance with section 899 of the Companies Act.</w:t>
      </w:r>
    </w:p>
    <w:p>
      <w:pPr>
        <w:spacing w:after="0" w:line="170"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“Scheme Press Release” means a press release to be issued by or on behalf of Borrower or the Target announcing, in compliance with Rule 2.7, a firm intention to make an offer which is to be implemented by means of a Scheme or, as the case may be, a switch to a Scheme in accordance with Section 8 of Appendix 7 of the Takeover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22</w:t>
      </w:r>
    </w:p>
    <w:p>
      <w:pPr>
        <w:spacing w:after="0" w:line="117"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“Significant Subsidiary” means (i) for so long as each shall remain a Guarantor hereunder, Comcast Cable and NBCU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“Sterling” and “£” means lawful money of the United Kingdom.</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“Takeover Code” means the City Code on Takeovers and Mergers (as amended) issued by the Panel.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means Sky plc, incorporated in England and Wales with registered number 02247735.</w:t>
      </w:r>
    </w:p>
    <w:p>
      <w:pPr>
        <w:spacing w:after="0" w:line="225" w:lineRule="exact"/>
        <w:rPr>
          <w:sz w:val="20"/>
          <w:szCs w:val="20"/>
          <w:color w:val="auto"/>
        </w:rPr>
      </w:pPr>
    </w:p>
    <w:p>
      <w:pPr>
        <w:jc w:val="both"/>
        <w:ind w:right="220" w:firstLine="1297"/>
        <w:spacing w:after="0" w:line="264" w:lineRule="auto"/>
        <w:rPr>
          <w:sz w:val="20"/>
          <w:szCs w:val="20"/>
          <w:color w:val="auto"/>
        </w:rPr>
      </w:pPr>
      <w:r>
        <w:rPr>
          <w:rFonts w:ascii="Arial" w:cs="Arial" w:eastAsia="Arial" w:hAnsi="Arial"/>
          <w:sz w:val="18"/>
          <w:szCs w:val="18"/>
          <w:color w:val="auto"/>
        </w:rPr>
        <w:t>“Target Acquisition” means the acquisition by Borrower or one of its Subsidiaries (which may include Bidco) of at least a majority of the share capital of the Target. For the avoidance of doubt, the Target Acquisition may, at Borrower’s election, involve acquisition of greater than a majority of the share capital of the Target and may be consummated in several stages.</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“Target Acquisition Certificate” means a certificate substantially in the form of Exhibit G, properly completed and signed by a Responsible Officer of Borrower.</w:t>
      </w:r>
    </w:p>
    <w:p>
      <w:pPr>
        <w:spacing w:after="0" w:line="170" w:lineRule="exact"/>
        <w:rPr>
          <w:sz w:val="20"/>
          <w:szCs w:val="20"/>
          <w:color w:val="auto"/>
        </w:rPr>
      </w:pPr>
    </w:p>
    <w:p>
      <w:pPr>
        <w:ind w:right="640" w:firstLine="1297"/>
        <w:spacing w:after="0" w:line="308" w:lineRule="auto"/>
        <w:rPr>
          <w:sz w:val="20"/>
          <w:szCs w:val="20"/>
          <w:color w:val="auto"/>
        </w:rPr>
      </w:pPr>
      <w:r>
        <w:rPr>
          <w:rFonts w:ascii="Arial" w:cs="Arial" w:eastAsia="Arial" w:hAnsi="Arial"/>
          <w:sz w:val="17"/>
          <w:szCs w:val="17"/>
          <w:color w:val="auto"/>
        </w:rPr>
        <w:t>“Target Acquisition Documents” means any Rule 2.7 Announcement, any Offer Documents, any Scheme Documents and any other document designated in writing by Borrower and Administrative Agent as a “Target Acquisition Document” from time to time.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“Target Group” means the Target and its Subsidiaries.</w:t>
      </w:r>
    </w:p>
    <w:p>
      <w:pPr>
        <w:spacing w:after="0" w:line="225" w:lineRule="exact"/>
        <w:rPr>
          <w:sz w:val="20"/>
          <w:szCs w:val="20"/>
          <w:color w:val="auto"/>
        </w:rPr>
      </w:pPr>
    </w:p>
    <w:p>
      <w:pPr>
        <w:ind w:right="580" w:firstLine="1297"/>
        <w:spacing w:after="0" w:line="308" w:lineRule="auto"/>
        <w:rPr>
          <w:sz w:val="20"/>
          <w:szCs w:val="20"/>
          <w:color w:val="auto"/>
        </w:rPr>
      </w:pPr>
      <w:r>
        <w:rPr>
          <w:rFonts w:ascii="Arial" w:cs="Arial" w:eastAsia="Arial" w:hAnsi="Arial"/>
          <w:sz w:val="17"/>
          <w:szCs w:val="17"/>
          <w:color w:val="auto"/>
        </w:rPr>
        <w:t>“Term Loan Credit Agreement” means that certain Term Loan Credit Agreement dated as of April 25, 2018, by and among Comcast Corporation, the lenders party thereto, Bank of America, as administrative agent, and Wells Fargo, as syndication agent.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“Transaction Costs” means all fees, costs and expenses incurred or payable by Borrower or any of its Subsidiaries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“Transactions” means, collectively, (a) the execution, delivery and performance by each Loan Party of the Loan Documents (including this Agreement) to which it is to be a party and any Borrowings hereunder (at any time), (b) the execution, delivery and performance by each Loan Party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0" w:name="page171"/>
    <w:bookmarkEnd w:id="170"/>
    <w:p>
      <w:pPr>
        <w:ind w:left="11240"/>
        <w:spacing w:after="0"/>
        <w:rPr>
          <w:sz w:val="20"/>
          <w:szCs w:val="20"/>
          <w:color w:val="auto"/>
        </w:rPr>
      </w:pPr>
      <w:r>
        <w:rPr>
          <w:rFonts w:ascii="Arial" w:cs="Arial" w:eastAsia="Arial" w:hAnsi="Arial"/>
          <w:sz w:val="16"/>
          <w:szCs w:val="16"/>
          <w:color w:val="auto"/>
        </w:rPr>
        <w:t>23</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Loan Documents (as defined in the Term Loan Credit Agreement) to which it is to be a party and the borrowing of the Loans (as defined in the Term Loan Credit Agreement) on the Initial Closing Date or at any time thereafter, (c) the execution, delivery and performance by each Loan Party of any amendments or modifications to the Revolving Credit Agreement undertaken in connection with the Target Acquisition and any other documents executed in connection with any such amendments or modifications, (d) any Permanent Financing transaction and/or the incurrence of any other interim financing for the Target Acquisition and any refinancing thereof, (e) the consummation of the Target Acquisition (including any acquisition of Target shares after the Initial Closing Date) and (f) the payment of the Transaction Costs.</w:t>
      </w:r>
    </w:p>
    <w:p>
      <w:pPr>
        <w:spacing w:after="0" w:line="193"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means Wells Fargo Bank, National Association.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“WFS” means Wells Fargo Securities LLC.</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Use of Certain Terms</w:t>
      </w:r>
      <w:r>
        <w:rPr>
          <w:rFonts w:ascii="Arial" w:cs="Arial" w:eastAsia="Arial" w:hAnsi="Arial"/>
          <w:sz w:val="16"/>
          <w:szCs w:val="16"/>
          <w:color w:val="auto"/>
        </w:rPr>
        <w:t>.</w:t>
      </w:r>
    </w:p>
    <w:p>
      <w:pPr>
        <w:spacing w:after="0" w:line="225" w:lineRule="exact"/>
        <w:rPr>
          <w:sz w:val="20"/>
          <w:szCs w:val="20"/>
          <w:color w:val="auto"/>
        </w:rPr>
      </w:pPr>
    </w:p>
    <w:p>
      <w:pPr>
        <w:ind w:left="260" w:right="360" w:firstLine="1288"/>
        <w:spacing w:after="0" w:line="277" w:lineRule="auto"/>
        <w:tabs>
          <w:tab w:leader="none" w:pos="206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include one another.</w:t>
      </w:r>
    </w:p>
    <w:p>
      <w:pPr>
        <w:spacing w:after="0" w:line="210" w:lineRule="exact"/>
        <w:rPr>
          <w:rFonts w:ascii="Arial" w:cs="Arial" w:eastAsia="Arial" w:hAnsi="Arial"/>
          <w:sz w:val="16"/>
          <w:szCs w:val="16"/>
          <w:color w:val="auto"/>
        </w:rPr>
      </w:pPr>
    </w:p>
    <w:p>
      <w:pPr>
        <w:ind w:left="260" w:firstLine="1288"/>
        <w:spacing w:after="0" w:line="312" w:lineRule="auto"/>
        <w:tabs>
          <w:tab w:leader="none" w:pos="206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2060" w:hanging="512"/>
        <w:spacing w:after="0"/>
        <w:tabs>
          <w:tab w:leader="none" w:pos="20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 (a) regardless of whether such any such notice is given before or after such change in GAAP or the application thereof, then such provision shall be interpreted on the basis of GAAP as in effect and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1" w:name="page172"/>
    <w:bookmarkEnd w:id="171"/>
    <w:p>
      <w:pPr>
        <w:ind w:left="11240"/>
        <w:spacing w:after="0"/>
        <w:rPr>
          <w:sz w:val="20"/>
          <w:szCs w:val="20"/>
          <w:color w:val="auto"/>
        </w:rPr>
      </w:pPr>
      <w:r>
        <w:rPr>
          <w:rFonts w:ascii="Arial" w:cs="Arial" w:eastAsia="Arial" w:hAnsi="Arial"/>
          <w:sz w:val="16"/>
          <w:szCs w:val="16"/>
          <w:color w:val="auto"/>
        </w:rPr>
        <w:t>24</w:t>
      </w:r>
    </w:p>
    <w:p>
      <w:pPr>
        <w:spacing w:after="0" w:line="1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88"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73" w:lineRule="exact"/>
        <w:rPr>
          <w:sz w:val="20"/>
          <w:szCs w:val="20"/>
          <w:color w:val="auto"/>
        </w:rPr>
      </w:pPr>
    </w:p>
    <w:p>
      <w:pPr>
        <w:jc w:val="both"/>
        <w:ind w:right="180" w:firstLine="1297"/>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87"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Pro Forma Calculations</w:t>
      </w:r>
      <w:r>
        <w:rPr>
          <w:rFonts w:ascii="Arial" w:cs="Arial" w:eastAsia="Arial" w:hAnsi="Arial"/>
          <w:sz w:val="18"/>
          <w:szCs w:val="18"/>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25</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88" w:lineRule="exact"/>
        <w:rPr>
          <w:sz w:val="20"/>
          <w:szCs w:val="20"/>
          <w:color w:val="auto"/>
        </w:rPr>
      </w:pPr>
    </w:p>
    <w:p>
      <w:pPr>
        <w:jc w:val="both"/>
        <w:ind w:right="80" w:firstLine="1297"/>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Rates</w:t>
      </w:r>
      <w:r>
        <w:rPr>
          <w:rFonts w:ascii="Arial" w:cs="Arial" w:eastAsia="Arial" w:hAnsi="Arial"/>
          <w:sz w:val="18"/>
          <w:szCs w:val="18"/>
          <w:color w:val="auto"/>
        </w:rPr>
        <w:t xml:space="preserv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liability arising out of the bad faith, willful misconduct or gross negligence of the Administrative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COMMITMENTS AND EXTENSIONS OF CREDIT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Amount and Terms of Commitments</w:t>
      </w:r>
      <w:r>
        <w:rPr>
          <w:rFonts w:ascii="Arial" w:cs="Arial" w:eastAsia="Arial" w:hAnsi="Arial"/>
          <w:sz w:val="16"/>
          <w:szCs w:val="16"/>
          <w:color w:val="auto"/>
        </w:rPr>
        <w:t>.</w:t>
      </w:r>
    </w:p>
    <w:p>
      <w:pPr>
        <w:spacing w:after="0" w:line="225" w:lineRule="exact"/>
        <w:rPr>
          <w:sz w:val="20"/>
          <w:szCs w:val="20"/>
          <w:color w:val="auto"/>
        </w:rPr>
      </w:pPr>
    </w:p>
    <w:p>
      <w:pPr>
        <w:ind w:left="260" w:right="40" w:firstLine="1288"/>
        <w:spacing w:after="0" w:line="279" w:lineRule="auto"/>
        <w:tabs>
          <w:tab w:leader="none" w:pos="207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Subject to the terms and conditions set forth in this Agreement, during the Certain Funds Period and prior to the Maturity Date, each Lender severally agrees to make and Continue loans (each such loan, a “Loan”) in Sterling to the Borrower in an aggregate amount not to exceed such Lender’s Commitment at such time. Loans borrowed pursuant to this Section 2.01(a) and repaid or prepaid may not be reborrowed. Upon the making of any Loan by a Lender, such Lender’s Commitment shall be permanently reduced by the principal amount of such Loan.</w:t>
      </w:r>
    </w:p>
    <w:p>
      <w:pPr>
        <w:spacing w:after="0" w:line="171" w:lineRule="exact"/>
        <w:rPr>
          <w:rFonts w:ascii="Arial" w:cs="Arial" w:eastAsia="Arial" w:hAnsi="Arial"/>
          <w:sz w:val="17"/>
          <w:szCs w:val="17"/>
          <w:color w:val="auto"/>
        </w:rPr>
      </w:pPr>
    </w:p>
    <w:p>
      <w:pPr>
        <w:ind w:left="260" w:right="80" w:firstLine="1288"/>
        <w:spacing w:after="0" w:line="259" w:lineRule="auto"/>
        <w:tabs>
          <w:tab w:leader="none" w:pos="20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Notwithstanding the foregoing, the Loans hereunder shall be available to be drawn on no more than three occasions (in the aggregate) during the Certain Funds Period; provided that in the event that any Lender shall have failed to make any Loan required to be made by it under Section 2.01, and the Borrower shall request an additional borrowing of Loans, the Borrower shall not be deemed to have requested an additional Borrowing.</w:t>
      </w:r>
    </w:p>
    <w:p>
      <w:pPr>
        <w:spacing w:after="0" w:line="18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Procedure for Borrowings</w:t>
      </w:r>
      <w:r>
        <w:rPr>
          <w:rFonts w:ascii="Arial" w:cs="Arial" w:eastAsia="Arial" w:hAnsi="Arial"/>
          <w:sz w:val="16"/>
          <w:szCs w:val="16"/>
          <w:color w:val="auto"/>
        </w:rPr>
        <w:t>.</w:t>
      </w:r>
    </w:p>
    <w:p>
      <w:pPr>
        <w:spacing w:after="0" w:line="225" w:lineRule="exact"/>
        <w:rPr>
          <w:sz w:val="20"/>
          <w:szCs w:val="20"/>
          <w:color w:val="auto"/>
        </w:rPr>
      </w:pPr>
    </w:p>
    <w:p>
      <w:pPr>
        <w:jc w:val="both"/>
        <w:ind w:left="260" w:right="220" w:firstLine="1288"/>
        <w:spacing w:after="0" w:line="264" w:lineRule="auto"/>
        <w:tabs>
          <w:tab w:leader="none" w:pos="20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Borrower may request a Borrowing of Loans in a Minimum Amount therefor by (A) telephone, or (B) delivering a Request for Extension of Credit therefor by Requisite Notice to Administrative Agent not later than the Requisite Time therefor; provided that any telephonic notice must be confirmed immediately by delivery to the Administrative Agent of a Request for Extension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3" w:name="page174"/>
    <w:bookmarkEnd w:id="173"/>
    <w:p>
      <w:pPr>
        <w:ind w:left="10980"/>
        <w:spacing w:after="0"/>
        <w:rPr>
          <w:sz w:val="20"/>
          <w:szCs w:val="20"/>
          <w:color w:val="auto"/>
        </w:rPr>
      </w:pPr>
      <w:r>
        <w:rPr>
          <w:rFonts w:ascii="Arial" w:cs="Arial" w:eastAsia="Arial" w:hAnsi="Arial"/>
          <w:sz w:val="16"/>
          <w:szCs w:val="16"/>
          <w:color w:val="auto"/>
        </w:rPr>
        <w:t>26</w:t>
      </w:r>
    </w:p>
    <w:p>
      <w:pPr>
        <w:spacing w:after="0" w:line="1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Credit. All Borrowings shall constitute Eurodollar Rate Loans. Requests for Borrowings may be made contingent on the closing of the Target Acquisition (or a portion of the Target Acquisition).</w:t>
      </w:r>
    </w:p>
    <w:p>
      <w:pPr>
        <w:spacing w:after="0" w:line="170" w:lineRule="exact"/>
        <w:rPr>
          <w:sz w:val="20"/>
          <w:szCs w:val="20"/>
          <w:color w:val="auto"/>
        </w:rPr>
      </w:pPr>
    </w:p>
    <w:p>
      <w:pPr>
        <w:ind w:right="80" w:firstLine="1288"/>
        <w:spacing w:after="0" w:line="302" w:lineRule="auto"/>
        <w:tabs>
          <w:tab w:leader="none" w:pos="182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Following receipt of a Request for Extension of Credit, Administrative Agent shall promptly notify each Lender by Requisite Notice of its Applicable Percentage thereof. Each Lender (subject to clause (d) below) shall make the funds for its Loan available to Administrative Agent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54" w:lineRule="exact"/>
        <w:rPr>
          <w:rFonts w:ascii="Arial" w:cs="Arial" w:eastAsia="Arial" w:hAnsi="Arial"/>
          <w:sz w:val="16"/>
          <w:szCs w:val="16"/>
          <w:color w:val="auto"/>
        </w:rPr>
      </w:pPr>
    </w:p>
    <w:p>
      <w:pPr>
        <w:ind w:right="160" w:firstLine="1288"/>
        <w:spacing w:after="0" w:line="312" w:lineRule="auto"/>
        <w:tabs>
          <w:tab w:leader="none" w:pos="180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failure of any Lender to make any Loan on any date shall not relieve any other Lender of any obligation to make a Loan on such date, but the Commitments of the Lenders are several and no Lender shall be responsible for the failure of any other Lender to so make its Loan. Borrower shall have the right to replace any Lender which fails to make a Loan when obligated to do so in accordance with Section 10.21.</w:t>
      </w:r>
    </w:p>
    <w:p>
      <w:pPr>
        <w:spacing w:after="0" w:line="146" w:lineRule="exact"/>
        <w:rPr>
          <w:rFonts w:ascii="Arial" w:cs="Arial" w:eastAsia="Arial" w:hAnsi="Arial"/>
          <w:sz w:val="16"/>
          <w:szCs w:val="16"/>
          <w:color w:val="auto"/>
        </w:rPr>
      </w:pPr>
    </w:p>
    <w:p>
      <w:pPr>
        <w:ind w:right="120" w:firstLine="1288"/>
        <w:spacing w:after="0" w:line="302" w:lineRule="auto"/>
        <w:tabs>
          <w:tab w:leader="none" w:pos="182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Each Lender may, at its option, make any Loan available to Borrower by causing any foreign or domestic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Borrower to repay such Loan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54"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Reduction or Termination of Commitments</w:t>
      </w:r>
      <w:r>
        <w:rPr>
          <w:rFonts w:ascii="Arial" w:cs="Arial" w:eastAsia="Arial" w:hAnsi="Arial"/>
          <w:sz w:val="16"/>
          <w:szCs w:val="16"/>
          <w:color w:val="auto"/>
        </w:rPr>
        <w:t>.</w:t>
      </w:r>
    </w:p>
    <w:p>
      <w:pPr>
        <w:spacing w:after="0" w:line="225" w:lineRule="exact"/>
        <w:rPr>
          <w:sz w:val="20"/>
          <w:szCs w:val="20"/>
          <w:color w:val="auto"/>
        </w:rPr>
      </w:pPr>
    </w:p>
    <w:p>
      <w:pPr>
        <w:ind w:right="20" w:firstLine="1288"/>
        <w:spacing w:after="0" w:line="272" w:lineRule="auto"/>
        <w:tabs>
          <w:tab w:leader="none" w:pos="181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Upon Requisite Notice to Administrative Agent not later than the Requisite Time therefor, Borrower may at any time and from time to time, without premium or penalty, permanently and irrevocably reduce or terminate any of the Commitments. Any such Requisite Notice may state that such Requisite Notice is conditioned on the effectiveness of other credit facilities or other financing transactions, in which case such Requisite Notice may be revoked by Borrower (by written notice to Administrative Agent on or prior to the specified effective time) if such condition is not satisfied. Any such reduction or termination shall be accompanied by payment of all accrued and unpaid commitment fees with respect to the portion of the Commitments being reduced or terminated. Administrative Agent shall promptly notify Lenders of any such request for reduction or termination of the Commitments. Each Lender’s Commitment shall be reduced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by the amount of such reduction.</w:t>
      </w:r>
    </w:p>
    <w:p>
      <w:pPr>
        <w:spacing w:after="0" w:line="177" w:lineRule="exact"/>
        <w:rPr>
          <w:rFonts w:ascii="Arial" w:cs="Arial" w:eastAsia="Arial" w:hAnsi="Arial"/>
          <w:sz w:val="17"/>
          <w:szCs w:val="17"/>
          <w:color w:val="auto"/>
        </w:rPr>
      </w:pPr>
    </w:p>
    <w:p>
      <w:pPr>
        <w:ind w:right="20" w:firstLine="1288"/>
        <w:spacing w:after="0" w:line="293" w:lineRule="auto"/>
        <w:tabs>
          <w:tab w:leader="none" w:pos="182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Subject to Section 2.05(c) below, the Commitments then outstanding shall be automatically and permanently reduced in an amount equal to (i) 100% of the Net Cash Proceeds actually received by Borrower in connection with any Equity Issuance, (ii) 100% of the Net Cash Proceeds actually received by Borrower or any of its Domestic Restricted Subsidiaries in connection with any Debt Issuance or (iii) 100% of the Net Cash Proceeds actually received by Borrower or any of its Domestic Restricted Subsidiaries in connection with any Asset Sale; provided that if Borrower or any of its Domestic Restricted Subsidiaries receives proceeds that would otherwise constitute Net Cash Proceeds from an Asset Sale, Borrower or such Domestic Restricted Subsidiary may reinvest any portion of such proceeds in the business of Borrower or any of its Subsidiaries and, in such case,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336550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27</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proceeds shall only constitute Net Cash Proceeds to the extent not so reinvested (or committed to be reinvested) within the 180-day period following receipt of such proceeds.</w:t>
      </w:r>
    </w:p>
    <w:p>
      <w:pPr>
        <w:spacing w:after="0" w:line="170" w:lineRule="exact"/>
        <w:rPr>
          <w:sz w:val="20"/>
          <w:szCs w:val="20"/>
          <w:color w:val="auto"/>
        </w:rPr>
      </w:pPr>
    </w:p>
    <w:p>
      <w:pPr>
        <w:ind w:right="100" w:firstLine="1288"/>
        <w:spacing w:after="0" w:line="264" w:lineRule="auto"/>
        <w:tabs>
          <w:tab w:leader="none" w:pos="180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Net Cash Proceeds contemplated to be applied to reduce the Commitments pursuant to Section 2.05(b) above shall first be applied to prepay the outstanding Loans, if any, pursuant to Section 2.06(b) until the amount of Loans outstanding is $0, and any remaining amounts shall be applied to reduce the Commitments pursuant to Section 2.05(b).</w:t>
      </w:r>
    </w:p>
    <w:p>
      <w:pPr>
        <w:spacing w:after="0" w:line="181" w:lineRule="exact"/>
        <w:rPr>
          <w:rFonts w:ascii="Arial" w:cs="Arial" w:eastAsia="Arial" w:hAnsi="Arial"/>
          <w:sz w:val="18"/>
          <w:szCs w:val="18"/>
          <w:color w:val="auto"/>
        </w:rPr>
      </w:pPr>
    </w:p>
    <w:p>
      <w:pPr>
        <w:ind w:right="220" w:firstLine="1288"/>
        <w:spacing w:after="0" w:line="264" w:lineRule="auto"/>
        <w:tabs>
          <w:tab w:leader="none" w:pos="18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Unless previously terminated, the Commitments shall permanently terminate in full at 11:59 p.m. (New York City time) on the earlier of (i) the Maturity Date and (ii) the Certain Funds Termination Date (after giving effect to any Borrowings made or to be made on the Certain Funds Termination Date).</w:t>
      </w:r>
    </w:p>
    <w:p>
      <w:pPr>
        <w:spacing w:after="0" w:line="18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u w:val="single" w:color="auto"/>
          <w:color w:val="auto"/>
        </w:rPr>
        <w:t>Prepayments and Repayments of Loans</w:t>
      </w:r>
      <w:r>
        <w:rPr>
          <w:rFonts w:ascii="Arial" w:cs="Arial" w:eastAsia="Arial" w:hAnsi="Arial"/>
          <w:sz w:val="15"/>
          <w:szCs w:val="15"/>
          <w:color w:val="auto"/>
        </w:rPr>
        <w:t>.</w:t>
      </w:r>
    </w:p>
    <w:p>
      <w:pPr>
        <w:spacing w:after="0" w:line="225" w:lineRule="exact"/>
        <w:rPr>
          <w:sz w:val="20"/>
          <w:szCs w:val="20"/>
          <w:color w:val="auto"/>
        </w:rPr>
      </w:pPr>
    </w:p>
    <w:p>
      <w:pPr>
        <w:ind w:right="20" w:firstLine="1288"/>
        <w:spacing w:after="0" w:line="272" w:lineRule="auto"/>
        <w:tabs>
          <w:tab w:leader="none" w:pos="18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Upon Requisite Notice to Administrative Agent not later than the Requisite Time therefor, Borrower may at any time and from time to time voluntarily prepay Loans made to it in part in the Minimum Amount therefor or in full without premium or penalty. Administrative Agent will promptly notify each relevant Lender thereof and of such Lender’s percentage of such prepayment. Any such Requisite Notice may state that such Requisite Notice is conditioned on the consummation of any portion of the Target Acquisition or any other transaction, including the establishment of other credit facilities or the consummation of any other financing transactions, in which case such Requisite Notice may be revoked by Borrower (by written notice to Administrative Agent on or prior to the specified effective time) if such condition is not satisfied. Any prepayment of a Eurodollar Rate Loan shall be accompanied by all accrued interest thereon, together with the costs set forth in Section 3.05.</w:t>
      </w:r>
    </w:p>
    <w:p>
      <w:pPr>
        <w:spacing w:after="0" w:line="177" w:lineRule="exact"/>
        <w:rPr>
          <w:rFonts w:ascii="Arial" w:cs="Arial" w:eastAsia="Arial" w:hAnsi="Arial"/>
          <w:sz w:val="17"/>
          <w:szCs w:val="17"/>
          <w:color w:val="auto"/>
        </w:rPr>
      </w:pPr>
    </w:p>
    <w:p>
      <w:pPr>
        <w:ind w:firstLine="1288"/>
        <w:spacing w:after="0" w:line="270" w:lineRule="auto"/>
        <w:tabs>
          <w:tab w:leader="none" w:pos="181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Within five Business Days of Borrower’s receipt of any Net Cash Proceeds on or after the Initial Closing Date, Borrower shall prepay the Loans in an aggregate amount equal to (i) 100% of the Net Cash Proceeds actually received by Borrower in connection with any Equity Issuance, (ii) 100% of the Net Cash Proceeds actually received by Borrower or any of its Domestic Restricted Subsidiaries in connection with any Debt Issuance or (iii) 100% of the Net Cash Proceeds actually received by Borrower or any of its Domestic Restricted Subsidiaries in connection with any Asset Sale; provided that if Borrower or any of its Domestic Restricted Subsidiaries receives proceeds that would otherwise constitute Net Cash Proceeds from an Asset Sale, Borrower or such Domestic Restricted Subsidiary may reinvest any portion of such proceeds in the business of Borrower or any of its Subsidiaries and, in such case, such proceeds shall only constitute Net Cash Proceeds to the extent not so reinvested (or committed to be reinvested) within the 180-day period following receipt of such proceeds. Any prepayment of a Loan shall be accompanied by all accrued interest on the amount prepaid, together with any additional amounts required to be paid pursuant to Section 3.05. Any Loans that are prepaid pursuant to this Section 2.06(b) may not be reborrowed.</w:t>
      </w:r>
    </w:p>
    <w:p>
      <w:pPr>
        <w:spacing w:after="0" w:line="177" w:lineRule="exact"/>
        <w:rPr>
          <w:rFonts w:ascii="Arial" w:cs="Arial" w:eastAsia="Arial" w:hAnsi="Arial"/>
          <w:sz w:val="17"/>
          <w:szCs w:val="17"/>
          <w:color w:val="auto"/>
        </w:rPr>
      </w:pPr>
    </w:p>
    <w:p>
      <w:pPr>
        <w:ind w:right="80" w:firstLine="1288"/>
        <w:spacing w:after="0" w:line="277" w:lineRule="auto"/>
        <w:tabs>
          <w:tab w:leader="none" w:pos="181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Borrower shall pay to Administrative Agent for the ratable account of each Lender, on the Maturity Date, the aggregate principal amount of the Loans then outstanding.</w:t>
      </w:r>
    </w:p>
    <w:p>
      <w:pPr>
        <w:spacing w:after="0" w:line="170" w:lineRule="exact"/>
        <w:rPr>
          <w:rFonts w:ascii="Arial" w:cs="Arial" w:eastAsia="Arial" w:hAnsi="Arial"/>
          <w:sz w:val="18"/>
          <w:szCs w:val="18"/>
          <w:color w:val="auto"/>
        </w:rPr>
      </w:pPr>
    </w:p>
    <w:p>
      <w:pPr>
        <w:ind w:left="1820" w:hanging="532"/>
        <w:spacing w:after="0"/>
        <w:tabs>
          <w:tab w:leader="none" w:pos="18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prepayment and repayment of Loans by Borrower pursuant to this Section 2.06 shall be made in the same currency in which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Loans were made.</w:t>
      </w:r>
    </w:p>
    <w:p>
      <w:pPr>
        <w:spacing w:after="0" w:line="21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u w:val="single" w:color="auto"/>
          <w:color w:val="auto"/>
        </w:rPr>
        <w:t>Documentation of Loans</w:t>
      </w:r>
      <w:r>
        <w:rPr>
          <w:rFonts w:ascii="Arial" w:cs="Arial" w:eastAsia="Arial" w:hAnsi="Arial"/>
          <w:sz w:val="16"/>
          <w:szCs w:val="16"/>
          <w:color w:val="auto"/>
        </w:rPr>
        <w:t>.</w:t>
      </w:r>
    </w:p>
    <w:p>
      <w:pPr>
        <w:spacing w:after="0" w:line="225" w:lineRule="exact"/>
        <w:rPr>
          <w:sz w:val="20"/>
          <w:szCs w:val="20"/>
          <w:color w:val="auto"/>
        </w:rPr>
      </w:pPr>
    </w:p>
    <w:p>
      <w:pPr>
        <w:ind w:right="140" w:firstLine="1288"/>
        <w:spacing w:after="0" w:line="277" w:lineRule="auto"/>
        <w:tabs>
          <w:tab w:leader="none" w:pos="18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340360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28</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81" w:lineRule="exact"/>
        <w:rPr>
          <w:sz w:val="20"/>
          <w:szCs w:val="20"/>
          <w:color w:val="auto"/>
        </w:rPr>
      </w:pPr>
    </w:p>
    <w:p>
      <w:pPr>
        <w:ind w:right="80" w:firstLine="1288"/>
        <w:spacing w:after="0" w:line="297" w:lineRule="auto"/>
        <w:tabs>
          <w:tab w:leader="none" w:pos="18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58" w:lineRule="exact"/>
        <w:rPr>
          <w:rFonts w:ascii="Arial" w:cs="Arial" w:eastAsia="Arial" w:hAnsi="Arial"/>
          <w:sz w:val="16"/>
          <w:szCs w:val="16"/>
          <w:color w:val="auto"/>
        </w:rPr>
      </w:pPr>
    </w:p>
    <w:p>
      <w:pPr>
        <w:jc w:val="both"/>
        <w:ind w:right="620" w:firstLine="1288"/>
        <w:spacing w:after="0" w:line="342" w:lineRule="auto"/>
        <w:tabs>
          <w:tab w:leader="none" w:pos="180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Administrative Agent shall record in the Register the Commitment and Loans from time to time of each Lender, and each repayment or prepayment in respect thereof. Any recordation shall be conclusive and binding on Borrower and each Lender, absent manifest error.</w:t>
      </w:r>
    </w:p>
    <w:p>
      <w:pPr>
        <w:spacing w:after="0" w:line="123" w:lineRule="exact"/>
        <w:rPr>
          <w:rFonts w:ascii="Arial" w:cs="Arial" w:eastAsia="Arial" w:hAnsi="Arial"/>
          <w:sz w:val="16"/>
          <w:szCs w:val="16"/>
          <w:color w:val="auto"/>
        </w:rPr>
      </w:pPr>
    </w:p>
    <w:p>
      <w:pPr>
        <w:ind w:right="180" w:firstLine="1288"/>
        <w:spacing w:after="0" w:line="279" w:lineRule="auto"/>
        <w:tabs>
          <w:tab w:leader="none" w:pos="182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Each Lender shall record on its internal loan accounts or records (and may record on the Note(s) held by such Lender) the amount of each Loan made by it and each payment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make any such recordation, or any error in such recordation, shall not affect any Lender’s Commitment or Outstanding Obligations; and provided, further, that in the event of any inconsistency between the Register and any Lender’s records, the recordations in the Register shall govern, absent manifest error.</w:t>
      </w:r>
    </w:p>
    <w:p>
      <w:pPr>
        <w:spacing w:after="0" w:line="171" w:lineRule="exact"/>
        <w:rPr>
          <w:rFonts w:ascii="Arial" w:cs="Arial" w:eastAsia="Arial" w:hAnsi="Arial"/>
          <w:sz w:val="17"/>
          <w:szCs w:val="17"/>
          <w:color w:val="auto"/>
        </w:rPr>
      </w:pPr>
    </w:p>
    <w:p>
      <w:pPr>
        <w:ind w:right="40" w:firstLine="1288"/>
        <w:spacing w:after="0" w:line="291" w:lineRule="auto"/>
        <w:tabs>
          <w:tab w:leader="none" w:pos="18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Borrower, Administrative Agent and Lenders shall deem and treat the Persons listed as Lenders in the Register as the holders of the corresponding Commitments and Extensions of Credit listed therein for all purposes hereof, and no assignment or transfer of any such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Commitment or Outstanding Obligations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Outstanding Obligations.</w:t>
      </w:r>
    </w:p>
    <w:p>
      <w:pPr>
        <w:spacing w:after="0" w:line="167"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Continuation Option</w:t>
      </w:r>
      <w:r>
        <w:rPr>
          <w:rFonts w:ascii="Arial" w:cs="Arial" w:eastAsia="Arial" w:hAnsi="Arial"/>
          <w:sz w:val="16"/>
          <w:szCs w:val="16"/>
          <w:color w:val="auto"/>
        </w:rPr>
        <w:t>.</w:t>
      </w:r>
    </w:p>
    <w:p>
      <w:pPr>
        <w:spacing w:after="0" w:line="225" w:lineRule="exact"/>
        <w:rPr>
          <w:sz w:val="20"/>
          <w:szCs w:val="20"/>
          <w:color w:val="auto"/>
        </w:rPr>
      </w:pPr>
    </w:p>
    <w:p>
      <w:pPr>
        <w:ind w:right="80" w:firstLine="1288"/>
        <w:spacing w:after="0" w:line="277" w:lineRule="auto"/>
        <w:tabs>
          <w:tab w:leader="none" w:pos="18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Borrower may irrevocably request a Continuation of Loans on any Business Day in a Minimum Amount therefor by delivering a Request for Extension of Credit therefor by Requisite Notice to Administrative Agent not later than the Requisite Time therefor.</w:t>
      </w:r>
    </w:p>
    <w:p>
      <w:pPr>
        <w:spacing w:after="0" w:line="170" w:lineRule="exact"/>
        <w:rPr>
          <w:rFonts w:ascii="Arial" w:cs="Arial" w:eastAsia="Arial" w:hAnsi="Arial"/>
          <w:sz w:val="18"/>
          <w:szCs w:val="18"/>
          <w:color w:val="auto"/>
        </w:rPr>
      </w:pPr>
    </w:p>
    <w:p>
      <w:pPr>
        <w:ind w:right="80" w:firstLine="1288"/>
        <w:spacing w:after="0" w:line="277" w:lineRule="auto"/>
        <w:tabs>
          <w:tab w:leader="none" w:pos="182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Unless Borrower pays all amounts due under Section 3.05, if any, a Eurodollar Rate Loan may be Continued only on the last day of the Interest Period for such Eurodollar Rate Loan.</w:t>
      </w:r>
    </w:p>
    <w:p>
      <w:pPr>
        <w:spacing w:after="0" w:line="170" w:lineRule="exact"/>
        <w:rPr>
          <w:rFonts w:ascii="Arial" w:cs="Arial" w:eastAsia="Arial" w:hAnsi="Arial"/>
          <w:sz w:val="18"/>
          <w:szCs w:val="18"/>
          <w:color w:val="auto"/>
        </w:rPr>
      </w:pPr>
    </w:p>
    <w:p>
      <w:pPr>
        <w:ind w:right="360" w:firstLine="1288"/>
        <w:spacing w:after="0" w:line="277" w:lineRule="auto"/>
        <w:tabs>
          <w:tab w:leader="none" w:pos="18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and Lenders of the interest rate applicable to any Eurodollar Rate Loan upon determination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340360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29</w:t>
      </w:r>
    </w:p>
    <w:p>
      <w:pPr>
        <w:spacing w:after="0" w:line="11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260" w:right="20" w:firstLine="1288"/>
        <w:spacing w:after="0" w:line="257" w:lineRule="auto"/>
        <w:tabs>
          <w:tab w:leader="none" w:pos="20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 the Eurodollar Rate for the Interest Period in effect for such Borrowing plus the Applicable Amount.</w:t>
      </w:r>
    </w:p>
    <w:p>
      <w:pPr>
        <w:spacing w:after="0" w:line="188" w:lineRule="exact"/>
        <w:rPr>
          <w:rFonts w:ascii="Arial" w:cs="Arial" w:eastAsia="Arial" w:hAnsi="Arial"/>
          <w:sz w:val="18"/>
          <w:szCs w:val="18"/>
          <w:color w:val="auto"/>
        </w:rPr>
      </w:pPr>
    </w:p>
    <w:p>
      <w:pPr>
        <w:ind w:left="260" w:right="160" w:firstLine="1288"/>
        <w:spacing w:after="0" w:line="279" w:lineRule="auto"/>
        <w:tabs>
          <w:tab w:leader="none" w:pos="208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71" w:lineRule="exact"/>
        <w:rPr>
          <w:rFonts w:ascii="Arial" w:cs="Arial" w:eastAsia="Arial" w:hAnsi="Arial"/>
          <w:sz w:val="17"/>
          <w:szCs w:val="17"/>
          <w:color w:val="auto"/>
        </w:rPr>
      </w:pPr>
    </w:p>
    <w:p>
      <w:pPr>
        <w:ind w:left="260" w:right="220" w:firstLine="1288"/>
        <w:spacing w:after="0" w:line="277" w:lineRule="auto"/>
        <w:tabs>
          <w:tab w:leader="none" w:pos="20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any Business Day, Borrower may call Administrative Agent and request information as to the then current Eurodollar Rate, and Administrative Agent shall provide such information.</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left="260" w:right="100" w:firstLine="1288"/>
        <w:spacing w:after="0" w:line="293" w:lineRule="auto"/>
        <w:tabs>
          <w:tab w:leader="none" w:pos="207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Borrower shall pay to Administrative Agent, for the account of each Lender pro rata according to its Applicable Percentage, a commitment fee equal to the Applicable Amount times the average daily amount of such Lender’s Commitment then outstanding, subject to adjustment as set forth in Section 2.14(a). The commitment fee shall accrue at all times from and including the date that is 45 days after the Effective Date until (and shall be due and payable on) the earlier of (x) with respect to any Commitments, the date on which such Commitments have terminated, including pursuant to any Borrowing or otherwise in accordance with Section 2.05 and (y) the Certain Funds Termination Date. The commitment fee shall accrue at all applicable times, including at any time during which one or more conditions in Section 4 are not met.</w:t>
      </w:r>
    </w:p>
    <w:p>
      <w:pPr>
        <w:spacing w:after="0" w:line="164" w:lineRule="exact"/>
        <w:rPr>
          <w:rFonts w:ascii="Arial" w:cs="Arial" w:eastAsia="Arial" w:hAnsi="Arial"/>
          <w:sz w:val="16"/>
          <w:szCs w:val="16"/>
          <w:color w:val="auto"/>
        </w:rPr>
      </w:pPr>
    </w:p>
    <w:p>
      <w:pPr>
        <w:ind w:left="260" w:right="20" w:firstLine="1288"/>
        <w:spacing w:after="0" w:line="272" w:lineRule="auto"/>
        <w:tabs>
          <w:tab w:leader="none" w:pos="2081"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Duration Fees</w:t>
      </w:r>
      <w:r>
        <w:rPr>
          <w:rFonts w:ascii="Arial" w:cs="Arial" w:eastAsia="Arial" w:hAnsi="Arial"/>
          <w:sz w:val="17"/>
          <w:szCs w:val="17"/>
          <w:color w:val="auto"/>
        </w:rPr>
        <w:t>. Borrower agrees to pay to the Administrative Agent for the account of each Lender a duration fee in an amount equal to (i) 0.50% of the aggregate principal amount of the Loans of such Lender outstanding on the date which is ninety (90) days after the Initial Closing Date, due and payable on such 90th day (or if such day is not a Business Day, the next succeeding Business Day); (ii) 0.75% of the aggregate principal amount of the Loans of such Lender outstanding on the date which is one hundred eighty (180) days after the Initial Closing Date, due and payable on such 180th day (or if such day is not a Business Day, the next succeeding Business Day), and (iii) 1.00% of the aggregate principal amount of the Loans of such Lender outstanding on the date which is two hundred seventy (270) days after the Initial Closing Date, due and payable on such 270th day (or if such day is not a Business Day, the next succeeding Business Day).</w:t>
      </w:r>
    </w:p>
    <w:p>
      <w:pPr>
        <w:spacing w:after="0" w:line="177" w:lineRule="exact"/>
        <w:rPr>
          <w:rFonts w:ascii="Arial" w:cs="Arial" w:eastAsia="Arial" w:hAnsi="Arial"/>
          <w:sz w:val="17"/>
          <w:szCs w:val="17"/>
          <w:color w:val="auto"/>
        </w:rPr>
      </w:pPr>
    </w:p>
    <w:p>
      <w:pPr>
        <w:ind w:left="260" w:right="100" w:firstLine="1288"/>
        <w:spacing w:after="0" w:line="308" w:lineRule="auto"/>
        <w:tabs>
          <w:tab w:leader="none" w:pos="2071"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Other Fees</w:t>
      </w:r>
      <w:r>
        <w:rPr>
          <w:rFonts w:ascii="Arial" w:cs="Arial" w:eastAsia="Arial" w:hAnsi="Arial"/>
          <w:sz w:val="17"/>
          <w:szCs w:val="17"/>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47"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Computation of interest and all fees shall be calculated on the basis of a year of 360 days or, in the case of any amounts denominated in Sterling, 365 days and the actual number of days elapsed. Interest shall accrue on each Loan for the day on which the Loan is made, and shall not accrue on a Loan, or any portion thereof, for the day on which the Loan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Making Payments</w:t>
      </w:r>
      <w:r>
        <w:rPr>
          <w:rFonts w:ascii="Arial" w:cs="Arial" w:eastAsia="Arial" w:hAnsi="Arial"/>
          <w:sz w:val="16"/>
          <w:szCs w:val="16"/>
          <w:color w:val="auto"/>
        </w:rPr>
        <w:t>.</w:t>
      </w:r>
    </w:p>
    <w:p>
      <w:pPr>
        <w:spacing w:after="0" w:line="225" w:lineRule="exact"/>
        <w:rPr>
          <w:sz w:val="20"/>
          <w:szCs w:val="20"/>
          <w:color w:val="auto"/>
        </w:rPr>
      </w:pPr>
    </w:p>
    <w:p>
      <w:pPr>
        <w:ind w:left="260" w:right="120" w:firstLine="1288"/>
        <w:spacing w:after="0" w:line="273" w:lineRule="auto"/>
        <w:tabs>
          <w:tab w:leader="none" w:pos="207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Sterling. All fees due hereunder (excluding fees pursuant to Section 2.10(a)) shall be payable in Dollars. All fees due pursuant to Section 2.10(a) shall be payable in Sterling. All payments by Borrower shall be made without condition or deduction for any counterclaim, defense, recoupment or setoff.</w:t>
      </w:r>
    </w:p>
    <w:p>
      <w:pPr>
        <w:spacing w:after="0" w:line="178" w:lineRule="exact"/>
        <w:rPr>
          <w:rFonts w:ascii="Arial" w:cs="Arial" w:eastAsia="Arial" w:hAnsi="Arial"/>
          <w:sz w:val="17"/>
          <w:szCs w:val="17"/>
          <w:color w:val="auto"/>
        </w:rPr>
      </w:pPr>
    </w:p>
    <w:p>
      <w:pPr>
        <w:ind w:left="260" w:right="100" w:firstLine="1288"/>
        <w:spacing w:after="0" w:line="257" w:lineRule="auto"/>
        <w:tabs>
          <w:tab w:leader="none" w:pos="208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88" w:lineRule="exact"/>
        <w:rPr>
          <w:rFonts w:ascii="Arial" w:cs="Arial" w:eastAsia="Arial" w:hAnsi="Arial"/>
          <w:sz w:val="18"/>
          <w:szCs w:val="18"/>
          <w:color w:val="auto"/>
        </w:rPr>
      </w:pPr>
    </w:p>
    <w:p>
      <w:pPr>
        <w:ind w:left="260" w:right="200" w:firstLine="1288"/>
        <w:spacing w:after="0" w:line="264" w:lineRule="auto"/>
        <w:tabs>
          <w:tab w:leader="none" w:pos="20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81" w:lineRule="exact"/>
        <w:rPr>
          <w:rFonts w:ascii="Arial" w:cs="Arial" w:eastAsia="Arial" w:hAnsi="Arial"/>
          <w:sz w:val="18"/>
          <w:szCs w:val="18"/>
          <w:color w:val="auto"/>
        </w:rPr>
      </w:pPr>
    </w:p>
    <w:p>
      <w:pPr>
        <w:ind w:left="260" w:right="120" w:firstLine="1288"/>
        <w:spacing w:after="0" w:line="257" w:lineRule="auto"/>
        <w:tabs>
          <w:tab w:leader="none" w:pos="208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Section 4.04, 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88" w:lineRule="exact"/>
        <w:rPr>
          <w:rFonts w:ascii="Arial" w:cs="Arial" w:eastAsia="Arial" w:hAnsi="Arial"/>
          <w:sz w:val="18"/>
          <w:szCs w:val="18"/>
          <w:color w:val="auto"/>
        </w:rPr>
      </w:pPr>
    </w:p>
    <w:p>
      <w:pPr>
        <w:ind w:left="1300" w:right="80" w:firstLine="653"/>
        <w:spacing w:after="0" w:line="259" w:lineRule="auto"/>
        <w:tabs>
          <w:tab w:leader="none" w:pos="216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86" w:lineRule="exact"/>
        <w:rPr>
          <w:rFonts w:ascii="Arial" w:cs="Arial" w:eastAsia="Arial" w:hAnsi="Arial"/>
          <w:sz w:val="18"/>
          <w:szCs w:val="18"/>
          <w:color w:val="auto"/>
        </w:rPr>
      </w:pPr>
    </w:p>
    <w:p>
      <w:pPr>
        <w:ind w:left="1300" w:right="20" w:firstLine="653"/>
        <w:spacing w:after="0" w:line="255" w:lineRule="auto"/>
        <w:tabs>
          <w:tab w:leader="none" w:pos="221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following the Certain Funds Termination Date. Administrative Agent also shall be entitled to recover interest on such corresponding amount in respect of each day from the date such corresponding amount was made available by Administrative Agent to Borrower to the date such 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31</w:t>
      </w:r>
    </w:p>
    <w:p>
      <w:pPr>
        <w:spacing w:after="0" w:line="117"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Commitment or to prejudice any rights which Administrative Agent or Borrower may have against any Lender as a result of any default by such Lender hereunder.</w:t>
      </w:r>
    </w:p>
    <w:p>
      <w:pPr>
        <w:spacing w:after="0" w:line="187" w:lineRule="exact"/>
        <w:rPr>
          <w:sz w:val="20"/>
          <w:szCs w:val="20"/>
          <w:color w:val="auto"/>
        </w:rPr>
      </w:pPr>
    </w:p>
    <w:p>
      <w:pPr>
        <w:ind w:left="260" w:firstLine="1288"/>
        <w:spacing w:after="0" w:line="259" w:lineRule="auto"/>
        <w:tabs>
          <w:tab w:leader="none" w:pos="20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Funding Sources</w:t>
      </w:r>
      <w:r>
        <w:rPr>
          <w:rFonts w:ascii="Arial" w:cs="Arial" w:eastAsia="Arial" w:hAnsi="Arial"/>
          <w:sz w:val="18"/>
          <w:szCs w:val="18"/>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2060" w:hanging="512"/>
        <w:spacing w:after="0"/>
        <w:tabs>
          <w:tab w:leader="none" w:pos="20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Fees set forth in Section 2.10(a) shall cease to accrue on the unfunded portion of the Commitments of such Defaulting Lender;</w:t>
      </w:r>
    </w:p>
    <w:p>
      <w:pPr>
        <w:spacing w:after="0" w:line="248" w:lineRule="exact"/>
        <w:rPr>
          <w:rFonts w:ascii="Arial" w:cs="Arial" w:eastAsia="Arial" w:hAnsi="Arial"/>
          <w:sz w:val="16"/>
          <w:szCs w:val="16"/>
          <w:color w:val="auto"/>
        </w:rPr>
      </w:pPr>
    </w:p>
    <w:p>
      <w:pPr>
        <w:ind w:left="260" w:right="20" w:firstLine="1288"/>
        <w:spacing w:after="0" w:line="264" w:lineRule="auto"/>
        <w:tabs>
          <w:tab w:leader="none" w:pos="20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Loans shall, if Borrower so directs at the time of making such voluntary prepayment, be applied to the Loans of other Lenders as if such Defaulting Lender had no Loans outstanding and the Aggregate Exposure of such Defaulting Lender in respect of its Commitment were zero; and</w:t>
      </w:r>
    </w:p>
    <w:p>
      <w:pPr>
        <w:spacing w:after="0" w:line="181" w:lineRule="exact"/>
        <w:rPr>
          <w:rFonts w:ascii="Arial" w:cs="Arial" w:eastAsia="Arial" w:hAnsi="Arial"/>
          <w:sz w:val="18"/>
          <w:szCs w:val="18"/>
          <w:color w:val="auto"/>
        </w:rPr>
      </w:pPr>
    </w:p>
    <w:p>
      <w:pPr>
        <w:ind w:left="260" w:right="120" w:firstLine="1288"/>
        <w:spacing w:after="0" w:line="293" w:lineRule="auto"/>
        <w:tabs>
          <w:tab w:leader="none" w:pos="206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Commitments or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Increase in Aggregate Commitments</w:t>
      </w:r>
      <w:r>
        <w:rPr>
          <w:rFonts w:ascii="Arial" w:cs="Arial" w:eastAsia="Arial" w:hAnsi="Arial"/>
          <w:sz w:val="16"/>
          <w:szCs w:val="16"/>
          <w:color w:val="auto"/>
        </w:rPr>
        <w:t>.</w:t>
      </w:r>
    </w:p>
    <w:p>
      <w:pPr>
        <w:spacing w:after="0" w:line="225" w:lineRule="exact"/>
        <w:rPr>
          <w:sz w:val="20"/>
          <w:szCs w:val="20"/>
          <w:color w:val="auto"/>
        </w:rPr>
      </w:pPr>
    </w:p>
    <w:p>
      <w:pPr>
        <w:ind w:left="260" w:right="140" w:firstLine="1288"/>
        <w:spacing w:after="0" w:line="257" w:lineRule="auto"/>
        <w:tabs>
          <w:tab w:leader="none" w:pos="207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Borrower may, from time to time on or prior to the Initial Closing Date, by notice to Administrative Agent, request that the aggregate amount of the Commitments be increased by a minimum amount equal to £10,000,000 or an integral multiple of £1,000,000 in excess thereof (each, a “Commitment Increase”), to be effective as of a date, which shall be on or prior to the Initial Closing Date, as specified in the related notice to Administrative Agent (such date, the “Increase Date”). Borrower may, in its sole discretion, offer any such Commitment Increase to one or more existing Lenders or one or more Eligible Assignees.</w:t>
      </w:r>
    </w:p>
    <w:p>
      <w:pPr>
        <w:spacing w:after="0" w:line="188" w:lineRule="exact"/>
        <w:rPr>
          <w:rFonts w:ascii="Arial" w:cs="Arial" w:eastAsia="Arial" w:hAnsi="Arial"/>
          <w:sz w:val="18"/>
          <w:szCs w:val="18"/>
          <w:color w:val="auto"/>
        </w:rPr>
      </w:pPr>
    </w:p>
    <w:p>
      <w:pPr>
        <w:ind w:left="260" w:right="160" w:firstLine="1288"/>
        <w:spacing w:after="0" w:line="277" w:lineRule="auto"/>
        <w:tabs>
          <w:tab w:leader="none" w:pos="207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notice provided by Borrower to Administrative Agent pursuant to clause (a) above shall include (i) the proposed amount of such requested Commitment Increase, (ii)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9" w:name="page180"/>
    <w:bookmarkEnd w:id="179"/>
    <w:p>
      <w:pPr>
        <w:ind w:left="10980"/>
        <w:spacing w:after="0"/>
        <w:rPr>
          <w:sz w:val="20"/>
          <w:szCs w:val="20"/>
          <w:color w:val="auto"/>
        </w:rPr>
      </w:pPr>
      <w:r>
        <w:rPr>
          <w:rFonts w:ascii="Arial" w:cs="Arial" w:eastAsia="Arial" w:hAnsi="Arial"/>
          <w:sz w:val="16"/>
          <w:szCs w:val="16"/>
          <w:color w:val="auto"/>
        </w:rPr>
        <w:t>32</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Increase Date, (iii) the identity of each existing Lender and each Eligible Assignee to whom Borrower proposes any portion of such Commitment Increase be allocated and the amounts of such allocations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existing Lender approached to provide all or a portion of the Commitment Increase may elect or decline, in its sole discretion, to provide such portion of the Commitment Increase) and (iv) the date (which shall be earlier than the Increase Date) by which such existing Lenders and such Eligible Assignees must commit to an increase in the amount of their respective Commitments (the “Commitment Date”). Each existing Lender that is approached to participate in such requested Commitment Increase (if any) (each an “Increasing Lender”) and each Eligible Assignee that accepts an offer to participate in a requested Commitment Increase in accordance with Section 2.15(a) (if any) (each such Eligible Assignee, an “Assuming Lender”) shall, in its sole discretion, give written notice to Administrative Agent on or prior to the Commitment Date of the amount by which it is willing to increase its Commitment (each, an “Increased Commitment”) or provide a new Commitment (each, a “New Commitment”), as applicable (and any failure by any such Lender or Eligible Assignee, as applicable, to respond to such request for a Commitment Increase shall be deemed to be a rejection by such Lender or Eligible Assignee, as applicable, of such request).</w:t>
      </w:r>
    </w:p>
    <w:p>
      <w:pPr>
        <w:spacing w:after="0" w:line="169" w:lineRule="exact"/>
        <w:rPr>
          <w:sz w:val="20"/>
          <w:szCs w:val="20"/>
          <w:color w:val="auto"/>
        </w:rPr>
      </w:pPr>
    </w:p>
    <w:p>
      <w:pPr>
        <w:ind w:right="100" w:firstLine="1288"/>
        <w:spacing w:after="0" w:line="255" w:lineRule="auto"/>
        <w:tabs>
          <w:tab w:leader="none" w:pos="181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On each Increase Date, (i) Borrower and each applicable Increasing Lender and Assuming Lender shall execute and deliver to Administrative Agent an agreement in form and substance reasonably satisfactory to Administrative Agent (each, an “Incremental Assumption Agreement”) to evidence the Increased Commitment of such Increasing Lender and the New Commitment of such Assuming Lender, as applicable, (ii) each Assuming Lender shall become a Lender party to this Agreement as of such Increase Date and the Commitment of each Increasing Lender for such requested Commitment Increase shall be so increased by such amount as of such Increase Date and (iii) Schedule 2.01 to this Agreement shall be deemed amended to reflect such Commitment Increase. Administrative Agent shall promptly notify each Lender as to the effectiveness of each Incremental Assumption Agreement.</w:t>
      </w:r>
    </w:p>
    <w:p>
      <w:pPr>
        <w:spacing w:after="0" w:line="189" w:lineRule="exact"/>
        <w:rPr>
          <w:rFonts w:ascii="Arial" w:cs="Arial" w:eastAsia="Arial" w:hAnsi="Arial"/>
          <w:sz w:val="18"/>
          <w:szCs w:val="18"/>
          <w:color w:val="auto"/>
        </w:rPr>
      </w:pPr>
    </w:p>
    <w:p>
      <w:pPr>
        <w:ind w:right="100" w:firstLine="1288"/>
        <w:spacing w:after="0" w:line="277" w:lineRule="auto"/>
        <w:tabs>
          <w:tab w:leader="none" w:pos="182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the foregoing, no Commitment Increase shall become effective under this Section 2.15 unless on the applicable Increase Date after giving effect to the Commitment Increase, no Event of Default shall have occurred and be continuing.</w:t>
      </w:r>
    </w:p>
    <w:p>
      <w:pPr>
        <w:spacing w:after="0" w:line="170" w:lineRule="exact"/>
        <w:rPr>
          <w:rFonts w:ascii="Arial" w:cs="Arial" w:eastAsia="Arial" w:hAnsi="Arial"/>
          <w:sz w:val="18"/>
          <w:szCs w:val="18"/>
          <w:color w:val="auto"/>
        </w:rPr>
      </w:pPr>
    </w:p>
    <w:p>
      <w:pPr>
        <w:jc w:val="both"/>
        <w:ind w:right="440" w:firstLine="1288"/>
        <w:spacing w:after="0" w:line="312" w:lineRule="auto"/>
        <w:tabs>
          <w:tab w:leader="none" w:pos="181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Notwithstanding the terms of Section 10.01, any Incremental Assumption Agreement may, without the consent of any other Lenders, effect such amendments to this Agreement and the other Loan Documents as may be necessary or appropriate, in the reasonable opinion of Administrative Agent and Borrower, to implement the provisions of this Section 2.15, a copy of which shall be made available to each Lender.</w:t>
      </w:r>
    </w:p>
    <w:p>
      <w:pPr>
        <w:spacing w:after="0" w:line="146" w:lineRule="exact"/>
        <w:rPr>
          <w:rFonts w:ascii="Arial" w:cs="Arial" w:eastAsia="Arial" w:hAnsi="Arial"/>
          <w:sz w:val="16"/>
          <w:szCs w:val="16"/>
          <w:color w:val="auto"/>
        </w:rPr>
      </w:pPr>
    </w:p>
    <w:p>
      <w:pPr>
        <w:ind w:left="1780" w:hanging="492"/>
        <w:spacing w:after="0"/>
        <w:tabs>
          <w:tab w:leader="none" w:pos="17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or Section 10.06 to the contrary.</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60" w:firstLine="1288"/>
        <w:spacing w:after="0" w:line="259" w:lineRule="auto"/>
        <w:tabs>
          <w:tab w:leader="none" w:pos="180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350520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33</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 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88" w:lineRule="exact"/>
        <w:rPr>
          <w:sz w:val="20"/>
          <w:szCs w:val="20"/>
          <w:color w:val="auto"/>
        </w:rPr>
      </w:pPr>
    </w:p>
    <w:p>
      <w:pPr>
        <w:ind w:right="60" w:firstLine="1288"/>
        <w:spacing w:after="0" w:line="279" w:lineRule="auto"/>
        <w:tabs>
          <w:tab w:leader="none" w:pos="182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ind w:right="80" w:firstLine="1288"/>
        <w:spacing w:after="0" w:line="290" w:lineRule="auto"/>
        <w:tabs>
          <w:tab w:leader="none" w:pos="181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provided, however, that Borrower shall not be obligated to indemnify such recipient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 promptly notify Borrower of its obligations hereunder.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337820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34</w:t>
      </w:r>
    </w:p>
    <w:p>
      <w:pPr>
        <w:spacing w:after="0" w:line="117" w:lineRule="exact"/>
        <w:rPr>
          <w:sz w:val="20"/>
          <w:szCs w:val="20"/>
          <w:color w:val="auto"/>
        </w:rPr>
      </w:pPr>
    </w:p>
    <w:p>
      <w:pPr>
        <w:ind w:left="260" w:right="20" w:firstLine="1288"/>
        <w:spacing w:after="0" w:line="270" w:lineRule="auto"/>
        <w:tabs>
          <w:tab w:leader="none" w:pos="208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Indemnification by Lenders. Each Lender shall severally indemnify Administrative Agent, within 10 days after demand therefor, for (i) any Non-Excluded Taxes or Other Taxes attributable to such Lender (but only to the extent that Borrower has not already indemnified Administrative Agent for such Non-Excluded Taxes or Other Taxes and without limiting the obligation of Borrower to do so), (ii) any Taxes attributable to such Lender’s failure to comply with the provisions of Section 10.04 relating to the maintenance of a Participant Register and (iii) any excluded Taxes described in Section 3.01(a) that are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taxation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 (d).</w:t>
      </w:r>
    </w:p>
    <w:p>
      <w:pPr>
        <w:spacing w:after="0" w:line="177" w:lineRule="exact"/>
        <w:rPr>
          <w:rFonts w:ascii="Arial" w:cs="Arial" w:eastAsia="Arial" w:hAnsi="Arial"/>
          <w:sz w:val="17"/>
          <w:szCs w:val="17"/>
          <w:color w:val="auto"/>
        </w:rPr>
      </w:pPr>
    </w:p>
    <w:p>
      <w:pPr>
        <w:ind w:left="260" w:right="360" w:firstLine="1288"/>
        <w:spacing w:after="0" w:line="308" w:lineRule="auto"/>
        <w:tabs>
          <w:tab w:leader="none" w:pos="207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3.01, all obligations of Borrower to any Lender under this Section 3.01 shall be subject to, and conditioned upon such Lender’s compliance with its obligations, if any, under Section 10.20.</w:t>
      </w:r>
    </w:p>
    <w:p>
      <w:pPr>
        <w:spacing w:after="0" w:line="146" w:lineRule="exact"/>
        <w:rPr>
          <w:rFonts w:ascii="Arial" w:cs="Arial" w:eastAsia="Arial" w:hAnsi="Arial"/>
          <w:sz w:val="17"/>
          <w:szCs w:val="17"/>
          <w:color w:val="auto"/>
        </w:rPr>
      </w:pPr>
    </w:p>
    <w:p>
      <w:pPr>
        <w:ind w:left="260" w:firstLine="1288"/>
        <w:spacing w:after="0" w:line="270" w:lineRule="auto"/>
        <w:tabs>
          <w:tab w:leader="none" w:pos="205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178"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Sterling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all Eurodollar Rate Loans of such Lender or convert such Eurodollar Rate Loans into Loans that bear interest based upon a rate for short term borrowings of Sterling determined in a customary manner in good faith by the Administrative Agent and reasonably acceptable to 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 and will not, in the good faith judgment of such Lender, otherwise be materially disadvantageous to such Lender.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53" w:lineRule="auto"/>
        <w:tabs>
          <w:tab w:leader="none" w:pos="207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in connection with any Request for Extension of Credit, (a) Administrative Agent determines that (i) deposits in Sterling are not being offered to banks in the applicable offshore interbank market for Sterling for the applicable amount and Interest Period of the requested Eurodollar Rate Loan or (ii) adequate and reasonable means do not exist for determining the underlying interest rate for such Eurodollar Rate Loan, or (b) Required Lenders determine that such underlying interest rate does not adequately and fairly reflect the cost to Lenders of funding such Eurodollar Rate Loan, Administrative Agent will promptly notify Borrower and all Lenders. Thereafter, the obligation of Lenders to make or maintain such Eurodollar Rate Loan shall be suspended until Administrative Agent revokes such notice. Upon receipt of such notice, Borrower may revoke any pending request for a Borrowing or, failing that, be deemed to have converted such request into a request for a Borrowing of Loans that bears interest based upon a rate for short term borrowings of Sterling determined in a customary manner in good faith by the Administrative Agent and reasonably acceptable to Borrower in the amount specified therein.</w:t>
      </w:r>
    </w:p>
    <w:p>
      <w:pPr>
        <w:spacing w:after="0" w:line="197" w:lineRule="exact"/>
        <w:rPr>
          <w:rFonts w:ascii="Arial" w:cs="Arial" w:eastAsia="Arial" w:hAnsi="Arial"/>
          <w:sz w:val="18"/>
          <w:szCs w:val="18"/>
          <w:color w:val="auto"/>
        </w:rPr>
      </w:pPr>
    </w:p>
    <w:p>
      <w:pPr>
        <w:ind w:left="260" w:right="160" w:firstLine="1288"/>
        <w:spacing w:after="0" w:line="286" w:lineRule="auto"/>
        <w:tabs>
          <w:tab w:leader="none" w:pos="208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65" w:lineRule="exact"/>
        <w:rPr>
          <w:rFonts w:ascii="Arial" w:cs="Arial" w:eastAsia="Arial" w:hAnsi="Arial"/>
          <w:sz w:val="17"/>
          <w:szCs w:val="17"/>
          <w:color w:val="auto"/>
        </w:rPr>
      </w:pPr>
    </w:p>
    <w:p>
      <w:pPr>
        <w:jc w:val="both"/>
        <w:ind w:left="1300" w:right="540" w:firstLine="653"/>
        <w:spacing w:after="0" w:line="264" w:lineRule="auto"/>
        <w:tabs>
          <w:tab w:leader="none" w:pos="21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ind w:left="1300" w:right="80" w:firstLine="653"/>
        <w:spacing w:after="0" w:line="286" w:lineRule="auto"/>
        <w:tabs>
          <w:tab w:leader="none" w:pos="2213"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165" w:lineRule="exact"/>
        <w:rPr>
          <w:rFonts w:ascii="Arial" w:cs="Arial" w:eastAsia="Arial" w:hAnsi="Arial"/>
          <w:sz w:val="17"/>
          <w:szCs w:val="17"/>
          <w:color w:val="auto"/>
        </w:rPr>
      </w:pPr>
    </w:p>
    <w:p>
      <w:pPr>
        <w:ind w:left="1300" w:firstLine="653"/>
        <w:spacing w:after="0" w:line="277" w:lineRule="auto"/>
        <w:tabs>
          <w:tab w:leader="none" w:pos="226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reasonably acceptable to the Borrower and the Administrative Agent (including any mathematical or other adjustments to the benchmark (if any) incorporated therein), giving due consideration to any evolving or then existing convention for similar syndicated credit facilities for such alternative benchmarks (any such proposed rate, a “LIBOR Successor Rate”), together with any proposed LIBOR Successor Rate Conforming Changes and any such amendment shall become effective at 5:00 p.m. (New York City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36</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no LIBOR Successor Rate has been determined and the circumstances under clause (i) above exist or the Scheduled Unavailability Date has occurred (as applicable), the Administrative Agent will promptly so notify the Borrower and each Lender. Thereafter, the obligation of the Lenders to make or maintain Eurodollar Rate Loans shall be suspended (to the extent of the affected Eurodollar Rate Loans or Interest Periods).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Committed Borrowing of Loans that bears interest based upon a rate for short term borrowings of Sterling determined in a customary manner in good faith by the Administrative Agent and reasonably acceptable to Borrower in the amount specified therein.</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u w:val="single" w:color="auto"/>
          <w:color w:val="auto"/>
        </w:rPr>
        <w:t>Increased Cost and Reduced Return; Capital Adequacy</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any Lender Party determines that the adoption of any Law or any change in any Law or in the interpretation thereof effective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after the date hereof:</w:t>
      </w:r>
    </w:p>
    <w:p>
      <w:pPr>
        <w:spacing w:after="0" w:line="210" w:lineRule="exact"/>
        <w:rPr>
          <w:rFonts w:ascii="Arial" w:cs="Arial" w:eastAsia="Arial" w:hAnsi="Arial"/>
          <w:sz w:val="16"/>
          <w:szCs w:val="16"/>
          <w:color w:val="auto"/>
        </w:rPr>
      </w:pPr>
    </w:p>
    <w:p>
      <w:pPr>
        <w:ind w:left="1300" w:right="200" w:firstLine="653"/>
        <w:spacing w:after="0" w:line="312" w:lineRule="auto"/>
        <w:tabs>
          <w:tab w:leader="none" w:pos="2163"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its obligation to make Eurodollar Rate Loans;</w:t>
      </w:r>
    </w:p>
    <w:p>
      <w:pPr>
        <w:spacing w:after="0" w:line="146" w:lineRule="exact"/>
        <w:rPr>
          <w:rFonts w:ascii="Arial" w:cs="Arial" w:eastAsia="Arial" w:hAnsi="Arial"/>
          <w:sz w:val="16"/>
          <w:szCs w:val="16"/>
          <w:color w:val="auto"/>
        </w:rPr>
      </w:pPr>
    </w:p>
    <w:p>
      <w:pPr>
        <w:ind w:left="1300" w:right="320" w:firstLine="653"/>
        <w:spacing w:after="0" w:line="286" w:lineRule="auto"/>
        <w:tabs>
          <w:tab w:leader="none" w:pos="2213"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Commitment); or</w:t>
      </w:r>
    </w:p>
    <w:p>
      <w:pPr>
        <w:spacing w:after="0" w:line="165" w:lineRule="exact"/>
        <w:rPr>
          <w:rFonts w:ascii="Arial" w:cs="Arial" w:eastAsia="Arial" w:hAnsi="Arial"/>
          <w:sz w:val="17"/>
          <w:szCs w:val="17"/>
          <w:color w:val="auto"/>
        </w:rPr>
      </w:pPr>
    </w:p>
    <w:p>
      <w:pPr>
        <w:ind w:left="1300" w:right="420" w:firstLine="653"/>
        <w:spacing w:after="0" w:line="277" w:lineRule="auto"/>
        <w:tabs>
          <w:tab w:leader="none" w:pos="226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and the result of any of the foregoing is to increase the cost to such Lender Party of making, Continuing, or maintaining any Eurodollar Rate Loans or to reduce any sum received or receivable by such Lender Party under this Agreement with respect to any Eurodollar Rate Loans,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7" w:lineRule="exact"/>
        <w:rPr>
          <w:sz w:val="20"/>
          <w:szCs w:val="20"/>
          <w:color w:val="auto"/>
        </w:rPr>
      </w:pPr>
    </w:p>
    <w:p>
      <w:pPr>
        <w:ind w:left="260" w:firstLine="1288"/>
        <w:spacing w:after="0" w:line="273" w:lineRule="auto"/>
        <w:tabs>
          <w:tab w:leader="none" w:pos="208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37</w:t>
      </w:r>
    </w:p>
    <w:p>
      <w:pPr>
        <w:spacing w:after="0" w:line="117" w:lineRule="exact"/>
        <w:rPr>
          <w:sz w:val="20"/>
          <w:szCs w:val="20"/>
          <w:color w:val="auto"/>
        </w:rPr>
      </w:pPr>
    </w:p>
    <w:p>
      <w:pPr>
        <w:ind w:left="260" w:right="20" w:firstLine="1288"/>
        <w:spacing w:after="0" w:line="276" w:lineRule="auto"/>
        <w:tabs>
          <w:tab w:leader="none" w:pos="207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3"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Borrower shall promptly compensate such Lender for and hold such Lender harmless from any actual loss, cost or expense incurred by it as a result of:</w:t>
      </w:r>
    </w:p>
    <w:p>
      <w:pPr>
        <w:spacing w:after="0" w:line="124" w:lineRule="exact"/>
        <w:rPr>
          <w:sz w:val="20"/>
          <w:szCs w:val="20"/>
          <w:color w:val="auto"/>
        </w:rPr>
      </w:pPr>
    </w:p>
    <w:p>
      <w:pPr>
        <w:ind w:left="260" w:right="460" w:firstLine="1288"/>
        <w:spacing w:after="0" w:line="308" w:lineRule="auto"/>
        <w:tabs>
          <w:tab w:leader="none" w:pos="20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Continuation, payment or prepayment by Borrower of any Eurodollar Rate Loan on a day other than the last day of the Interest Period for such Eurodollar Rate Loan (whether voluntary, mandatory, automatic, by reason of acceleration or otherwise); or</w:t>
      </w:r>
    </w:p>
    <w:p>
      <w:pPr>
        <w:spacing w:after="0" w:line="146" w:lineRule="exact"/>
        <w:rPr>
          <w:rFonts w:ascii="Arial" w:cs="Arial" w:eastAsia="Arial" w:hAnsi="Arial"/>
          <w:sz w:val="17"/>
          <w:szCs w:val="17"/>
          <w:color w:val="auto"/>
        </w:rPr>
      </w:pPr>
    </w:p>
    <w:p>
      <w:pPr>
        <w:ind w:left="260" w:right="20" w:firstLine="1288"/>
        <w:spacing w:after="0" w:line="277" w:lineRule="auto"/>
        <w:tabs>
          <w:tab w:leader="none" w:pos="207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such Lender to make a Eurodollar Rate Loan) to prepay, borrow or Continue any Eurodollar Rate Loan on the date or in the amount notified by Borrower;</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left="260" w:right="20" w:firstLine="1288"/>
        <w:spacing w:after="0" w:line="270" w:lineRule="auto"/>
        <w:tabs>
          <w:tab w:leader="none" w:pos="2061"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77" w:lineRule="exact"/>
        <w:rPr>
          <w:rFonts w:ascii="Arial" w:cs="Arial" w:eastAsia="Arial" w:hAnsi="Arial"/>
          <w:sz w:val="17"/>
          <w:szCs w:val="17"/>
          <w:color w:val="auto"/>
        </w:rPr>
      </w:pPr>
    </w:p>
    <w:p>
      <w:pPr>
        <w:jc w:val="both"/>
        <w:ind w:left="260" w:right="100" w:firstLine="1288"/>
        <w:spacing w:after="0" w:line="264" w:lineRule="auto"/>
        <w:tabs>
          <w:tab w:leader="none" w:pos="208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Upon any Lender becoming prohibited from making, maintaining or funding Eurodollar Rate Loans pursuant to Section 3.02, or upon any Lender making a claim for compensation under Section 3.01 or Section 3.04, Borrower may remove or replace such Lender in accordance with Section 10.21.</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All of Borrower’s obligations under this Section 3 shall survive termination of the Commitments and payment in full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38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PRECEDENT TO EXTENSIONS OF CREDIT</w:t>
      </w:r>
    </w:p>
    <w:p>
      <w:pPr>
        <w:spacing w:after="0" w:line="211"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This Agreement shall become effective upon the satisfaction, on or before June 30, 2018, of the conditions precedent set forth in this Section 4.01:</w:t>
      </w:r>
    </w:p>
    <w:p>
      <w:pPr>
        <w:spacing w:after="0" w:line="170" w:lineRule="exact"/>
        <w:rPr>
          <w:sz w:val="20"/>
          <w:szCs w:val="20"/>
          <w:color w:val="auto"/>
        </w:rPr>
      </w:pPr>
    </w:p>
    <w:p>
      <w:pPr>
        <w:ind w:left="260" w:right="100" w:firstLine="1288"/>
        <w:spacing w:after="0" w:line="264" w:lineRule="auto"/>
        <w:tabs>
          <w:tab w:leader="none" w:pos="20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181" w:lineRule="exact"/>
        <w:rPr>
          <w:rFonts w:ascii="Arial" w:cs="Arial" w:eastAsia="Arial" w:hAnsi="Arial"/>
          <w:sz w:val="18"/>
          <w:szCs w:val="18"/>
          <w:color w:val="auto"/>
        </w:rPr>
      </w:pPr>
    </w:p>
    <w:p>
      <w:pPr>
        <w:ind w:left="1300" w:right="80" w:firstLine="653"/>
        <w:spacing w:after="0" w:line="257" w:lineRule="auto"/>
        <w:tabs>
          <w:tab w:leader="none" w:pos="216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Borrower, Administrative Agent and each Person listed on Schedule 2.01 and (b) the Guarantee Agreement, executed and delivered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Agreement or the Guarantee Agreement (as applicable));</w:t>
      </w:r>
    </w:p>
    <w:p>
      <w:pPr>
        <w:spacing w:after="0" w:line="188" w:lineRule="exact"/>
        <w:rPr>
          <w:rFonts w:ascii="Arial" w:cs="Arial" w:eastAsia="Arial" w:hAnsi="Arial"/>
          <w:sz w:val="18"/>
          <w:szCs w:val="18"/>
          <w:color w:val="auto"/>
        </w:rPr>
      </w:pPr>
    </w:p>
    <w:p>
      <w:pPr>
        <w:ind w:left="1300" w:firstLine="653"/>
        <w:spacing w:after="0" w:line="269" w:lineRule="auto"/>
        <w:tabs>
          <w:tab w:leader="none" w:pos="2213"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179" w:lineRule="exact"/>
        <w:rPr>
          <w:rFonts w:ascii="Arial" w:cs="Arial" w:eastAsia="Arial" w:hAnsi="Arial"/>
          <w:sz w:val="17"/>
          <w:szCs w:val="17"/>
          <w:color w:val="auto"/>
        </w:rPr>
      </w:pPr>
    </w:p>
    <w:p>
      <w:pPr>
        <w:ind w:left="1300" w:right="20" w:firstLine="653"/>
        <w:spacing w:after="0" w:line="257" w:lineRule="auto"/>
        <w:tabs>
          <w:tab w:leader="none" w:pos="226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that (A) 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 (B) no Default or Event of Default shall have occurred and be continuing and (C) that there has been no event or circumstance since the date of the Reference Statements which has a Material Adverse Effect;</w:t>
      </w:r>
    </w:p>
    <w:p>
      <w:pPr>
        <w:spacing w:after="0" w:line="188" w:lineRule="exact"/>
        <w:rPr>
          <w:rFonts w:ascii="Arial" w:cs="Arial" w:eastAsia="Arial" w:hAnsi="Arial"/>
          <w:sz w:val="18"/>
          <w:szCs w:val="18"/>
          <w:color w:val="auto"/>
        </w:rPr>
      </w:pPr>
    </w:p>
    <w:p>
      <w:pPr>
        <w:ind w:left="2260" w:hanging="307"/>
        <w:spacing w:after="0"/>
        <w:tabs>
          <w:tab w:leader="none" w:pos="22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opinions of counsel to Borrower in form and substance reasonably satisfactory to Administrative Agent;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39</w:t>
      </w:r>
    </w:p>
    <w:p>
      <w:pPr>
        <w:spacing w:after="0" w:line="117" w:lineRule="exact"/>
        <w:rPr>
          <w:sz w:val="20"/>
          <w:szCs w:val="20"/>
          <w:color w:val="auto"/>
        </w:rPr>
      </w:pPr>
    </w:p>
    <w:p>
      <w:pPr>
        <w:ind w:left="1300" w:right="60" w:firstLine="653"/>
        <w:spacing w:after="0" w:line="259" w:lineRule="auto"/>
        <w:tabs>
          <w:tab w:leader="none" w:pos="220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information requested by the Arrangers in writing at least ten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three (3) Business Days prior to the Effective Date).</w:t>
      </w:r>
    </w:p>
    <w:p>
      <w:pPr>
        <w:spacing w:after="0" w:line="186" w:lineRule="exact"/>
        <w:rPr>
          <w:rFonts w:ascii="Arial" w:cs="Arial" w:eastAsia="Arial" w:hAnsi="Arial"/>
          <w:sz w:val="18"/>
          <w:szCs w:val="18"/>
          <w:color w:val="auto"/>
        </w:rPr>
      </w:pPr>
    </w:p>
    <w:p>
      <w:pPr>
        <w:ind w:left="260" w:right="40" w:firstLine="1288"/>
        <w:spacing w:after="0" w:line="342" w:lineRule="auto"/>
        <w:tabs>
          <w:tab w:leader="none" w:pos="207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With respect to any fees due and payable on or before the Effective Date pursuant to the Fee Letter, either (i) such fees shall have been paid or (ii) arrangements satisfactory to Administrative Agent and the Arrangers shall have been made with respect to the payment of such fees.</w:t>
      </w:r>
    </w:p>
    <w:p>
      <w:pPr>
        <w:spacing w:after="0" w:line="123" w:lineRule="exact"/>
        <w:rPr>
          <w:rFonts w:ascii="Arial" w:cs="Arial" w:eastAsia="Arial" w:hAnsi="Arial"/>
          <w:sz w:val="16"/>
          <w:szCs w:val="16"/>
          <w:color w:val="auto"/>
        </w:rPr>
      </w:pPr>
    </w:p>
    <w:p>
      <w:pPr>
        <w:ind w:left="260" w:right="100" w:firstLine="1288"/>
        <w:spacing w:after="0" w:line="277" w:lineRule="auto"/>
        <w:tabs>
          <w:tab w:leader="none" w:pos="206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Administrative Agent shall have received a copy, in substantially final form and in form and substance reasonably satisfactory to Administrative Agent, of the Rule 2.7 Announcement.</w:t>
      </w:r>
    </w:p>
    <w:p>
      <w:pPr>
        <w:spacing w:after="0" w:line="170"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u w:val="single" w:color="auto"/>
          <w:color w:val="auto"/>
        </w:rPr>
        <w:t>Conditions Precedent to Borrowings</w:t>
      </w:r>
      <w:r>
        <w:rPr>
          <w:rFonts w:ascii="Arial" w:cs="Arial" w:eastAsia="Arial" w:hAnsi="Arial"/>
          <w:sz w:val="16"/>
          <w:szCs w:val="16"/>
          <w:color w:val="auto"/>
        </w:rPr>
        <w:t>. The agreement of each Lender to make Extensions of Credit requested to be made by it is subject solely to the satisfaction, in each case on or before the Certain Funds Termination Date, of the applicable conditions precedent set forth in this Section</w:t>
      </w:r>
    </w:p>
    <w:p>
      <w:pPr>
        <w:spacing w:after="0"/>
        <w:rPr>
          <w:sz w:val="20"/>
          <w:szCs w:val="20"/>
          <w:color w:val="auto"/>
        </w:rPr>
      </w:pPr>
      <w:r>
        <w:rPr>
          <w:rFonts w:ascii="Arial" w:cs="Arial" w:eastAsia="Arial" w:hAnsi="Arial"/>
          <w:sz w:val="18"/>
          <w:szCs w:val="18"/>
          <w:color w:val="auto"/>
        </w:rPr>
        <w:t>4.02:</w:t>
      </w:r>
    </w:p>
    <w:p>
      <w:pPr>
        <w:spacing w:after="0" w:line="211" w:lineRule="exact"/>
        <w:rPr>
          <w:sz w:val="20"/>
          <w:szCs w:val="20"/>
          <w:color w:val="auto"/>
        </w:rPr>
      </w:pPr>
    </w:p>
    <w:p>
      <w:pPr>
        <w:ind w:left="2060" w:hanging="512"/>
        <w:spacing w:after="0"/>
        <w:tabs>
          <w:tab w:leader="none" w:pos="2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Effective Date shall have occurred.</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With respect to the initial Extension of Credit hereunder, Administrative Agent shall have received a Target Acquisition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jc w:val="both"/>
        <w:ind w:left="260" w:right="260" w:firstLine="1288"/>
        <w:spacing w:after="0" w:line="264" w:lineRule="auto"/>
        <w:tabs>
          <w:tab w:leader="none" w:pos="206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Administrative Agent shall have received evidence that all fees required to be paid on or prior to the date of such Extension of Credit pursuant to the Fee Letter have been or shall be paid on or prior to such date (or other arrangements satisfactory to Administrative Agent and the Arrangers shall have been made with respect to the payment of such fees).</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 Major Event of Default shall have occurred and be continuing or would result from the proposed Extension of Credit to be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made on such date.</w:t>
      </w:r>
    </w:p>
    <w:p>
      <w:pPr>
        <w:spacing w:after="0" w:line="210" w:lineRule="exact"/>
        <w:rPr>
          <w:rFonts w:ascii="Arial" w:cs="Arial" w:eastAsia="Arial" w:hAnsi="Arial"/>
          <w:sz w:val="16"/>
          <w:szCs w:val="16"/>
          <w:color w:val="auto"/>
        </w:rPr>
      </w:pPr>
    </w:p>
    <w:p>
      <w:pPr>
        <w:jc w:val="both"/>
        <w:ind w:left="260" w:right="100" w:firstLine="1288"/>
        <w:spacing w:after="0" w:line="259" w:lineRule="auto"/>
        <w:tabs>
          <w:tab w:leader="none" w:pos="213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It shall not be illegal for any Lender to lend and there is no injunction, restraining order or equivalent prohibiting any Lender from funding its portion of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has used commercially reasonable efforts to fund its such Loans through an Affiliate of such Lender not subject to such legal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occurrence of such event in relation to one Lender shall not relieve any other Lender of its obligations hereunder.</w:t>
      </w:r>
    </w:p>
    <w:p>
      <w:pPr>
        <w:spacing w:after="0" w:line="187" w:lineRule="exact"/>
        <w:rPr>
          <w:sz w:val="20"/>
          <w:szCs w:val="20"/>
          <w:color w:val="auto"/>
        </w:rPr>
      </w:pPr>
    </w:p>
    <w:p>
      <w:pPr>
        <w:ind w:right="200" w:firstLine="1297"/>
        <w:spacing w:after="0" w:line="293"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u w:val="single" w:color="auto"/>
          <w:color w:val="auto"/>
        </w:rPr>
        <w:t>Determinations Under Sections 4.01 and 4.02</w:t>
      </w:r>
      <w:r>
        <w:rPr>
          <w:rFonts w:ascii="Arial" w:cs="Arial" w:eastAsia="Arial" w:hAnsi="Arial"/>
          <w:sz w:val="16"/>
          <w:szCs w:val="16"/>
          <w:color w:val="auto"/>
        </w:rPr>
        <w:t>. For purposes of determining compliance with the conditions specified in Sections 4.01 or 4.02,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 or the date of any Extension of Credit, as applicable, specifying its objection thereto. Administrative Agent (or its counsel) shall promptly notify the Lenders and Borrower in writing of the occurrence of the Effective Date and of the occurrence of the Initial Closing Date, which writings shall be conclusive and irrevocable.</w:t>
      </w:r>
    </w:p>
    <w:p>
      <w:pPr>
        <w:spacing w:after="0" w:line="165" w:lineRule="exact"/>
        <w:rPr>
          <w:sz w:val="20"/>
          <w:szCs w:val="20"/>
          <w:color w:val="auto"/>
        </w:rPr>
      </w:pPr>
    </w:p>
    <w:p>
      <w:pPr>
        <w:ind w:right="400" w:firstLine="1297"/>
        <w:spacing w:after="0" w:line="342"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Actions by Lenders During Certain Funds Period</w:t>
      </w:r>
      <w:r>
        <w:rPr>
          <w:rFonts w:ascii="Arial" w:cs="Arial" w:eastAsia="Arial" w:hAnsi="Arial"/>
          <w:sz w:val="16"/>
          <w:szCs w:val="16"/>
          <w:color w:val="auto"/>
        </w:rPr>
        <w:t>. Notwithstanding (x) anything to the contrary in this Agreement or any other Loan Document or (y) that any condition set forth in Section 4.01 or Section 4.02 may subsequently be determined not to have been satisfied,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t>40</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Certain Funds Period to the extent prior to the Maturity Date (unless (i) a Major Event of Default has occurred and is continuing or, in respect of clause (c) below, would result therefrom, (ii) in respect of clause (c) below, the conditions set forth in Section 4.02, as applicable, are not satisfied or (iii) it becomes illegal for any Lender to maintain its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has used commercially reasonable efforts to maintain its Commitment through an Affiliate of such Lender not subject to a legal restriction and that the occurrence of such event in relation to one Lender shall not enable any other Lender to cancel its Commitment), each Lender shall comply with its obligations to fund Loans under the Loan Documents and no Lender shall:</w:t>
      </w:r>
    </w:p>
    <w:p>
      <w:pPr>
        <w:spacing w:after="0" w:line="158" w:lineRule="exact"/>
        <w:rPr>
          <w:sz w:val="20"/>
          <w:szCs w:val="20"/>
          <w:color w:val="auto"/>
        </w:rPr>
      </w:pPr>
    </w:p>
    <w:p>
      <w:pPr>
        <w:ind w:left="2060" w:hanging="512"/>
        <w:spacing w:after="0"/>
        <w:tabs>
          <w:tab w:leader="none" w:pos="2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subject to Section 2.05(b), Section 2.05(c) and Section 2.06(b), cancel any of its Commitments;</w:t>
      </w:r>
    </w:p>
    <w:p>
      <w:pPr>
        <w:spacing w:after="0" w:line="225" w:lineRule="exact"/>
        <w:rPr>
          <w:rFonts w:ascii="Arial" w:cs="Arial" w:eastAsia="Arial" w:hAnsi="Arial"/>
          <w:sz w:val="18"/>
          <w:szCs w:val="18"/>
          <w:color w:val="auto"/>
        </w:rPr>
      </w:pPr>
    </w:p>
    <w:p>
      <w:pPr>
        <w:ind w:left="260" w:right="80" w:firstLine="1288"/>
        <w:spacing w:after="0" w:line="277" w:lineRule="auto"/>
        <w:tabs>
          <w:tab w:leader="none" w:pos="20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rescind, terminate or cancel any Loan Document or exercise any similar right or remedy or make or enforce any claim under any Loan Document it may have to the extent to do so would prevent or limit the funding of a Borrowing;</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refuse to fund any Loan in respect of its outstanding Commitment;</w:t>
      </w:r>
    </w:p>
    <w:p>
      <w:pPr>
        <w:spacing w:after="0" w:line="225" w:lineRule="exact"/>
        <w:rPr>
          <w:rFonts w:ascii="Arial" w:cs="Arial" w:eastAsia="Arial" w:hAnsi="Arial"/>
          <w:sz w:val="18"/>
          <w:szCs w:val="18"/>
          <w:color w:val="auto"/>
        </w:rPr>
      </w:pPr>
    </w:p>
    <w:p>
      <w:pPr>
        <w:ind w:left="2080" w:hanging="532"/>
        <w:spacing w:after="0"/>
        <w:tabs>
          <w:tab w:leader="none" w:pos="2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exercise any right of set-off or counterclaim in respect of any Loan to the extent to do so would prevent or limit the funding of</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any Borrowing; or</w:t>
      </w:r>
    </w:p>
    <w:p>
      <w:pPr>
        <w:spacing w:after="0" w:line="210" w:lineRule="exact"/>
        <w:rPr>
          <w:rFonts w:ascii="Arial" w:cs="Arial" w:eastAsia="Arial" w:hAnsi="Arial"/>
          <w:sz w:val="17"/>
          <w:szCs w:val="17"/>
          <w:color w:val="auto"/>
        </w:rPr>
      </w:pPr>
    </w:p>
    <w:p>
      <w:pPr>
        <w:ind w:left="260" w:right="460" w:firstLine="1288"/>
        <w:spacing w:after="0" w:line="308" w:lineRule="auto"/>
        <w:tabs>
          <w:tab w:leader="none" w:pos="207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subject to Section 2.05(b), Section 2.05(c) and Section 2.06(b), cancel, accelerate or cause repayment or prepayment of any amounts owing under any Loan Document to the extent to do so would prevent or limit the funding of any Borrowing;</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the expiration of the Certain Funds Period all such rights, remedies and entitlements shall be available to the Lenders notwithstanding that they may not have been used or been available for use during the Certain Funds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Borrower represents and warrants to Administrative Agent and Lenders that:</w:t>
      </w:r>
    </w:p>
    <w:p>
      <w:pPr>
        <w:spacing w:after="0" w:line="225"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 is in compliance with all Laws, except to the extent that noncompliance does not have a Material Adverse Effect.</w:t>
      </w:r>
    </w:p>
    <w:p>
      <w:pPr>
        <w:spacing w:after="0" w:line="188"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Power; Authorization; Enforceable Obligations</w:t>
      </w:r>
      <w:r>
        <w:rPr>
          <w:rFonts w:ascii="Arial" w:cs="Arial" w:eastAsia="Arial" w:hAnsi="Arial"/>
          <w:sz w:val="17"/>
          <w:szCs w:val="17"/>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225" w:lineRule="exact"/>
        <w:rPr>
          <w:sz w:val="20"/>
          <w:szCs w:val="20"/>
          <w:color w:val="auto"/>
        </w:rPr>
      </w:pPr>
    </w:p>
    <w:p>
      <w:pPr>
        <w:ind w:left="260" w:right="80" w:firstLine="1288"/>
        <w:spacing w:after="0" w:line="264" w:lineRule="auto"/>
        <w:tabs>
          <w:tab w:leader="none" w:pos="20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From December 31, 2017 to the Effective Date and the Initial Closing Date, there has been no event or circumstance which has a</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Material Adverse Effect.</w:t>
      </w:r>
    </w:p>
    <w:p>
      <w:pPr>
        <w:spacing w:after="0" w:line="21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will use the proceeds of the Loans solely to finance a portion of the Transactions, which, for the avoidance of doubt, may include a Borrowing of Loans after the Initial Closing Date but prior to the consummation of the intended acquisition of certain Target shares.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88"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t>42</w:t>
      </w:r>
    </w:p>
    <w:p>
      <w:pPr>
        <w:spacing w:after="0" w:line="11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6"/>
          <w:szCs w:val="16"/>
          <w:u w:val="single" w:color="auto"/>
          <w:color w:val="auto"/>
        </w:rPr>
        <w:t>Target Acquisition Documents</w:t>
      </w:r>
      <w:r>
        <w:rPr>
          <w:rFonts w:ascii="Arial" w:cs="Arial" w:eastAsia="Arial" w:hAnsi="Arial"/>
          <w:sz w:val="16"/>
          <w:szCs w:val="16"/>
          <w:color w:val="auto"/>
        </w:rPr>
        <w:t>.</w:t>
      </w:r>
    </w:p>
    <w:p>
      <w:pPr>
        <w:spacing w:after="0" w:line="225" w:lineRule="exact"/>
        <w:rPr>
          <w:sz w:val="20"/>
          <w:szCs w:val="20"/>
          <w:color w:val="auto"/>
        </w:rPr>
      </w:pPr>
    </w:p>
    <w:p>
      <w:pPr>
        <w:ind w:left="260" w:right="540" w:firstLine="1288"/>
        <w:spacing w:after="0" w:line="277" w:lineRule="auto"/>
        <w:tabs>
          <w:tab w:leader="none" w:pos="207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an Offer, the Offer Press Release and the Offer Documents contain all material terms of the Offer (taken as a whole) as at the date on which they were published.</w:t>
      </w:r>
    </w:p>
    <w:p>
      <w:pPr>
        <w:spacing w:after="0" w:line="170" w:lineRule="exact"/>
        <w:rPr>
          <w:rFonts w:ascii="Arial" w:cs="Arial" w:eastAsia="Arial" w:hAnsi="Arial"/>
          <w:sz w:val="18"/>
          <w:szCs w:val="18"/>
          <w:color w:val="auto"/>
        </w:rPr>
      </w:pPr>
    </w:p>
    <w:p>
      <w:pPr>
        <w:ind w:left="260" w:right="420" w:firstLine="1288"/>
        <w:spacing w:after="0" w:line="277" w:lineRule="auto"/>
        <w:tabs>
          <w:tab w:leader="none" w:pos="208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a Scheme, the Scheme Press Release and the Scheme Documents contain all the material terms of the Scheme (taken as a whole) as at the date on which they were published.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Subject to Section 4.04, so long as any Obligation remains unpaid, or any portion of the Commitments remains outstanding, Borrower shall, and shall (except in the case of Borrower’s reporting covenants), cause each Restricted Subsidiary to:</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Deliver to Administrative Agent and Lenders, in form and detail satisfactory to Administrative Agent:</w:t>
      </w:r>
    </w:p>
    <w:p>
      <w:pPr>
        <w:spacing w:after="0" w:line="225" w:lineRule="exact"/>
        <w:rPr>
          <w:sz w:val="20"/>
          <w:szCs w:val="20"/>
          <w:color w:val="auto"/>
        </w:rPr>
      </w:pPr>
    </w:p>
    <w:p>
      <w:pPr>
        <w:ind w:left="260" w:right="60" w:firstLine="1288"/>
        <w:spacing w:after="0" w:line="255" w:lineRule="auto"/>
        <w:tabs>
          <w:tab w:leader="none" w:pos="206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93" w:lineRule="exact"/>
        <w:rPr>
          <w:rFonts w:ascii="Arial" w:cs="Arial" w:eastAsia="Arial" w:hAnsi="Arial"/>
          <w:sz w:val="18"/>
          <w:szCs w:val="18"/>
          <w:color w:val="auto"/>
        </w:rPr>
      </w:pPr>
    </w:p>
    <w:p>
      <w:pPr>
        <w:ind w:left="260" w:right="80" w:firstLine="1288"/>
        <w:spacing w:after="0" w:line="255" w:lineRule="auto"/>
        <w:tabs>
          <w:tab w:leader="none" w:pos="20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89" w:lineRule="exact"/>
        <w:rPr>
          <w:rFonts w:ascii="Arial" w:cs="Arial" w:eastAsia="Arial" w:hAnsi="Arial"/>
          <w:sz w:val="18"/>
          <w:szCs w:val="18"/>
          <w:color w:val="auto"/>
        </w:rPr>
      </w:pPr>
    </w:p>
    <w:p>
      <w:pPr>
        <w:ind w:left="260" w:right="60" w:firstLine="1288"/>
        <w:spacing w:after="0" w:line="302" w:lineRule="auto"/>
        <w:tabs>
          <w:tab w:leader="none" w:pos="207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5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Certificates, Notices and Other Information</w:t>
      </w:r>
      <w:r>
        <w:rPr>
          <w:rFonts w:ascii="Arial" w:cs="Arial" w:eastAsia="Arial" w:hAnsi="Arial"/>
          <w:sz w:val="16"/>
          <w:szCs w:val="16"/>
          <w:color w:val="auto"/>
        </w:rPr>
        <w:t>. Deliver to Administrative Agent in form and detail satisfactory to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43</w:t>
      </w:r>
    </w:p>
    <w:p>
      <w:pPr>
        <w:spacing w:after="0" w:line="117" w:lineRule="exact"/>
        <w:rPr>
          <w:sz w:val="20"/>
          <w:szCs w:val="20"/>
          <w:color w:val="auto"/>
        </w:rPr>
      </w:pPr>
    </w:p>
    <w:p>
      <w:pPr>
        <w:ind w:left="260" w:right="280" w:firstLine="1288"/>
        <w:spacing w:after="0" w:line="257" w:lineRule="auto"/>
        <w:tabs>
          <w:tab w:leader="none" w:pos="20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88" w:lineRule="exact"/>
        <w:rPr>
          <w:rFonts w:ascii="Arial" w:cs="Arial" w:eastAsia="Arial" w:hAnsi="Arial"/>
          <w:sz w:val="18"/>
          <w:szCs w:val="18"/>
          <w:color w:val="auto"/>
        </w:rPr>
      </w:pPr>
    </w:p>
    <w:p>
      <w:pPr>
        <w:jc w:val="both"/>
        <w:ind w:left="260" w:right="40" w:firstLine="1288"/>
        <w:spacing w:after="0" w:line="264" w:lineRule="auto"/>
        <w:tabs>
          <w:tab w:leader="none" w:pos="20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left="260" w:right="80" w:firstLine="1288"/>
        <w:spacing w:after="0" w:line="308" w:lineRule="auto"/>
        <w:tabs>
          <w:tab w:leader="none" w:pos="207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146" w:lineRule="exact"/>
        <w:rPr>
          <w:rFonts w:ascii="Arial" w:cs="Arial" w:eastAsia="Arial" w:hAnsi="Arial"/>
          <w:sz w:val="17"/>
          <w:szCs w:val="17"/>
          <w:color w:val="auto"/>
        </w:rPr>
      </w:pPr>
    </w:p>
    <w:p>
      <w:pPr>
        <w:ind w:left="260" w:right="300" w:firstLine="1288"/>
        <w:spacing w:after="0" w:line="277" w:lineRule="auto"/>
        <w:tabs>
          <w:tab w:leader="none" w:pos="208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ind w:left="260" w:right="20" w:firstLine="1288"/>
        <w:spacing w:after="0" w:line="259" w:lineRule="auto"/>
        <w:tabs>
          <w:tab w:leader="none" w:pos="20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The Borrower hereby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Confidential Information, they shall be treated as set forth in Section </w:t>
      </w:r>
      <w:r>
        <w:rPr>
          <w:rFonts w:ascii="Arial" w:cs="Arial" w:eastAsia="Arial" w:hAnsi="Arial"/>
          <w:sz w:val="16"/>
          <w:szCs w:val="16"/>
          <w:u w:val="single" w:color="auto"/>
          <w:color w:val="auto"/>
        </w:rPr>
        <w:t>10.17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7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44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GAAP, and except for such payments which, if not paid, do not in the aggregate, have a Material Adverse Effect.</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1" w:lineRule="exact"/>
        <w:rPr>
          <w:sz w:val="20"/>
          <w:szCs w:val="20"/>
          <w:color w:val="auto"/>
        </w:rPr>
      </w:pPr>
    </w:p>
    <w:p>
      <w:pPr>
        <w:ind w:right="720" w:firstLine="1297"/>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 xml:space="preserve">.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 effect to such designation and (c) not designate as an Unrestricted Subsidiary any Guarantor that is a Significant Subsidiary and that guarantees Material Debt unless such Guarantor is simultaneously released from its guarantee of such Material Debt. Notwithstanding anything to the contrary contained herein, (w) each Guarantor shall at all times be a Restricted Subsidiary for all purposes hereunder unless such Guarantor is simultaneously released as a Guarantor upon such designation as contemplated pursuant to Section 6.10, (x) unless designated as an Unrestricted Subsidiary in compliance with clause (y) below, each Cable Subsidiary shall at all times be a Restricted Subsidiary for all purposes hereunder, (y) Borrower may designate a Cable Subsidiary as an Unrestricted Subsidiary at any time when the Leverage Ratio (calculated after giving pro forma effect to such designation) is less than or equal to 4.50 to 1.00 and (z) on and after March 28, 2018, Borrower shall not designate any Existing Restricted Subsidiary as an Unrestricted Subsidiary to the extent that after giving effect to such designation, the Annualized EBITDA (as of the last day of the most recently ended fiscal quarter prior to such designation) of all such Existing Restricted Subsidiaries so designated as Unrestricted Subsidiaries 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2" w:name="page193"/>
    <w:bookmarkEnd w:id="192"/>
    <w:p>
      <w:pPr>
        <w:ind w:left="11240"/>
        <w:spacing w:after="0"/>
        <w:rPr>
          <w:sz w:val="20"/>
          <w:szCs w:val="20"/>
          <w:color w:val="auto"/>
        </w:rPr>
      </w:pPr>
      <w:r>
        <w:rPr>
          <w:rFonts w:ascii="Arial" w:cs="Arial" w:eastAsia="Arial" w:hAnsi="Arial"/>
          <w:sz w:val="16"/>
          <w:szCs w:val="16"/>
          <w:color w:val="auto"/>
        </w:rPr>
        <w:t>45</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after March 28, 2018 would exceed 15.0% of the Annualized EBITDA of Borrower and its Restricted Subsidiaries for the period of two fiscal quarters ended on the last day of the fiscal quarter most recently ended prior to March 28, 2018. Borrower hereby designates the Subsidiaries listed on Schedule 6.08 as Unrestricted Subsidiaries.</w:t>
      </w:r>
    </w:p>
    <w:p>
      <w:pPr>
        <w:spacing w:after="0" w:line="18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181"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75" w:lineRule="exact"/>
        <w:rPr>
          <w:sz w:val="20"/>
          <w:szCs w:val="20"/>
          <w:color w:val="auto"/>
        </w:rPr>
      </w:pPr>
    </w:p>
    <w:p>
      <w:pPr>
        <w:jc w:val="center"/>
        <w:ind w:right="-79"/>
        <w:spacing w:after="0"/>
        <w:tabs>
          <w:tab w:leader="none" w:pos="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Scheme and Offer</w:t>
      </w:r>
      <w:r>
        <w:rPr>
          <w:rFonts w:ascii="Arial" w:cs="Arial" w:eastAsia="Arial" w:hAnsi="Arial"/>
          <w:sz w:val="16"/>
          <w:szCs w:val="16"/>
          <w:color w:val="auto"/>
        </w:rPr>
        <w:t>. Borrower agrees that from the Effective Date, Borrower will (and will procure that Bidco will):</w:t>
      </w:r>
    </w:p>
    <w:p>
      <w:pPr>
        <w:spacing w:after="0" w:line="225" w:lineRule="exact"/>
        <w:rPr>
          <w:sz w:val="20"/>
          <w:szCs w:val="20"/>
          <w:color w:val="auto"/>
        </w:rPr>
      </w:pPr>
    </w:p>
    <w:p>
      <w:pPr>
        <w:ind w:left="2060" w:hanging="512"/>
        <w:spacing w:after="0"/>
        <w:tabs>
          <w:tab w:leader="none" w:pos="2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comply in all material respects with:</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Takeover Code; and</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all other applicable laws and regulations in relation to any Offer or Scheme,</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each case in relation to the Target Acquisition and, subject to any waivers or dispensations granted by the Panel, the U.S. Securities and Exchange Commission or any other applicable regulator;</w:t>
      </w:r>
    </w:p>
    <w:p>
      <w:pPr>
        <w:spacing w:after="0" w:line="170" w:lineRule="exact"/>
        <w:rPr>
          <w:sz w:val="20"/>
          <w:szCs w:val="20"/>
          <w:color w:val="auto"/>
        </w:rPr>
      </w:pPr>
    </w:p>
    <w:p>
      <w:pPr>
        <w:ind w:left="260" w:right="380" w:firstLine="1288"/>
        <w:spacing w:after="0" w:line="277" w:lineRule="auto"/>
        <w:tabs>
          <w:tab w:leader="none" w:pos="208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promptly provide Administrative Agent with such information as it may reasonably request regarding the Target Acquisition subject to confidentiality limitations and except to the extent it is prohibited by law or regulation from doing so; and</w:t>
      </w:r>
    </w:p>
    <w:p>
      <w:pPr>
        <w:spacing w:after="0" w:line="170" w:lineRule="exact"/>
        <w:rPr>
          <w:rFonts w:ascii="Arial" w:cs="Arial" w:eastAsia="Arial" w:hAnsi="Arial"/>
          <w:sz w:val="18"/>
          <w:szCs w:val="18"/>
          <w:color w:val="auto"/>
        </w:rPr>
      </w:pPr>
    </w:p>
    <w:p>
      <w:pPr>
        <w:ind w:left="2060" w:hanging="512"/>
        <w:spacing w:after="0"/>
        <w:tabs>
          <w:tab w:leader="none" w:pos="20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deliver to Administrative Agent as soon as reasonably practicable after it is published copies of:</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each Offer Document and any Scheme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46</w:t>
      </w:r>
    </w:p>
    <w:p>
      <w:pPr>
        <w:spacing w:after="0" w:line="117" w:lineRule="exact"/>
        <w:rPr>
          <w:sz w:val="20"/>
          <w:szCs w:val="20"/>
          <w:color w:val="auto"/>
        </w:rPr>
      </w:pPr>
    </w:p>
    <w:p>
      <w:pPr>
        <w:ind w:left="1300" w:right="20" w:firstLine="653"/>
        <w:spacing w:after="0" w:line="293" w:lineRule="auto"/>
        <w:tabs>
          <w:tab w:leader="none" w:pos="221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each Rule 2.7 Announcement (each of which shall include terms and conditions which are (taken as a whole) not materially prejudicial to the interests of the Lenders (taken as a whole) when compared to those included in the draft Rule 2.7 Announcement delivered pursuant to Section 4.01(c), it being acknowledged that a waiver of a pre-condition which then becomes a condition to be satisfied in connection with the Target Acquisition or an increase to the price of the Target Acquisition will not be materially prejudicial to the interests of the Lenders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may modify or amend any term or condition of any Offer or Scheme to the extent required by the Code, the Panel, any other competent regulatory body or by a court of competent jurisdiction).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Section 4.04, so long as any Obligations remain unpaid, or any portion of the Commitments remains outstanding:</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2060" w:hanging="512"/>
        <w:spacing w:after="0"/>
        <w:tabs>
          <w:tab w:leader="none" w:pos="2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260" w:right="220" w:firstLine="1288"/>
        <w:spacing w:after="0" w:line="264" w:lineRule="auto"/>
        <w:tabs>
          <w:tab w:leader="none" w:pos="208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securing Indebtedness for borrowed money (including without duplication Guaranty Obligations in respect thereof) that does not exceed $750,000,000 in the aggregate,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not extended to cover any other property, assets or revenues;</w:t>
      </w:r>
    </w:p>
    <w:p>
      <w:pPr>
        <w:spacing w:after="0" w:line="181" w:lineRule="exact"/>
        <w:rPr>
          <w:rFonts w:ascii="Arial" w:cs="Arial" w:eastAsia="Arial" w:hAnsi="Arial"/>
          <w:sz w:val="18"/>
          <w:szCs w:val="18"/>
          <w:color w:val="auto"/>
        </w:rPr>
      </w:pPr>
    </w:p>
    <w:p>
      <w:pPr>
        <w:ind w:left="2060" w:hanging="512"/>
        <w:spacing w:after="0"/>
        <w:tabs>
          <w:tab w:leader="none" w:pos="20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2080" w:hanging="532"/>
        <w:spacing w:after="0"/>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left="260" w:right="80" w:firstLine="1288"/>
        <w:spacing w:after="0" w:line="259" w:lineRule="auto"/>
        <w:tabs>
          <w:tab w:leader="none" w:pos="20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86" w:lineRule="exact"/>
        <w:rPr>
          <w:rFonts w:ascii="Arial" w:cs="Arial" w:eastAsia="Arial" w:hAnsi="Arial"/>
          <w:sz w:val="18"/>
          <w:szCs w:val="18"/>
          <w:color w:val="auto"/>
        </w:rPr>
      </w:pPr>
    </w:p>
    <w:p>
      <w:pPr>
        <w:ind w:left="260" w:right="100" w:firstLine="1288"/>
        <w:spacing w:after="0" w:line="264" w:lineRule="auto"/>
        <w:tabs>
          <w:tab w:leader="none" w:pos="20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left="260" w:right="280" w:firstLine="1288"/>
        <w:spacing w:after="0" w:line="277" w:lineRule="auto"/>
        <w:tabs>
          <w:tab w:leader="none" w:pos="208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47</w:t>
      </w:r>
    </w:p>
    <w:p>
      <w:pPr>
        <w:spacing w:after="0" w:line="117" w:lineRule="exact"/>
        <w:rPr>
          <w:sz w:val="20"/>
          <w:szCs w:val="20"/>
          <w:color w:val="auto"/>
        </w:rPr>
      </w:pPr>
    </w:p>
    <w:p>
      <w:pPr>
        <w:ind w:left="2080" w:hanging="532"/>
        <w:spacing w:after="0"/>
        <w:tabs>
          <w:tab w:leader="none" w:pos="2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Liens not otherwise permitted hereby which secure Indebtedness incurred pursuant to Asset Monetization Transactions;</w:t>
      </w:r>
    </w:p>
    <w:p>
      <w:pPr>
        <w:spacing w:after="0" w:line="236" w:lineRule="exact"/>
        <w:rPr>
          <w:rFonts w:ascii="Arial" w:cs="Arial" w:eastAsia="Arial" w:hAnsi="Arial"/>
          <w:sz w:val="17"/>
          <w:szCs w:val="17"/>
          <w:color w:val="auto"/>
        </w:rPr>
      </w:pPr>
    </w:p>
    <w:p>
      <w:pPr>
        <w:jc w:val="both"/>
        <w:ind w:left="260" w:right="420" w:firstLine="1288"/>
        <w:spacing w:after="0" w:line="259" w:lineRule="auto"/>
        <w:tabs>
          <w:tab w:leader="none" w:pos="204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Liens on any assets of the Target Group which Liens (i) are existing as of the Final Closing Date, (ii) are not incurred to secure indebtedness financing the Target Acquisition and (iii) do not extend to other assets other than (x) after acquired property that is automatically subject to such Lien, (y) proceeds and products of such property and any replacement, improvement, accessions or additions thereto and (B) any modification, replacement, refinancing, renewal or extension of such Lien; and</w:t>
      </w:r>
    </w:p>
    <w:p>
      <w:pPr>
        <w:spacing w:after="0" w:line="186" w:lineRule="exact"/>
        <w:rPr>
          <w:rFonts w:ascii="Arial" w:cs="Arial" w:eastAsia="Arial" w:hAnsi="Arial"/>
          <w:sz w:val="18"/>
          <w:szCs w:val="18"/>
          <w:color w:val="auto"/>
        </w:rPr>
      </w:pPr>
    </w:p>
    <w:p>
      <w:pPr>
        <w:ind w:left="260" w:right="240" w:firstLine="1288"/>
        <w:spacing w:after="0" w:line="259" w:lineRule="auto"/>
        <w:tabs>
          <w:tab w:leader="none" w:pos="204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Tangible Assets minus (y) the amount, if any, of any unsecured Indebtedness incurred by any Restricted Subsidiary that is not a Guarantor pursuant to Section 7.02.</w:t>
      </w:r>
    </w:p>
    <w:p>
      <w:pPr>
        <w:spacing w:after="0" w:line="187"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left="260" w:right="220" w:firstLine="1288"/>
        <w:spacing w:after="0" w:line="264" w:lineRule="auto"/>
        <w:tabs>
          <w:tab w:leader="none" w:pos="20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181" w:lineRule="exact"/>
        <w:rPr>
          <w:rFonts w:ascii="Arial" w:cs="Arial" w:eastAsia="Arial" w:hAnsi="Arial"/>
          <w:sz w:val="18"/>
          <w:szCs w:val="18"/>
          <w:color w:val="auto"/>
        </w:rPr>
      </w:pPr>
    </w:p>
    <w:p>
      <w:pPr>
        <w:ind w:left="2080" w:hanging="532"/>
        <w:spacing w:after="0"/>
        <w:tabs>
          <w:tab w:leader="none" w:pos="2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225" w:lineRule="exact"/>
        <w:rPr>
          <w:rFonts w:ascii="Arial" w:cs="Arial" w:eastAsia="Arial" w:hAnsi="Arial"/>
          <w:sz w:val="18"/>
          <w:szCs w:val="18"/>
          <w:color w:val="auto"/>
        </w:rPr>
      </w:pPr>
    </w:p>
    <w:p>
      <w:pPr>
        <w:ind w:left="260" w:right="60" w:firstLine="1288"/>
        <w:spacing w:after="0" w:line="277" w:lineRule="auto"/>
        <w:tabs>
          <w:tab w:leader="none" w:pos="207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Indebtedness of the Target Group that (i) is existing as of the Final Closing Date and (ii) is not incurred to finance the Target Acquisition and (B) any modification, replacement, refinancing, renewal or extension of such Indebtedness; and</w:t>
      </w:r>
    </w:p>
    <w:p>
      <w:pPr>
        <w:spacing w:after="0" w:line="170" w:lineRule="exact"/>
        <w:rPr>
          <w:rFonts w:ascii="Arial" w:cs="Arial" w:eastAsia="Arial" w:hAnsi="Arial"/>
          <w:sz w:val="18"/>
          <w:szCs w:val="18"/>
          <w:color w:val="auto"/>
        </w:rPr>
      </w:pPr>
    </w:p>
    <w:p>
      <w:pPr>
        <w:ind w:left="260" w:right="220" w:firstLine="1288"/>
        <w:spacing w:after="0" w:line="264" w:lineRule="auto"/>
        <w:tabs>
          <w:tab w:leader="none" w:pos="208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Indebtedness in an aggregate principal amount for all such Restricted Subsidiaries that are not Guarantors not exceeding at any time (x) 15% of Consolidated Net Tangible Assets minus (y) the amount, if any, of Indebtedness for borrowed money (including without duplication Guaranty Obligations in respect thereof) of any Loan Party secured pursuant to Section 7.01(j)).</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(a) Borrower shall not (A) merge or consolidate with or into any Person or (B) liquidate, wind-up or dissolve itself or (C) sell, transfer or dispose of all or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7.03 shall be construed to prohibit Borrower from reincorporating in another jurisdiction permitted by clause (iii) below, changing its form of organization or merging into, or transferring all or substantially all of its assets to, another Person so long as:</w:t>
      </w:r>
    </w:p>
    <w:p>
      <w:pPr>
        <w:spacing w:after="0" w:line="187" w:lineRule="exact"/>
        <w:rPr>
          <w:sz w:val="20"/>
          <w:szCs w:val="20"/>
          <w:color w:val="auto"/>
        </w:rPr>
      </w:pPr>
    </w:p>
    <w:p>
      <w:pPr>
        <w:ind w:left="1300" w:right="40" w:firstLine="653"/>
        <w:spacing w:after="0" w:line="257" w:lineRule="auto"/>
        <w:tabs>
          <w:tab w:leader="none" w:pos="216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48</w:t>
      </w:r>
    </w:p>
    <w:p>
      <w:pPr>
        <w:spacing w:after="0" w:line="117" w:lineRule="exact"/>
        <w:rPr>
          <w:sz w:val="20"/>
          <w:szCs w:val="20"/>
          <w:color w:val="auto"/>
        </w:rPr>
      </w:pPr>
    </w:p>
    <w:p>
      <w:pPr>
        <w:ind w:left="1300" w:right="240" w:firstLine="648"/>
        <w:spacing w:after="0" w:line="279" w:lineRule="auto"/>
        <w:rPr>
          <w:sz w:val="20"/>
          <w:szCs w:val="20"/>
          <w:color w:val="auto"/>
        </w:rPr>
      </w:pPr>
      <w:r>
        <w:rPr>
          <w:rFonts w:ascii="Arial" w:cs="Arial" w:eastAsia="Arial" w:hAnsi="Arial"/>
          <w:sz w:val="17"/>
          <w:szCs w:val="17"/>
          <w:color w:val="auto"/>
        </w:rPr>
        <w:t>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w:t>
      </w:r>
    </w:p>
    <w:p>
      <w:pPr>
        <w:spacing w:after="0" w:line="171" w:lineRule="exact"/>
        <w:rPr>
          <w:sz w:val="20"/>
          <w:szCs w:val="20"/>
          <w:color w:val="auto"/>
        </w:rPr>
      </w:pPr>
    </w:p>
    <w:p>
      <w:pPr>
        <w:ind w:left="2220" w:hanging="267"/>
        <w:spacing w:after="0"/>
        <w:tabs>
          <w:tab w:leader="none" w:pos="222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248" w:lineRule="exact"/>
        <w:rPr>
          <w:rFonts w:ascii="Arial" w:cs="Arial" w:eastAsia="Arial" w:hAnsi="Arial"/>
          <w:sz w:val="16"/>
          <w:szCs w:val="16"/>
          <w:color w:val="auto"/>
        </w:rPr>
      </w:pPr>
    </w:p>
    <w:p>
      <w:pPr>
        <w:ind w:left="1300" w:right="220" w:firstLine="653"/>
        <w:spacing w:after="0" w:line="277" w:lineRule="auto"/>
        <w:tabs>
          <w:tab w:leader="none" w:pos="226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Borrower or a Successor Corporation’s jurisdiction of organization shall be a state within in the United States of America or the District of Columbia.</w:t>
      </w:r>
    </w:p>
    <w:p>
      <w:pPr>
        <w:spacing w:after="0" w:line="170" w:lineRule="exact"/>
        <w:rPr>
          <w:rFonts w:ascii="Arial" w:cs="Arial" w:eastAsia="Arial" w:hAnsi="Arial"/>
          <w:sz w:val="18"/>
          <w:szCs w:val="18"/>
          <w:color w:val="auto"/>
        </w:rPr>
      </w:pPr>
    </w:p>
    <w:p>
      <w:pPr>
        <w:ind w:left="260" w:right="400" w:firstLine="1288"/>
        <w:spacing w:after="0" w:line="277" w:lineRule="auto"/>
        <w:tabs>
          <w:tab w:leader="none" w:pos="208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Notwithstanding anything to the contrary herein, for the avoidance of doubt, this Section 7.03 shall not apply to the Target Acquisition or any transactions undertaken to implement the Target Acquisition, in accordance with the Offer Documents or the Scheme Documents and the Target Acquisition shall be permitted hereunder.</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Borrower shall not, nor shall it permit any Restricted Subsidiary to, directly or indirectly, at any time permit (a) any Plan to</w:t>
      </w:r>
    </w:p>
    <w:p>
      <w:pPr>
        <w:spacing w:after="0" w:line="23" w:lineRule="exact"/>
        <w:rPr>
          <w:sz w:val="20"/>
          <w:szCs w:val="20"/>
          <w:color w:val="auto"/>
        </w:rPr>
      </w:pPr>
    </w:p>
    <w:p>
      <w:pPr>
        <w:ind w:right="20" w:firstLine="8"/>
        <w:spacing w:after="0" w:line="255" w:lineRule="auto"/>
        <w:tabs>
          <w:tab w:leader="none" w:pos="2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90"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will not request any Borrowing and Borrower shall not use, and shall not make available to its Subsidiaries and its or their respective directors, officers, employees and agents,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78"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Financial Covenant</w:t>
      </w:r>
      <w:r>
        <w:rPr>
          <w:rFonts w:ascii="Arial" w:cs="Arial" w:eastAsia="Arial" w:hAnsi="Arial"/>
          <w:sz w:val="18"/>
          <w:szCs w:val="18"/>
          <w:color w:val="auto"/>
        </w:rPr>
        <w:t>. Borrower shall not permit the Leverage Ratio as of the end of any fiscal quarter of Borrower ending after the Initial Closing Date to be greater than 5.75 to 1.00.</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5"/>
          <w:szCs w:val="15"/>
          <w:u w:val="single" w:color="auto"/>
          <w:color w:val="auto"/>
        </w:rPr>
        <w:t>Scheme and Offer</w:t>
      </w:r>
      <w:r>
        <w:rPr>
          <w:rFonts w:ascii="Arial" w:cs="Arial" w:eastAsia="Arial" w:hAnsi="Arial"/>
          <w:sz w:val="15"/>
          <w:szCs w:val="15"/>
          <w:color w:val="auto"/>
        </w:rPr>
        <w:t>.</w:t>
      </w:r>
    </w:p>
    <w:p>
      <w:pPr>
        <w:spacing w:after="0" w:line="225" w:lineRule="exact"/>
        <w:rPr>
          <w:sz w:val="20"/>
          <w:szCs w:val="20"/>
          <w:color w:val="auto"/>
        </w:rPr>
      </w:pPr>
    </w:p>
    <w:p>
      <w:pPr>
        <w:ind w:left="260" w:right="60" w:firstLine="1288"/>
        <w:spacing w:after="0" w:line="276" w:lineRule="auto"/>
        <w:tabs>
          <w:tab w:leader="none" w:pos="207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Except as consented to by the Required Lenders in writing (such consent not to be unreasonably withheld, conditioned or delayed), Borrower shall not (and shall procure that Bidco shall not) amend, treat as satisfied or waive any term or condition of an Offer or a Scheme set out in the relevant Target Acquisition Document other than any such amendment, treatment or waiver which is not a Materially Adverse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amend, treat as satisfied or waive any term or condition of an Offer or a Scheme to the extent required by the Takeover Code, the Panel, any other competent regulatory body or by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49</w:t>
      </w:r>
    </w:p>
    <w:p>
      <w:pPr>
        <w:spacing w:after="0" w:line="117" w:lineRule="exact"/>
        <w:rPr>
          <w:sz w:val="20"/>
          <w:szCs w:val="20"/>
          <w:color w:val="auto"/>
        </w:rPr>
      </w:pPr>
    </w:p>
    <w:p>
      <w:pPr>
        <w:ind w:right="740" w:firstLine="1288"/>
        <w:spacing w:after="0" w:line="277" w:lineRule="auto"/>
        <w:tabs>
          <w:tab w:leader="none" w:pos="182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case of an Offer, Borrower shall not (and shall procure that Bidco shall not) declare any Offer unconditional as to acceptances until the Acceptance Condition shall have been satisfied.</w:t>
      </w:r>
    </w:p>
    <w:p>
      <w:pPr>
        <w:spacing w:after="0" w:line="1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ind w:left="1040"/>
        <w:spacing w:after="0"/>
        <w:tabs>
          <w:tab w:leader="none" w:pos="166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Subject to Section 4.04, any one or more of the following events shall constitute an Event of Default:</w:t>
      </w:r>
    </w:p>
    <w:p>
      <w:pPr>
        <w:spacing w:after="0" w:line="225" w:lineRule="exact"/>
        <w:rPr>
          <w:sz w:val="20"/>
          <w:szCs w:val="20"/>
          <w:color w:val="auto"/>
        </w:rPr>
      </w:pPr>
    </w:p>
    <w:p>
      <w:pPr>
        <w:ind w:left="1800" w:hanging="512"/>
        <w:spacing w:after="0"/>
        <w:tabs>
          <w:tab w:leader="none" w:pos="1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Borrower fails to pay any principal on any of its Outstanding Obligations (other than fees) on the date when due; or</w:t>
      </w:r>
    </w:p>
    <w:p>
      <w:pPr>
        <w:spacing w:after="0" w:line="225" w:lineRule="exact"/>
        <w:rPr>
          <w:rFonts w:ascii="Arial" w:cs="Arial" w:eastAsia="Arial" w:hAnsi="Arial"/>
          <w:sz w:val="18"/>
          <w:szCs w:val="18"/>
          <w:color w:val="auto"/>
        </w:rPr>
      </w:pPr>
    </w:p>
    <w:p>
      <w:pPr>
        <w:ind w:right="120" w:firstLine="1288"/>
        <w:spacing w:after="0" w:line="264" w:lineRule="auto"/>
        <w:tabs>
          <w:tab w:leader="none" w:pos="182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Obligations,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800" w:hanging="512"/>
        <w:spacing w:after="0"/>
        <w:tabs>
          <w:tab w:leader="none" w:pos="18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ind w:right="240" w:firstLine="1288"/>
        <w:spacing w:after="0" w:line="264" w:lineRule="auto"/>
        <w:tabs>
          <w:tab w:leader="none" w:pos="181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60" w:firstLine="1288"/>
        <w:spacing w:after="0" w:line="277" w:lineRule="auto"/>
        <w:tabs>
          <w:tab w:leader="none" w:pos="180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right="60" w:firstLine="1288"/>
        <w:spacing w:after="0" w:line="270" w:lineRule="auto"/>
        <w:tabs>
          <w:tab w:leader="none" w:pos="179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or</w:t>
      </w:r>
    </w:p>
    <w:p>
      <w:pPr>
        <w:spacing w:after="0" w:line="181" w:lineRule="exact"/>
        <w:rPr>
          <w:rFonts w:ascii="Arial" w:cs="Arial" w:eastAsia="Arial" w:hAnsi="Arial"/>
          <w:sz w:val="17"/>
          <w:szCs w:val="17"/>
          <w:color w:val="auto"/>
        </w:rPr>
      </w:pPr>
    </w:p>
    <w:p>
      <w:pPr>
        <w:jc w:val="both"/>
        <w:ind w:right="160" w:firstLine="1288"/>
        <w:spacing w:after="0" w:line="302" w:lineRule="auto"/>
        <w:tabs>
          <w:tab w:leader="none" w:pos="18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Guarantee Agreement, at any time after its execution and delivery and for any reason other than the agreement of Required Lenders or all Lenders, as may be required hereunder, or satisfaction in full of all the Obligations, ceases to be in full force and effect or is declared by a court of competent jurisdiction to be null and void, invalid or unenforceable in any material respect; or a Guarantor denies in writing that it has any or further liability or obligation under the Guarantee Agreement, or purports to revoke, terminate or rescind the Guarantee Agreement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330200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3"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50</w:t>
      </w:r>
    </w:p>
    <w:p>
      <w:pPr>
        <w:spacing w:after="0" w:line="117" w:lineRule="exact"/>
        <w:rPr>
          <w:sz w:val="20"/>
          <w:szCs w:val="20"/>
          <w:color w:val="auto"/>
        </w:rPr>
      </w:pPr>
    </w:p>
    <w:p>
      <w:pPr>
        <w:ind w:left="260" w:right="180" w:firstLine="1288"/>
        <w:spacing w:after="0" w:line="264" w:lineRule="auto"/>
        <w:tabs>
          <w:tab w:leader="none" w:pos="207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81" w:lineRule="exact"/>
        <w:rPr>
          <w:rFonts w:ascii="Arial" w:cs="Arial" w:eastAsia="Arial" w:hAnsi="Arial"/>
          <w:sz w:val="18"/>
          <w:szCs w:val="18"/>
          <w:color w:val="auto"/>
        </w:rPr>
      </w:pPr>
    </w:p>
    <w:p>
      <w:pPr>
        <w:ind w:left="260" w:right="180" w:firstLine="1288"/>
        <w:spacing w:after="0" w:line="293" w:lineRule="auto"/>
        <w:tabs>
          <w:tab w:leader="none" w:pos="204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left="2020" w:hanging="472"/>
        <w:spacing w:after="0"/>
        <w:tabs>
          <w:tab w:leader="none" w:pos="2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Without limiting any other rights or remedies of Administrative Agent or Lenders provided for elsewhere in this Agreement, or the other Loan Documents, or by applicable Law, or in equity, or otherwise (but subject in all cases to Section 4.04):</w:t>
      </w:r>
    </w:p>
    <w:p>
      <w:pPr>
        <w:spacing w:after="0" w:line="147" w:lineRule="exact"/>
        <w:rPr>
          <w:sz w:val="20"/>
          <w:szCs w:val="20"/>
          <w:color w:val="auto"/>
        </w:rPr>
      </w:pPr>
    </w:p>
    <w:p>
      <w:pPr>
        <w:ind w:left="260" w:right="100" w:firstLine="1288"/>
        <w:spacing w:after="0" w:line="257" w:lineRule="auto"/>
        <w:tabs>
          <w:tab w:leader="none" w:pos="207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Administrative Agent may, with the consent of the Required Lenders, and (subject to the terms of Section 9) shall, upon the request of Required Lenders,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w:t>
      </w:r>
    </w:p>
    <w:p>
      <w:pPr>
        <w:spacing w:after="0" w:line="188" w:lineRule="exact"/>
        <w:rPr>
          <w:rFonts w:ascii="Arial" w:cs="Arial" w:eastAsia="Arial" w:hAnsi="Arial"/>
          <w:sz w:val="18"/>
          <w:szCs w:val="18"/>
          <w:color w:val="auto"/>
        </w:rPr>
      </w:pPr>
    </w:p>
    <w:p>
      <w:pPr>
        <w:ind w:left="260" w:right="40" w:firstLine="1288"/>
        <w:spacing w:after="0" w:line="277" w:lineRule="auto"/>
        <w:tabs>
          <w:tab w:leader="none" w:pos="208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(x) following the expiration of the Certain Funds Period, any Event of Default described in Section 8.01(i) occurs or (y) during the Certain Funds Period, an Event of Default described in Section 8.01(i) occurs that is a Major Event of Default, then:</w:t>
      </w:r>
    </w:p>
    <w:p>
      <w:pPr>
        <w:spacing w:after="0" w:line="170" w:lineRule="exact"/>
        <w:rPr>
          <w:rFonts w:ascii="Arial" w:cs="Arial" w:eastAsia="Arial" w:hAnsi="Arial"/>
          <w:sz w:val="18"/>
          <w:szCs w:val="18"/>
          <w:color w:val="auto"/>
        </w:rPr>
      </w:pPr>
    </w:p>
    <w:p>
      <w:pPr>
        <w:ind w:left="1300" w:right="160" w:firstLine="653"/>
        <w:spacing w:after="0" w:line="277" w:lineRule="auto"/>
        <w:tabs>
          <w:tab w:leader="none" w:pos="216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Commitments and all other obligations of Administrative Agent or Lenders shall automatically terminate without notice to or demand upon Borrower, which is expressly waived by Borrower; and</w:t>
      </w:r>
    </w:p>
    <w:p>
      <w:pPr>
        <w:spacing w:after="0" w:line="170" w:lineRule="exact"/>
        <w:rPr>
          <w:rFonts w:ascii="Arial" w:cs="Arial" w:eastAsia="Arial" w:hAnsi="Arial"/>
          <w:sz w:val="18"/>
          <w:szCs w:val="18"/>
          <w:color w:val="auto"/>
        </w:rPr>
      </w:pPr>
    </w:p>
    <w:p>
      <w:pPr>
        <w:ind w:left="1300" w:right="220" w:firstLine="653"/>
        <w:spacing w:after="0" w:line="264" w:lineRule="auto"/>
        <w:tabs>
          <w:tab w:leader="none" w:pos="221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w:t>
      </w:r>
    </w:p>
    <w:p>
      <w:pPr>
        <w:spacing w:after="0" w:line="181" w:lineRule="exact"/>
        <w:rPr>
          <w:rFonts w:ascii="Arial" w:cs="Arial" w:eastAsia="Arial" w:hAnsi="Arial"/>
          <w:sz w:val="18"/>
          <w:szCs w:val="18"/>
          <w:color w:val="auto"/>
        </w:rPr>
      </w:pPr>
    </w:p>
    <w:p>
      <w:pPr>
        <w:ind w:left="260" w:right="100" w:firstLine="1288"/>
        <w:spacing w:after="0" w:line="286" w:lineRule="auto"/>
        <w:tabs>
          <w:tab w:leader="none" w:pos="207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65" w:lineRule="exact"/>
        <w:rPr>
          <w:rFonts w:ascii="Arial" w:cs="Arial" w:eastAsia="Arial" w:hAnsi="Arial"/>
          <w:sz w:val="17"/>
          <w:szCs w:val="17"/>
          <w:color w:val="auto"/>
        </w:rPr>
      </w:pPr>
    </w:p>
    <w:p>
      <w:pPr>
        <w:ind w:left="260" w:right="60" w:firstLine="1288"/>
        <w:spacing w:after="0" w:line="342" w:lineRule="auto"/>
        <w:tabs>
          <w:tab w:leader="none" w:pos="207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8" w:name="page199"/>
    <w:bookmarkEnd w:id="198"/>
    <w:p>
      <w:pPr>
        <w:ind w:left="11240"/>
        <w:spacing w:after="0"/>
        <w:rPr>
          <w:sz w:val="20"/>
          <w:szCs w:val="20"/>
          <w:color w:val="auto"/>
        </w:rPr>
      </w:pPr>
      <w:r>
        <w:rPr>
          <w:rFonts w:ascii="Arial" w:cs="Arial" w:eastAsia="Arial" w:hAnsi="Arial"/>
          <w:sz w:val="16"/>
          <w:szCs w:val="16"/>
          <w:color w:val="auto"/>
        </w:rPr>
        <w:t>51</w:t>
      </w:r>
    </w:p>
    <w:p>
      <w:pPr>
        <w:spacing w:after="0" w:line="140" w:lineRule="exact"/>
        <w:rPr>
          <w:sz w:val="20"/>
          <w:szCs w:val="20"/>
          <w:color w:val="auto"/>
        </w:rPr>
      </w:pPr>
    </w:p>
    <w:p>
      <w:pPr>
        <w:ind w:left="260" w:right="140"/>
        <w:spacing w:after="0" w:line="291" w:lineRule="auto"/>
        <w:rPr>
          <w:sz w:val="20"/>
          <w:szCs w:val="20"/>
          <w:color w:val="auto"/>
        </w:rPr>
      </w:pPr>
      <w:r>
        <w:rPr>
          <w:rFonts w:ascii="Arial" w:cs="Arial" w:eastAsia="Arial" w:hAnsi="Arial"/>
          <w:sz w:val="16"/>
          <w:szCs w:val="16"/>
          <w:color w:val="auto"/>
        </w:rPr>
        <w:t>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2.01(a) of the Guarantee Agreement.</w:t>
      </w:r>
    </w:p>
    <w:p>
      <w:pPr>
        <w:spacing w:after="0" w:line="16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Clean-Up Period</w:t>
      </w:r>
      <w:r>
        <w:rPr>
          <w:rFonts w:ascii="Arial" w:cs="Arial" w:eastAsia="Arial" w:hAnsi="Arial"/>
          <w:sz w:val="18"/>
          <w:szCs w:val="18"/>
          <w:color w:val="auto"/>
        </w:rPr>
        <w:t>. Notwithstanding anything in any Loan Document to the contrary, for a period commencing on the Initial Closing Date and ending on the Clean-Up Period Termination Date, any breach of covenants, misrepresentation or other Default or Event of Default which arises with respect to the Target Group only will be deemed not to be a breach of representation or warranty, a breach of covenant, a Default or an Event of Default, as the case may be, if:</w:t>
      </w:r>
    </w:p>
    <w:p>
      <w:pPr>
        <w:spacing w:after="0" w:line="187" w:lineRule="exact"/>
        <w:rPr>
          <w:sz w:val="20"/>
          <w:szCs w:val="20"/>
          <w:color w:val="auto"/>
        </w:rPr>
      </w:pPr>
    </w:p>
    <w:p>
      <w:pPr>
        <w:ind w:left="2060" w:hanging="512"/>
        <w:spacing w:after="0"/>
        <w:tabs>
          <w:tab w:leader="none" w:pos="20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it relates exclusively to the Target Group (or any obligation to procure or ensure any action in relation to the Target Group);</w:t>
      </w:r>
    </w:p>
    <w:p>
      <w:pPr>
        <w:spacing w:after="0" w:line="236" w:lineRule="exact"/>
        <w:rPr>
          <w:rFonts w:ascii="Arial" w:cs="Arial" w:eastAsia="Arial" w:hAnsi="Arial"/>
          <w:sz w:val="17"/>
          <w:szCs w:val="17"/>
          <w:color w:val="auto"/>
        </w:rPr>
      </w:pPr>
    </w:p>
    <w:p>
      <w:pPr>
        <w:ind w:left="2080" w:hanging="532"/>
        <w:spacing w:after="0"/>
        <w:tabs>
          <w:tab w:leader="none" w:pos="2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it is capable of remedy and reasonable steps (consistent with Borrower’s level of control of the Target) are being taken to remedy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260" w:right="320" w:firstLine="1288"/>
        <w:spacing w:after="0" w:line="277" w:lineRule="auto"/>
        <w:tabs>
          <w:tab w:leader="none" w:pos="207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circumstances giving rise to it have not been procured by or approved by Borrower or any of its Subsidiaries (other than a member of the Target Group); and</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it is not reasonably likely to have a Material Adverse Effect;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circumstances are continuing on or after the Clean-Up Period Termination Date, there shall be a breach of representation or warranty, breach of covenant, Default or Event of Default, as the case may be, notwithstanding this Section 8.03.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Appointment</w:t>
      </w:r>
      <w:r>
        <w:rPr>
          <w:rFonts w:ascii="Arial" w:cs="Arial" w:eastAsia="Arial" w:hAnsi="Arial"/>
          <w:sz w:val="17"/>
          <w:szCs w:val="17"/>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 The provisions of this Section are solely for the benefit of the Administrative Agent and the Lenders, and the Borrower shall not have rights as a third party beneficiary of any of such provisions (other than as provided in Section 9.09 below). It is understood and agreed that the use of the term “agent” herein or in any other Loan Documents (or any other similar term)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9" w:name="page200"/>
    <w:bookmarkEnd w:id="199"/>
    <w:p>
      <w:pPr>
        <w:ind w:left="11240"/>
        <w:spacing w:after="0"/>
        <w:rPr>
          <w:sz w:val="20"/>
          <w:szCs w:val="20"/>
          <w:color w:val="auto"/>
        </w:rPr>
      </w:pPr>
      <w:r>
        <w:rPr>
          <w:rFonts w:ascii="Arial" w:cs="Arial" w:eastAsia="Arial" w:hAnsi="Arial"/>
          <w:sz w:val="16"/>
          <w:szCs w:val="16"/>
          <w:color w:val="auto"/>
        </w:rPr>
        <w:t>52</w:t>
      </w:r>
    </w:p>
    <w:p>
      <w:pPr>
        <w:spacing w:after="0" w:line="1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1"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166"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78" w:lineRule="exact"/>
        <w:rPr>
          <w:sz w:val="20"/>
          <w:szCs w:val="20"/>
          <w:color w:val="auto"/>
        </w:rPr>
      </w:pPr>
    </w:p>
    <w:p>
      <w:pPr>
        <w:ind w:right="40" w:firstLine="1305"/>
        <w:spacing w:after="0" w:line="259" w:lineRule="auto"/>
        <w:tabs>
          <w:tab w:leader="none" w:pos="155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Administrative Agent shall not be deemed to have knowledge or notice of the occurrence of any Default or Event of Default unless Administrative Agent has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53</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93"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85"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each Agent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73"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and its affiliates as though such Agent were not an Agent. With respect to its Loans made or renewed by it,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1" w:name="page202"/>
    <w:bookmarkEnd w:id="201"/>
    <w:p>
      <w:pPr>
        <w:ind w:left="11240"/>
        <w:spacing w:after="0"/>
        <w:rPr>
          <w:sz w:val="20"/>
          <w:szCs w:val="20"/>
          <w:color w:val="auto"/>
        </w:rPr>
      </w:pPr>
      <w:r>
        <w:rPr>
          <w:rFonts w:ascii="Arial" w:cs="Arial" w:eastAsia="Arial" w:hAnsi="Arial"/>
          <w:sz w:val="16"/>
          <w:szCs w:val="16"/>
          <w:color w:val="auto"/>
        </w:rPr>
        <w:t>54</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70" w:lineRule="exact"/>
        <w:rPr>
          <w:sz w:val="20"/>
          <w:szCs w:val="20"/>
          <w:color w:val="auto"/>
        </w:rPr>
      </w:pPr>
    </w:p>
    <w:p>
      <w:pPr>
        <w:ind w:right="220" w:firstLine="1297"/>
        <w:spacing w:after="0" w:line="288"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w:t>
      </w:r>
    </w:p>
    <w:p>
      <w:pPr>
        <w:spacing w:after="0" w:line="281" w:lineRule="auto"/>
        <w:rPr>
          <w:sz w:val="20"/>
          <w:szCs w:val="20"/>
          <w:color w:val="auto"/>
        </w:rPr>
      </w:pPr>
      <w:r>
        <w:rPr>
          <w:rFonts w:ascii="Arial" w:cs="Arial" w:eastAsia="Arial" w:hAnsi="Arial"/>
          <w:sz w:val="16"/>
          <w:szCs w:val="16"/>
          <w:color w:val="auto"/>
        </w:rPr>
        <w:t>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 After the retiring Administrative Agent’s resignation hereunder and under the other Loan Documents, the provisions of this Section and Sections 10.03 and</w:t>
      </w:r>
    </w:p>
    <w:p>
      <w:pPr>
        <w:spacing w:after="0" w:line="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10.13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in respect of any actions taken in connection with transferring the agency to any successor Administrative Agent.</w:t>
      </w:r>
    </w:p>
    <w:p>
      <w:pPr>
        <w:spacing w:after="0" w:line="190"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Syndication Agent</w:t>
      </w:r>
      <w:r>
        <w:rPr>
          <w:rFonts w:ascii="Arial" w:cs="Arial" w:eastAsia="Arial" w:hAnsi="Arial"/>
          <w:sz w:val="18"/>
          <w:szCs w:val="18"/>
          <w:color w:val="auto"/>
        </w:rPr>
        <w:t>. Neither Syndication Agent nor any Person identified on the cover page of this Agreement as a Joint Lead Arranger and Joint Bookrunner shall have any right, power, obligation, liability, responsibility or duty hereunder in its capacity as such. Without limiting the foregoing, Syndication Agent in its capacity as such shall not have or be deemed to have any fiduciary relationship with any Lender. Each Lender acknowledges that it has not relied, and will not rely, on Syndication Agent in deciding to enter into this Agreement or in taking or not taking action hereunder.</w:t>
      </w:r>
    </w:p>
    <w:p>
      <w:pPr>
        <w:spacing w:after="0" w:line="188"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259" w:lineRule="auto"/>
        <w:tabs>
          <w:tab w:leader="none" w:pos="207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 at least one of the following is and will be true:</w:t>
      </w:r>
    </w:p>
    <w:p>
      <w:pPr>
        <w:spacing w:after="0" w:line="186" w:lineRule="exact"/>
        <w:rPr>
          <w:rFonts w:ascii="Arial" w:cs="Arial" w:eastAsia="Arial" w:hAnsi="Arial"/>
          <w:sz w:val="18"/>
          <w:szCs w:val="18"/>
          <w:color w:val="auto"/>
        </w:rPr>
      </w:pPr>
    </w:p>
    <w:p>
      <w:pPr>
        <w:ind w:left="1300" w:right="20" w:firstLine="653"/>
        <w:spacing w:after="0" w:line="277" w:lineRule="auto"/>
        <w:tabs>
          <w:tab w:leader="none" w:pos="216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or the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55</w:t>
      </w:r>
    </w:p>
    <w:p>
      <w:pPr>
        <w:spacing w:after="0" w:line="117" w:lineRule="exact"/>
        <w:rPr>
          <w:sz w:val="20"/>
          <w:szCs w:val="20"/>
          <w:color w:val="auto"/>
        </w:rPr>
      </w:pPr>
    </w:p>
    <w:p>
      <w:pPr>
        <w:ind w:left="1040" w:right="200" w:firstLine="653"/>
        <w:spacing w:after="0" w:line="273" w:lineRule="auto"/>
        <w:tabs>
          <w:tab w:leader="none" w:pos="195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8" w:lineRule="exact"/>
        <w:rPr>
          <w:rFonts w:ascii="Arial" w:cs="Arial" w:eastAsia="Arial" w:hAnsi="Arial"/>
          <w:sz w:val="17"/>
          <w:szCs w:val="17"/>
          <w:color w:val="auto"/>
        </w:rPr>
      </w:pPr>
    </w:p>
    <w:p>
      <w:pPr>
        <w:ind w:left="1040" w:right="20" w:firstLine="653"/>
        <w:spacing w:after="0" w:line="255" w:lineRule="auto"/>
        <w:tabs>
          <w:tab w:leader="none" w:pos="200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9" w:lineRule="exact"/>
        <w:rPr>
          <w:rFonts w:ascii="Arial" w:cs="Arial" w:eastAsia="Arial" w:hAnsi="Arial"/>
          <w:sz w:val="18"/>
          <w:szCs w:val="18"/>
          <w:color w:val="auto"/>
        </w:rPr>
      </w:pPr>
    </w:p>
    <w:p>
      <w:pPr>
        <w:ind w:left="1040" w:right="540" w:firstLine="653"/>
        <w:spacing w:after="0" w:line="277" w:lineRule="auto"/>
        <w:tabs>
          <w:tab w:leader="none" w:pos="19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Administrative Agent, in its sole discretion, and such Lender.</w:t>
      </w:r>
    </w:p>
    <w:p>
      <w:pPr>
        <w:spacing w:after="0" w:line="170" w:lineRule="exact"/>
        <w:rPr>
          <w:rFonts w:ascii="Arial" w:cs="Arial" w:eastAsia="Arial" w:hAnsi="Arial"/>
          <w:sz w:val="18"/>
          <w:szCs w:val="18"/>
          <w:color w:val="auto"/>
        </w:rPr>
      </w:pPr>
    </w:p>
    <w:p>
      <w:pPr>
        <w:ind w:firstLine="1288"/>
        <w:spacing w:after="0" w:line="276" w:lineRule="auto"/>
        <w:tabs>
          <w:tab w:leader="none" w:pos="182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addition, unless Section 9.11(a)(i)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and each Arranger and their respective Affiliates, and not, for the avoidance of doubt, to or for the benefit of Borrower or any other Loan Party, that:</w:t>
      </w:r>
    </w:p>
    <w:p>
      <w:pPr>
        <w:spacing w:after="0" w:line="172" w:lineRule="exact"/>
        <w:rPr>
          <w:rFonts w:ascii="Arial" w:cs="Arial" w:eastAsia="Arial" w:hAnsi="Arial"/>
          <w:sz w:val="17"/>
          <w:szCs w:val="17"/>
          <w:color w:val="auto"/>
        </w:rPr>
      </w:pPr>
    </w:p>
    <w:p>
      <w:pPr>
        <w:jc w:val="both"/>
        <w:ind w:left="1040" w:right="320" w:firstLine="653"/>
        <w:spacing w:after="0" w:line="264" w:lineRule="auto"/>
        <w:tabs>
          <w:tab w:leader="none" w:pos="19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none of Administrative Agent or any Arranger or any of their respective Affiliates is a fiduciary with respect to the assets of such Lender (including in connection with the reservation or exercise of any rights by Administrative Agent under this Agreement, any other Loan Document or any documents related to hereto or thereto),</w:t>
      </w:r>
    </w:p>
    <w:p>
      <w:pPr>
        <w:spacing w:after="0" w:line="181" w:lineRule="exact"/>
        <w:rPr>
          <w:rFonts w:ascii="Arial" w:cs="Arial" w:eastAsia="Arial" w:hAnsi="Arial"/>
          <w:sz w:val="18"/>
          <w:szCs w:val="18"/>
          <w:color w:val="auto"/>
        </w:rPr>
      </w:pPr>
    </w:p>
    <w:p>
      <w:pPr>
        <w:ind w:left="1040" w:right="160" w:firstLine="653"/>
        <w:spacing w:after="0" w:line="279" w:lineRule="auto"/>
        <w:tabs>
          <w:tab w:leader="none" w:pos="1953"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71" w:lineRule="exact"/>
        <w:rPr>
          <w:rFonts w:ascii="Arial" w:cs="Arial" w:eastAsia="Arial" w:hAnsi="Arial"/>
          <w:sz w:val="17"/>
          <w:szCs w:val="17"/>
          <w:color w:val="auto"/>
        </w:rPr>
      </w:pPr>
    </w:p>
    <w:p>
      <w:pPr>
        <w:ind w:left="1040" w:right="100" w:firstLine="653"/>
        <w:spacing w:after="0" w:line="312" w:lineRule="auto"/>
        <w:tabs>
          <w:tab w:leader="none" w:pos="2003"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325120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23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56</w:t>
      </w:r>
    </w:p>
    <w:p>
      <w:pPr>
        <w:spacing w:after="0" w:line="117" w:lineRule="exact"/>
        <w:rPr>
          <w:sz w:val="20"/>
          <w:szCs w:val="20"/>
          <w:color w:val="auto"/>
        </w:rPr>
      </w:pPr>
    </w:p>
    <w:p>
      <w:pPr>
        <w:ind w:left="1300" w:right="200" w:firstLine="653"/>
        <w:spacing w:after="0" w:line="259" w:lineRule="auto"/>
        <w:tabs>
          <w:tab w:leader="none" w:pos="225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186" w:lineRule="exact"/>
        <w:rPr>
          <w:rFonts w:ascii="Arial" w:cs="Arial" w:eastAsia="Arial" w:hAnsi="Arial"/>
          <w:sz w:val="18"/>
          <w:szCs w:val="18"/>
          <w:color w:val="auto"/>
        </w:rPr>
      </w:pPr>
    </w:p>
    <w:p>
      <w:pPr>
        <w:ind w:left="1300" w:right="200" w:firstLine="653"/>
        <w:spacing w:after="0" w:line="308" w:lineRule="auto"/>
        <w:tabs>
          <w:tab w:leader="none" w:pos="2203"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no fee or other compensation is being paid directly to Administrative Agent or any Arranger or any their respective Affiliates for investment advice (as opposed to other services) in connection with the Loans, the Commitments or this Agreement.</w:t>
      </w:r>
    </w:p>
    <w:p>
      <w:pPr>
        <w:spacing w:after="0" w:line="146" w:lineRule="exact"/>
        <w:rPr>
          <w:rFonts w:ascii="Arial" w:cs="Arial" w:eastAsia="Arial" w:hAnsi="Arial"/>
          <w:sz w:val="17"/>
          <w:szCs w:val="17"/>
          <w:color w:val="auto"/>
        </w:rPr>
      </w:pPr>
    </w:p>
    <w:p>
      <w:pPr>
        <w:ind w:left="260" w:right="20" w:firstLine="1288"/>
        <w:spacing w:after="0" w:line="270" w:lineRule="auto"/>
        <w:tabs>
          <w:tab w:leader="none" w:pos="2061"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or by the other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65" w:lineRule="exact"/>
        <w:rPr>
          <w:sz w:val="20"/>
          <w:szCs w:val="20"/>
          <w:color w:val="auto"/>
        </w:rPr>
      </w:pPr>
    </w:p>
    <w:p>
      <w:pPr>
        <w:ind w:left="2060" w:hanging="512"/>
        <w:spacing w:after="0"/>
        <w:tabs>
          <w:tab w:leader="none" w:pos="20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Obligations owed to such Lender;</w:t>
      </w:r>
    </w:p>
    <w:p>
      <w:pPr>
        <w:spacing w:after="0" w:line="225" w:lineRule="exact"/>
        <w:rPr>
          <w:rFonts w:ascii="Arial" w:cs="Arial" w:eastAsia="Arial" w:hAnsi="Arial"/>
          <w:sz w:val="18"/>
          <w:szCs w:val="18"/>
          <w:color w:val="auto"/>
        </w:rPr>
      </w:pPr>
    </w:p>
    <w:p>
      <w:pPr>
        <w:ind w:left="260" w:right="40" w:firstLine="1288"/>
        <w:spacing w:after="0" w:line="264" w:lineRule="auto"/>
        <w:tabs>
          <w:tab w:leader="none" w:pos="208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Obligations owed to such Lender or the amount or rate of any fee or other amount payable to such Lender under the Loan Documents, except that Required Lenders may waive or defer the imposition of the Default Rate and amendments may otherwise be made in accordance with Section 3.03;</w:t>
      </w:r>
    </w:p>
    <w:p>
      <w:pPr>
        <w:spacing w:after="0" w:line="181" w:lineRule="exact"/>
        <w:rPr>
          <w:rFonts w:ascii="Arial" w:cs="Arial" w:eastAsia="Arial" w:hAnsi="Arial"/>
          <w:sz w:val="18"/>
          <w:szCs w:val="18"/>
          <w:color w:val="auto"/>
        </w:rPr>
      </w:pPr>
    </w:p>
    <w:p>
      <w:pPr>
        <w:ind w:left="260" w:right="120" w:firstLine="1288"/>
        <w:spacing w:after="0" w:line="277" w:lineRule="auto"/>
        <w:tabs>
          <w:tab w:leader="none" w:pos="206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57</w:t>
      </w:r>
    </w:p>
    <w:p>
      <w:pPr>
        <w:spacing w:after="0" w:line="117" w:lineRule="exact"/>
        <w:rPr>
          <w:sz w:val="20"/>
          <w:szCs w:val="20"/>
          <w:color w:val="auto"/>
        </w:rPr>
      </w:pPr>
    </w:p>
    <w:p>
      <w:pPr>
        <w:jc w:val="both"/>
        <w:ind w:left="260" w:firstLine="1288"/>
        <w:spacing w:after="0" w:line="279" w:lineRule="auto"/>
        <w:tabs>
          <w:tab w:leader="none" w:pos="208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Postpone any date scheduled for the payment of principal of, or interest on, any Loan or for the payment of any commitment fee or for the payment of any other amount, in each case payable to such Lender under the Loan Documents, or extend the term of, or increase the amount of, such Lender’s Commitment (it being understood that a waiver of any Event of Default not referred to in subsection (c) above shall require only the consent of Required Lenders) or modify such Lender’s share of the Commitments (except as contemplated hereby);</w:t>
      </w:r>
    </w:p>
    <w:p>
      <w:pPr>
        <w:spacing w:after="0" w:line="171" w:lineRule="exact"/>
        <w:rPr>
          <w:rFonts w:ascii="Arial" w:cs="Arial" w:eastAsia="Arial" w:hAnsi="Arial"/>
          <w:sz w:val="17"/>
          <w:szCs w:val="17"/>
          <w:color w:val="auto"/>
        </w:rPr>
      </w:pPr>
    </w:p>
    <w:p>
      <w:pPr>
        <w:ind w:left="2060" w:hanging="512"/>
        <w:spacing w:after="0"/>
        <w:tabs>
          <w:tab w:leader="none" w:pos="20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Amend or waive the definition of “Required Lenders” or the provisions of </w:t>
      </w:r>
      <w:r>
        <w:rPr>
          <w:rFonts w:ascii="Arial" w:cs="Arial" w:eastAsia="Arial" w:hAnsi="Arial"/>
          <w:sz w:val="16"/>
          <w:szCs w:val="16"/>
          <w:u w:val="single" w:color="auto"/>
          <w:color w:val="auto"/>
        </w:rPr>
        <w:t>Section 8.02(d)</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10.06</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040" w:hanging="492"/>
        <w:spacing w:after="0"/>
        <w:tabs>
          <w:tab w:leader="none" w:pos="2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Amend or extend the “Certain Funds Period” or the “Certain Funds Termination Date”;</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Amend or extend the June 30, 2018 effectiveness deadline in </w:t>
      </w:r>
      <w:r>
        <w:rPr>
          <w:rFonts w:ascii="Arial" w:cs="Arial" w:eastAsia="Arial" w:hAnsi="Arial"/>
          <w:sz w:val="18"/>
          <w:szCs w:val="18"/>
          <w:u w:val="single" w:color="auto"/>
          <w:color w:val="auto"/>
        </w:rPr>
        <w:t>Section 4.01</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2060" w:hanging="512"/>
        <w:spacing w:after="0"/>
        <w:tabs>
          <w:tab w:leader="none" w:pos="20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provided, however, that (i) no amendment, waiver or consent shall, unless in writing and signed by Administrative Agent in addition to Required Lenders or each affected Lender, as the case may be, affect the rights or duties of Administrative Agent, (ii) any fee letters may be amended, or rights or privileges thereunder waived, in a writing executed by the parties thereto, (iii) except as otherwise contemplated hereunder, without the written consent of all Lenders, no amendment, waiver or consent shall release all or substantially all of Guarantors from their obligations under the Guarantee Agreement and (iv) without the written consent of all Lenders, no amendment, waiver or consent shall change the currency of any Loan or other amount outstanding hereunder.</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event that any Lender does not consent to any proposed amendment, supplement, modification,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4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u w:val="single" w:color="auto"/>
          <w:color w:val="auto"/>
        </w:rPr>
        <w:t>Requisite Notice;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left="260" w:right="40" w:firstLine="1288"/>
        <w:spacing w:after="0" w:line="257" w:lineRule="auto"/>
        <w:tabs>
          <w:tab w:leader="none" w:pos="207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Requisite Notice</w:t>
      </w:r>
      <w:r>
        <w:rPr>
          <w:rFonts w:ascii="Arial" w:cs="Arial" w:eastAsia="Arial" w:hAnsi="Arial"/>
          <w:sz w:val="18"/>
          <w:szCs w:val="18"/>
          <w:color w:val="auto"/>
        </w:rPr>
        <w:t>. Notices given in connection with any Loan Document shall be delivered to the intended recipient at the number and/or address (including email address) set forth in the case of Borrower and Administrative Agent on Schedule 10.02, and in the case of Lenders, on the Administrative Questionnaire (or as otherwise specified from time to time by such recipient in writing to Administrative Agent) and shall be given by (i) irrevocable written notice or (ii) except as otherwise provided, irrevocable telephonic (not voicemail) notice. Such notices may be delivered and shall be effective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Mode of Delivery</w:t>
            </w:r>
          </w:p>
        </w:tc>
        <w:tc>
          <w:tcPr>
            <w:tcW w:w="2460" w:type="dxa"/>
            <w:vAlign w:val="bottom"/>
          </w:tcPr>
          <w:p>
            <w:pPr>
              <w:spacing w:after="0"/>
              <w:rPr>
                <w:sz w:val="18"/>
                <w:szCs w:val="18"/>
                <w:color w:val="auto"/>
              </w:rPr>
            </w:pPr>
          </w:p>
        </w:tc>
        <w:tc>
          <w:tcPr>
            <w:tcW w:w="7660" w:type="dxa"/>
            <w:vAlign w:val="bottom"/>
          </w:tcPr>
          <w:p>
            <w:pPr>
              <w:spacing w:after="0"/>
              <w:rPr>
                <w:sz w:val="18"/>
                <w:szCs w:val="18"/>
                <w:color w:val="auto"/>
              </w:rPr>
            </w:pPr>
          </w:p>
        </w:tc>
      </w:tr>
      <w:tr>
        <w:trPr>
          <w:trHeight w:val="398"/>
        </w:trPr>
        <w:tc>
          <w:tcPr>
            <w:tcW w:w="3760" w:type="dxa"/>
            <w:vAlign w:val="bottom"/>
            <w:gridSpan w:val="2"/>
          </w:tcPr>
          <w:p>
            <w:pPr>
              <w:spacing w:after="0"/>
              <w:rPr>
                <w:sz w:val="20"/>
                <w:szCs w:val="20"/>
                <w:color w:val="auto"/>
              </w:rPr>
            </w:pPr>
            <w:r>
              <w:rPr>
                <w:rFonts w:ascii="Arial" w:cs="Arial" w:eastAsia="Arial" w:hAnsi="Arial"/>
                <w:sz w:val="18"/>
                <w:szCs w:val="18"/>
                <w:color w:val="auto"/>
              </w:rPr>
              <w:t>Mail</w:t>
            </w:r>
          </w:p>
        </w:tc>
        <w:tc>
          <w:tcPr>
            <w:tcW w:w="7660" w:type="dxa"/>
            <w:vAlign w:val="bottom"/>
          </w:tcPr>
          <w:p>
            <w:pPr>
              <w:ind w:left="2000"/>
              <w:spacing w:after="0"/>
              <w:rPr>
                <w:sz w:val="20"/>
                <w:szCs w:val="20"/>
                <w:color w:val="auto"/>
              </w:rPr>
            </w:pPr>
            <w:r>
              <w:rPr>
                <w:rFonts w:ascii="Arial" w:cs="Arial" w:eastAsia="Arial" w:hAnsi="Arial"/>
                <w:sz w:val="18"/>
                <w:szCs w:val="18"/>
                <w:color w:val="auto"/>
                <w:w w:val="93"/>
              </w:rPr>
              <w:t>Effective on earlier of actual receipt and fourth Business Day after deposit in</w:t>
            </w:r>
          </w:p>
        </w:tc>
      </w:tr>
      <w:tr>
        <w:trPr>
          <w:trHeight w:val="230"/>
        </w:trPr>
        <w:tc>
          <w:tcPr>
            <w:tcW w:w="1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ind w:left="2000"/>
              <w:spacing w:after="0"/>
              <w:rPr>
                <w:sz w:val="20"/>
                <w:szCs w:val="20"/>
                <w:color w:val="auto"/>
              </w:rPr>
            </w:pPr>
            <w:r>
              <w:rPr>
                <w:rFonts w:ascii="Arial" w:cs="Arial" w:eastAsia="Arial" w:hAnsi="Arial"/>
                <w:sz w:val="18"/>
                <w:szCs w:val="18"/>
                <w:color w:val="auto"/>
              </w:rPr>
              <w:t>U.S. Mail, first class postage pre-paid</w:t>
            </w:r>
          </w:p>
        </w:tc>
      </w:tr>
      <w:tr>
        <w:trPr>
          <w:trHeight w:val="392"/>
        </w:trPr>
        <w:tc>
          <w:tcPr>
            <w:tcW w:w="376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660" w:type="dxa"/>
            <w:vAlign w:val="bottom"/>
          </w:tcPr>
          <w:p>
            <w:pPr>
              <w:ind w:left="2000"/>
              <w:spacing w:after="0"/>
              <w:rPr>
                <w:sz w:val="20"/>
                <w:szCs w:val="20"/>
                <w:color w:val="auto"/>
              </w:rPr>
            </w:pPr>
            <w:r>
              <w:rPr>
                <w:rFonts w:ascii="Arial" w:cs="Arial" w:eastAsia="Arial" w:hAnsi="Arial"/>
                <w:sz w:val="18"/>
                <w:szCs w:val="18"/>
                <w:color w:val="auto"/>
              </w:rPr>
              <w:t>When received</w:t>
            </w:r>
          </w:p>
        </w:tc>
      </w:tr>
      <w:tr>
        <w:trPr>
          <w:trHeight w:val="770"/>
        </w:trPr>
        <w:tc>
          <w:tcPr>
            <w:tcW w:w="1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33" w:right="23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Telephone (not voicemail)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When conversation completed (must be confirmed in writing)</w:t>
      </w:r>
    </w:p>
    <w:p>
      <w:pPr>
        <w:spacing w:after="0" w:line="200" w:lineRule="exact"/>
        <w:rPr>
          <w:sz w:val="20"/>
          <w:szCs w:val="20"/>
          <w:color w:val="auto"/>
        </w:rPr>
      </w:pPr>
    </w:p>
    <w:p>
      <w:pPr>
        <w:sectPr>
          <w:pgSz w:w="11900" w:h="16838" w:orient="portrait"/>
          <w:cols w:equalWidth="0" w:num="2">
            <w:col w:w="5040" w:space="720"/>
            <w:col w:w="5660"/>
          </w:cols>
          <w:pgMar w:left="240" w:top="233"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When sent (except that, if not given during normal business hours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recipient, shall be deemed to be giving at opening of business on next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Day for recipient)</w:t>
      </w:r>
    </w:p>
    <w:p>
      <w:pPr>
        <w:spacing w:after="0" w:line="170" w:lineRule="exact"/>
        <w:rPr>
          <w:sz w:val="20"/>
          <w:szCs w:val="20"/>
          <w:color w:val="auto"/>
        </w:rPr>
      </w:pPr>
    </w:p>
    <w:p>
      <w:pPr>
        <w:sectPr>
          <w:pgSz w:w="11900" w:h="16838" w:orient="portrait"/>
          <w:cols w:equalWidth="0" w:num="2">
            <w:col w:w="5040" w:space="720"/>
            <w:col w:w="566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Electronic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When delivered (usage subject to subsection (b) below)</w:t>
      </w:r>
    </w:p>
    <w:p>
      <w:pPr>
        <w:spacing w:after="0" w:line="207" w:lineRule="exact"/>
        <w:rPr>
          <w:sz w:val="20"/>
          <w:szCs w:val="20"/>
          <w:color w:val="auto"/>
        </w:rPr>
      </w:pPr>
    </w:p>
    <w:p>
      <w:pPr>
        <w:sectPr>
          <w:pgSz w:w="11900" w:h="16838" w:orient="portrait"/>
          <w:cols w:equalWidth="0" w:num="2">
            <w:col w:w="5040" w:space="720"/>
            <w:col w:w="5660"/>
          </w:cols>
          <w:pgMar w:left="240" w:top="233" w:right="239" w:bottom="1440" w:gutter="0" w:footer="0" w:header="0"/>
          <w:type w:val="continuous"/>
        </w:sectPr>
      </w:pPr>
    </w:p>
    <w:p>
      <w:pPr>
        <w:ind w:left="260" w:firstLine="1288"/>
        <w:spacing w:after="0" w:line="255" w:lineRule="auto"/>
        <w:tabs>
          <w:tab w:leader="none" w:pos="2081"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Notices and other communications to the Lenders hereunder may be delivered or furnished by Electronic Communication pursuant to procedures approved by the Administrative Agent; provided that the foregoing shall not apply to notices to any Lender pursuant to Section 2 if such Lender has notified the Administrative Agent that it is incapable of receiving notices under such Section by Electronic Communications.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above,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left="2060" w:hanging="512"/>
        <w:spacing w:after="0"/>
        <w:tabs>
          <w:tab w:leader="none" w:pos="20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Any party hereto may change its address or telecopy number for notices and other communications hereunder by notice to the</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other parties hereto.</w:t>
      </w:r>
    </w:p>
    <w:p>
      <w:pPr>
        <w:spacing w:after="0" w:line="210" w:lineRule="exact"/>
        <w:rPr>
          <w:rFonts w:ascii="Arial" w:cs="Arial" w:eastAsia="Arial" w:hAnsi="Arial"/>
          <w:sz w:val="16"/>
          <w:szCs w:val="16"/>
          <w:color w:val="auto"/>
        </w:rPr>
      </w:pPr>
    </w:p>
    <w:p>
      <w:pPr>
        <w:ind w:left="260" w:right="80" w:firstLine="1288"/>
        <w:spacing w:after="0" w:line="297" w:lineRule="auto"/>
        <w:tabs>
          <w:tab w:leader="none" w:pos="2081"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58" w:lineRule="exact"/>
        <w:rPr>
          <w:rFonts w:ascii="Arial" w:cs="Arial" w:eastAsia="Arial" w:hAnsi="Arial"/>
          <w:sz w:val="16"/>
          <w:szCs w:val="16"/>
          <w:color w:val="auto"/>
        </w:rPr>
      </w:pPr>
    </w:p>
    <w:p>
      <w:pPr>
        <w:ind w:left="2060" w:hanging="512"/>
        <w:spacing w:after="0"/>
        <w:tabs>
          <w:tab w:leader="none" w:pos="206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Electronic Systems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300" w:firstLine="653"/>
        <w:spacing w:after="0" w:line="342" w:lineRule="auto"/>
        <w:tabs>
          <w:tab w:leader="none" w:pos="216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Each Loan Party agrees that Administrative Agent may, but shall not be obligated to, make Communications available to the Lenders by posting the Communications on Debt Domain, Intralinks, Syndtrak, ClearPar or a substantially similar Electronic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06" w:name="page207"/>
    <w:bookmarkEnd w:id="206"/>
    <w:p>
      <w:pPr>
        <w:jc w:val="right"/>
        <w:spacing w:after="0"/>
        <w:rPr>
          <w:sz w:val="20"/>
          <w:szCs w:val="20"/>
          <w:color w:val="auto"/>
        </w:rPr>
      </w:pPr>
      <w:r>
        <w:rPr>
          <w:rFonts w:ascii="Arial" w:cs="Arial" w:eastAsia="Arial" w:hAnsi="Arial"/>
          <w:sz w:val="18"/>
          <w:szCs w:val="18"/>
          <w:color w:val="auto"/>
        </w:rPr>
        <w:t>59</w:t>
      </w:r>
    </w:p>
    <w:p>
      <w:pPr>
        <w:spacing w:after="0" w:line="117" w:lineRule="exact"/>
        <w:rPr>
          <w:sz w:val="20"/>
          <w:szCs w:val="20"/>
          <w:color w:val="auto"/>
        </w:rPr>
      </w:pPr>
    </w:p>
    <w:p>
      <w:pPr>
        <w:ind w:left="1300" w:right="100" w:firstLine="653"/>
        <w:spacing w:after="0" w:line="269" w:lineRule="auto"/>
        <w:tabs>
          <w:tab w:leader="none" w:pos="221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be liable for any indirect, special, incidental or consequential damages, losses or expenses (whether in tort, contract or otherwise).</w:t>
      </w:r>
    </w:p>
    <w:p>
      <w:pPr>
        <w:spacing w:after="0" w:line="183"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Attorney Costs and Expenses</w:t>
      </w:r>
      <w:r>
        <w:rPr>
          <w:rFonts w:ascii="Arial" w:cs="Arial" w:eastAsia="Arial" w:hAnsi="Arial"/>
          <w:sz w:val="17"/>
          <w:szCs w:val="17"/>
          <w:color w:val="auto"/>
        </w:rPr>
        <w:t>. Borrower agrees (a) to pay or reimburse Administrative Agent and Syndication Agent for all reasonable and documented or invoiced costs and expenses incurred in connection with the development, preparation, negotiation and execution of the Loan Documents, and to pay or reimburse Administrative Agent for all reasonable and documented or invoiced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and Syndication Agent and (b) to pay or reimburse Administrative Agent and each Lender for all reasonable and documented or invoiced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and each Lender (and, if representation of Administrative Agent,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8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Binding Effect; Assignment</w:t>
      </w:r>
    </w:p>
    <w:p>
      <w:pPr>
        <w:spacing w:after="0" w:line="225" w:lineRule="exact"/>
        <w:rPr>
          <w:sz w:val="20"/>
          <w:szCs w:val="20"/>
          <w:color w:val="auto"/>
        </w:rPr>
      </w:pPr>
    </w:p>
    <w:p>
      <w:pPr>
        <w:ind w:left="260" w:right="60" w:firstLine="1288"/>
        <w:spacing w:after="0" w:line="293" w:lineRule="auto"/>
        <w:tabs>
          <w:tab w:leader="none" w:pos="206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t>60</w:t>
      </w:r>
    </w:p>
    <w:p>
      <w:pPr>
        <w:spacing w:after="0" w:line="117" w:lineRule="exact"/>
        <w:rPr>
          <w:sz w:val="20"/>
          <w:szCs w:val="20"/>
          <w:color w:val="auto"/>
        </w:rPr>
      </w:pPr>
    </w:p>
    <w:p>
      <w:pPr>
        <w:ind w:left="9" w:right="280"/>
        <w:spacing w:after="0" w:line="277" w:lineRule="auto"/>
        <w:rPr>
          <w:sz w:val="20"/>
          <w:szCs w:val="20"/>
          <w:color w:val="auto"/>
        </w:rPr>
      </w:pPr>
      <w:r>
        <w:rPr>
          <w:rFonts w:ascii="Arial" w:cs="Arial" w:eastAsia="Arial" w:hAnsi="Arial"/>
          <w:sz w:val="18"/>
          <w:szCs w:val="18"/>
          <w:color w:val="auto"/>
        </w:rPr>
        <w:t>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0" w:lineRule="exact"/>
        <w:rPr>
          <w:sz w:val="20"/>
          <w:szCs w:val="20"/>
          <w:color w:val="auto"/>
        </w:rPr>
      </w:pPr>
    </w:p>
    <w:p>
      <w:pPr>
        <w:ind w:left="9" w:firstLine="1288"/>
        <w:spacing w:after="0" w:line="285" w:lineRule="auto"/>
        <w:tabs>
          <w:tab w:leader="none" w:pos="183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shall be subject to Borrower’s consent (which shall not be unreasonably withheld) at all times other than during the existence of an Event of Default arising under Section 8.01(a), Section 8.01(b) or Section 8.01(i) and the consent of Administrative Agent (which consent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Borrower shall not be required with respect to (x) an assignment to another Lender or any Affiliate of a Lender or (y) an assignment of Loans (but for the avoidance of doubt, not any Commitments) to any Approved Fund unless, in the cases of clauses (x) and (y), such assignment would result in the aggregate Loans and Commitments of such assignee and its Affiliates exceeding 15% of the aggregate Commitments and Loans then outstanding. No such assignment shall become effective unless and until a copy of a duly signed and completed Assignment and Assumption shall be delivered to Administrative Agent. Except in the case of an assignment (A) to another Lender or (B) of the entire remaining Commitment or Loan, as applicable,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Commitments or the repayment of the Loans,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70" w:lineRule="exact"/>
        <w:rPr>
          <w:rFonts w:ascii="Arial" w:cs="Arial" w:eastAsia="Arial" w:hAnsi="Arial"/>
          <w:sz w:val="16"/>
          <w:szCs w:val="16"/>
          <w:color w:val="auto"/>
        </w:rPr>
      </w:pPr>
    </w:p>
    <w:p>
      <w:pPr>
        <w:ind w:left="9" w:right="140" w:firstLine="1288"/>
        <w:spacing w:after="0" w:line="286" w:lineRule="auto"/>
        <w:tabs>
          <w:tab w:leader="none" w:pos="181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65" w:lineRule="exact"/>
        <w:rPr>
          <w:rFonts w:ascii="Arial" w:cs="Arial" w:eastAsia="Arial" w:hAnsi="Arial"/>
          <w:sz w:val="17"/>
          <w:szCs w:val="17"/>
          <w:color w:val="auto"/>
        </w:rPr>
      </w:pPr>
    </w:p>
    <w:p>
      <w:pPr>
        <w:jc w:val="both"/>
        <w:ind w:left="9" w:right="140" w:firstLine="1288"/>
        <w:spacing w:after="0" w:line="288" w:lineRule="auto"/>
        <w:tabs>
          <w:tab w:leader="none" w:pos="183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 xml:space="preserve">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Commitments, Extensions of Credit or any other interest of such Lender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ind w:left="9" w:right="80" w:hanging="9"/>
        <w:spacing w:after="0" w:line="253" w:lineRule="auto"/>
        <w:tabs>
          <w:tab w:leader="none" w:pos="2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353695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9"/>
          </w:cols>
          <w:pgMar w:left="491" w:top="23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color w:val="auto"/>
        </w:rPr>
        <w:t>61</w:t>
      </w:r>
    </w:p>
    <w:p>
      <w:pPr>
        <w:spacing w:after="0" w:line="117" w:lineRule="exact"/>
        <w:rPr>
          <w:sz w:val="20"/>
          <w:szCs w:val="20"/>
          <w:color w:val="auto"/>
        </w:rPr>
      </w:pPr>
    </w:p>
    <w:p>
      <w:pPr>
        <w:ind w:left="260" w:right="40"/>
        <w:spacing w:after="0" w:line="268" w:lineRule="auto"/>
        <w:rPr>
          <w:sz w:val="20"/>
          <w:szCs w:val="20"/>
          <w:color w:val="auto"/>
        </w:rPr>
      </w:pPr>
      <w:r>
        <w:rPr>
          <w:rFonts w:ascii="Arial" w:cs="Arial" w:eastAsia="Arial" w:hAnsi="Arial"/>
          <w:sz w:val="17"/>
          <w:szCs w:val="17"/>
          <w:color w:val="auto"/>
        </w:rPr>
        <w:t xml:space="preserve">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assigning Lender may, in any agreement with a participant, give such participant the right to consent (as between the assigning Lender and such participant) to any matter which (A) extends the Certain Funds Termination Date or the Maturity Date as to such participant or any other date upon which any payment of money is due to such participant, (B) reduces the rate of interest owing to such participant or any fee or any other monetary amount owing to such participant (except as otherwise provided in Section 10.07(b)),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18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Extensions of Credit or its other obligations under any Loan Document) to any Person except to the extent that such disclosure is necessary to establish that such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82"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Notwithstanding anything to the contrary in this Section 10.04, (a) the written consent of Borrower (in its sole discretion) shall be required for any assignment or participation (other than assignments by a Lender to any of its Affiliates) on or prior to the Certain Funds Termination Date and any such attempted assignment or participation without the written consent of Borrower shall be null and void and (b) in connection with any assignment of Commitments on or prior to the Certain Funds Termination Date by a Lender to any of its Affiliates, the assigning Lender shall not be relieved of its obligations (as in effect immediately prior to giving effect to such assignment) to fund Loans in respect of its Commitments pursuant to this Agreement without the prior written consent of Borrower (in its sole discretion).</w:t>
      </w:r>
    </w:p>
    <w:p>
      <w:pPr>
        <w:spacing w:after="0" w:line="193"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Set-off</w:t>
      </w:r>
      <w:r>
        <w:rPr>
          <w:rFonts w:ascii="Arial" w:cs="Arial" w:eastAsia="Arial" w:hAnsi="Arial"/>
          <w:sz w:val="18"/>
          <w:szCs w:val="18"/>
          <w:color w:val="auto"/>
        </w:rPr>
        <w:t>. Without prejudice to and subject to Section 4.04,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62</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 shall have made any demand therefor. Each Lender agrees promptly to notify Borrower and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such notice shall not affect the validity of such set-off and application.</w:t>
      </w:r>
    </w:p>
    <w:p>
      <w:pPr>
        <w:spacing w:after="0" w:line="178"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Sharing of Payments</w:t>
      </w:r>
      <w:r>
        <w:rPr>
          <w:rFonts w:ascii="Arial" w:cs="Arial" w:eastAsia="Arial" w:hAnsi="Arial"/>
          <w:sz w:val="17"/>
          <w:szCs w:val="17"/>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9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312" w:lineRule="auto"/>
        <w:tabs>
          <w:tab w:leader="none" w:pos="207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46" w:lineRule="exact"/>
        <w:rPr>
          <w:rFonts w:ascii="Arial" w:cs="Arial" w:eastAsia="Arial" w:hAnsi="Arial"/>
          <w:sz w:val="16"/>
          <w:szCs w:val="16"/>
          <w:color w:val="auto"/>
        </w:rPr>
      </w:pPr>
    </w:p>
    <w:p>
      <w:pPr>
        <w:jc w:val="both"/>
        <w:ind w:left="260" w:right="40" w:firstLine="1288"/>
        <w:spacing w:after="0" w:line="302" w:lineRule="auto"/>
        <w:tabs>
          <w:tab w:leader="none" w:pos="207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t>63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calculate an amount payable by another method that is not inconsistent with this Agreement, on any other or subsequent occasion.</w:t>
      </w:r>
    </w:p>
    <w:p>
      <w:pPr>
        <w:spacing w:after="0" w:line="225" w:lineRule="exact"/>
        <w:rPr>
          <w:sz w:val="20"/>
          <w:szCs w:val="20"/>
          <w:color w:val="auto"/>
        </w:rPr>
      </w:pPr>
    </w:p>
    <w:p>
      <w:pPr>
        <w:ind w:left="2060" w:hanging="512"/>
        <w:spacing w:after="0"/>
        <w:tabs>
          <w:tab w:leader="none" w:pos="20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Except with respect to Section 9.09, the terms and conditions of Section 9 are for the sole benefit of the Agents and Lenders.</w:t>
      </w:r>
    </w:p>
    <w:p>
      <w:pPr>
        <w:spacing w:after="0" w:line="248"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Counterparts, Electronic Execution of Assignments and Certain Other Documents</w:t>
      </w:r>
      <w:r>
        <w:rPr>
          <w:rFonts w:ascii="Arial" w:cs="Arial" w:eastAsia="Arial" w:hAnsi="Arial"/>
          <w:sz w:val="16"/>
          <w:szCs w:val="16"/>
          <w:color w:val="auto"/>
        </w:rPr>
        <w:t>. This Agreement may be executed in one or more counterparts (and by different parties hereto in different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an original executed counterpart of this Agreement.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Requests for Extensions of Credit,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5"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64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ORAL AGREEMENTS BY SUCH PARTIES. THERE ARE NO UNWRITTEN ORAL AGREEMENTS BETWEEN SUCH PARTIES.</w:t>
      </w:r>
    </w:p>
    <w:p>
      <w:pPr>
        <w:spacing w:after="0" w:line="225" w:lineRule="exact"/>
        <w:rPr>
          <w:sz w:val="20"/>
          <w:szCs w:val="20"/>
          <w:color w:val="auto"/>
        </w:rPr>
      </w:pPr>
    </w:p>
    <w:p>
      <w:pPr>
        <w:ind w:right="280" w:firstLine="1297"/>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Commitments attributable to any other Lender.</w:t>
      </w:r>
    </w:p>
    <w:p>
      <w:pPr>
        <w:spacing w:after="0" w:line="18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Borrower</w:t>
      </w:r>
      <w:r>
        <w:rPr>
          <w:rFonts w:ascii="Arial" w:cs="Arial" w:eastAsia="Arial" w:hAnsi="Arial"/>
          <w:sz w:val="16"/>
          <w:szCs w:val="16"/>
          <w:color w:val="auto"/>
        </w:rPr>
        <w:t xml:space="preserve">.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and each Lender and their respective Affiliates and their and their Affiliates’ respective directors, officers, agents, attorneys and employees (collectively 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Commitments, the Loans,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2" w:name="page213"/>
    <w:bookmarkEnd w:id="212"/>
    <w:p>
      <w:pPr>
        <w:ind w:left="11240"/>
        <w:spacing w:after="0"/>
        <w:rPr>
          <w:sz w:val="20"/>
          <w:szCs w:val="20"/>
          <w:color w:val="auto"/>
        </w:rPr>
      </w:pPr>
      <w:r>
        <w:rPr>
          <w:rFonts w:ascii="Arial" w:cs="Arial" w:eastAsia="Arial" w:hAnsi="Arial"/>
          <w:sz w:val="16"/>
          <w:szCs w:val="16"/>
          <w:color w:val="auto"/>
        </w:rPr>
        <w:t>65</w:t>
      </w:r>
    </w:p>
    <w:p>
      <w:pPr>
        <w:spacing w:after="0" w:line="1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respect to taxes other than any taxes that represent losses, claims, damages, etc. arising from any non-tax claim. The agreements in this Section shall survive repayment of all Obligations.</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Nonliability of Lenders</w:t>
      </w:r>
      <w:r>
        <w:rPr>
          <w:rFonts w:ascii="Arial" w:cs="Arial" w:eastAsia="Arial" w:hAnsi="Arial"/>
          <w:sz w:val="16"/>
          <w:szCs w:val="16"/>
          <w:color w:val="auto"/>
        </w:rPr>
        <w:t>. Borrower acknowledges and agrees that:</w:t>
      </w:r>
    </w:p>
    <w:p>
      <w:pPr>
        <w:spacing w:after="0" w:line="225" w:lineRule="exact"/>
        <w:rPr>
          <w:sz w:val="20"/>
          <w:szCs w:val="20"/>
          <w:color w:val="auto"/>
        </w:rPr>
      </w:pPr>
    </w:p>
    <w:p>
      <w:pPr>
        <w:ind w:left="260" w:right="420" w:firstLine="1288"/>
        <w:spacing w:after="0" w:line="264" w:lineRule="auto"/>
        <w:tabs>
          <w:tab w:leader="none" w:pos="206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81" w:lineRule="exact"/>
        <w:rPr>
          <w:rFonts w:ascii="Arial" w:cs="Arial" w:eastAsia="Arial" w:hAnsi="Arial"/>
          <w:sz w:val="18"/>
          <w:szCs w:val="18"/>
          <w:color w:val="auto"/>
        </w:rPr>
      </w:pPr>
    </w:p>
    <w:p>
      <w:pPr>
        <w:ind w:left="260" w:right="260" w:firstLine="1288"/>
        <w:spacing w:after="0" w:line="279" w:lineRule="auto"/>
        <w:tabs>
          <w:tab w:leader="none" w:pos="208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71" w:lineRule="exact"/>
        <w:rPr>
          <w:rFonts w:ascii="Arial" w:cs="Arial" w:eastAsia="Arial" w:hAnsi="Arial"/>
          <w:sz w:val="17"/>
          <w:szCs w:val="17"/>
          <w:color w:val="auto"/>
        </w:rPr>
      </w:pPr>
    </w:p>
    <w:p>
      <w:pPr>
        <w:ind w:left="260" w:firstLine="1288"/>
        <w:spacing w:after="0" w:line="293" w:lineRule="auto"/>
        <w:tabs>
          <w:tab w:leader="none" w:pos="206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64" w:lineRule="exact"/>
        <w:rPr>
          <w:rFonts w:ascii="Arial" w:cs="Arial" w:eastAsia="Arial" w:hAnsi="Arial"/>
          <w:sz w:val="16"/>
          <w:szCs w:val="16"/>
          <w:color w:val="auto"/>
        </w:rPr>
      </w:pPr>
    </w:p>
    <w:p>
      <w:pPr>
        <w:ind w:left="260" w:right="60" w:firstLine="1288"/>
        <w:spacing w:after="0" w:line="268" w:lineRule="auto"/>
        <w:tabs>
          <w:tab w:leader="none" w:pos="208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has any obligation to the Borrower or any of its Affiliates with respect to the financing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and its Affiliates, and neither Administrative Agent, the Arrangers, nor any Lender has any obligation to disclose any of such interests to the Borrower or its Affiliates. To the fullest extent permitted by law, each Loan Party hereby agrees not to assert any claims that it may have against the Administrative Agent, the Arrangers or any Lender with respect to any breach or alleged breach of agency or fiduciary duty in connection with the financing transactions contemplated hereby.</w:t>
      </w:r>
    </w:p>
    <w:p>
      <w:pPr>
        <w:spacing w:after="0" w:line="183" w:lineRule="exact"/>
        <w:rPr>
          <w:rFonts w:ascii="Arial" w:cs="Arial" w:eastAsia="Arial" w:hAnsi="Arial"/>
          <w:sz w:val="17"/>
          <w:szCs w:val="17"/>
          <w:color w:val="auto"/>
        </w:rPr>
      </w:pPr>
    </w:p>
    <w:p>
      <w:pPr>
        <w:ind w:left="2060" w:hanging="512"/>
        <w:spacing w:after="0"/>
        <w:tabs>
          <w:tab w:leader="none" w:pos="20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Administrative Agent and Lenders, and their Affiliates, may have economic interests that conflict with those of Borrower and its</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66</w:t>
      </w:r>
    </w:p>
    <w:p>
      <w:pPr>
        <w:spacing w:after="0" w:line="117" w:lineRule="exact"/>
        <w:rPr>
          <w:sz w:val="20"/>
          <w:szCs w:val="20"/>
          <w:color w:val="auto"/>
        </w:rPr>
      </w:pPr>
    </w:p>
    <w:p>
      <w:pPr>
        <w:jc w:val="both"/>
        <w:ind w:left="260" w:right="100" w:firstLine="1288"/>
        <w:spacing w:after="0" w:line="286" w:lineRule="auto"/>
        <w:tabs>
          <w:tab w:leader="none" w:pos="205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6" w:lineRule="exact"/>
        <w:rPr>
          <w:sz w:val="20"/>
          <w:szCs w:val="20"/>
          <w:color w:val="auto"/>
        </w:rPr>
      </w:pPr>
    </w:p>
    <w:p>
      <w:pPr>
        <w:ind w:right="160" w:firstLine="1297"/>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7"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ind w:right="80" w:firstLine="1297"/>
        <w:spacing w:after="0" w:line="285"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and will not disclose, directly or indirectly, such information to any Person, except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foregoing recipient of such Confidential Information agrees to keep such Confidential Information confidential and limit the use of such Confidential Information as specified herein, (c) to any governmental agency or regulatory body (including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t>67</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source of such information was not known by Administrative Agent or such Lender to be bound by a confidentiality agreement or other legal or contractual obligation of confidentiality with respect to such information.</w:t>
      </w:r>
    </w:p>
    <w:p>
      <w:pPr>
        <w:spacing w:after="0" w:line="188" w:lineRule="exact"/>
        <w:rPr>
          <w:sz w:val="20"/>
          <w:szCs w:val="20"/>
          <w:color w:val="auto"/>
        </w:rPr>
      </w:pPr>
    </w:p>
    <w:p>
      <w:pPr>
        <w:jc w:val="both"/>
        <w:ind w:right="280" w:firstLine="1297"/>
        <w:spacing w:after="0" w:line="312" w:lineRule="auto"/>
        <w:rPr>
          <w:sz w:val="20"/>
          <w:szCs w:val="20"/>
          <w:color w:val="auto"/>
        </w:rPr>
      </w:pPr>
      <w:r>
        <w:rPr>
          <w:rFonts w:ascii="Arial" w:cs="Arial" w:eastAsia="Arial" w:hAnsi="Arial"/>
          <w:sz w:val="16"/>
          <w:szCs w:val="16"/>
          <w:color w:val="auto"/>
        </w:rPr>
        <w:t>Each of the Lenders confirms that it is aware of the terms and requirements of Practice Statement No. 25 (</w:t>
      </w:r>
      <w:r>
        <w:rPr>
          <w:rFonts w:ascii="Arial" w:cs="Arial" w:eastAsia="Arial" w:hAnsi="Arial"/>
          <w:sz w:val="16"/>
          <w:szCs w:val="16"/>
          <w:i w:val="1"/>
          <w:iCs w:val="1"/>
          <w:color w:val="auto"/>
        </w:rPr>
        <w:t>Debt Syndication during Offer</w:t>
      </w:r>
      <w:r>
        <w:rPr>
          <w:rFonts w:ascii="Arial" w:cs="Arial" w:eastAsia="Arial" w:hAnsi="Arial"/>
          <w:sz w:val="16"/>
          <w:szCs w:val="16"/>
          <w:color w:val="auto"/>
        </w:rPr>
        <w:t xml:space="preserve"> </w:t>
      </w:r>
      <w:r>
        <w:rPr>
          <w:rFonts w:ascii="Arial" w:cs="Arial" w:eastAsia="Arial" w:hAnsi="Arial"/>
          <w:sz w:val="16"/>
          <w:szCs w:val="16"/>
          <w:i w:val="1"/>
          <w:iCs w:val="1"/>
          <w:color w:val="auto"/>
        </w:rPr>
        <w:t>Periods</w:t>
      </w:r>
      <w:r>
        <w:rPr>
          <w:rFonts w:ascii="Arial" w:cs="Arial" w:eastAsia="Arial" w:hAnsi="Arial"/>
          <w:sz w:val="16"/>
          <w:szCs w:val="16"/>
          <w:color w:val="auto"/>
        </w:rPr>
        <w:t>) published by the Panel on 17 June 2009. This section 10.17 is without prejudice to any undertakings or confirmations given by the Lenders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in connection with, or for the purposes of ensuring compliance with Practice Statement No. 25 (</w:t>
      </w:r>
      <w:r>
        <w:rPr>
          <w:rFonts w:ascii="Arial" w:cs="Arial" w:eastAsia="Arial" w:hAnsi="Arial"/>
          <w:sz w:val="16"/>
          <w:szCs w:val="16"/>
          <w:i w:val="1"/>
          <w:iCs w:val="1"/>
          <w:color w:val="auto"/>
        </w:rPr>
        <w:t>Debt Syndication during Offer Periods</w:t>
      </w:r>
      <w:r>
        <w:rPr>
          <w:rFonts w:ascii="Arial" w:cs="Arial" w:eastAsia="Arial" w:hAnsi="Arial"/>
          <w:sz w:val="16"/>
          <w:szCs w:val="16"/>
          <w:color w:val="auto"/>
        </w:rPr>
        <w:t>).</w:t>
      </w:r>
    </w:p>
    <w:p>
      <w:pPr>
        <w:spacing w:after="0" w:line="14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of the Loan Documents.</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 and Administrative Agent</w:t>
      </w:r>
      <w:r>
        <w:rPr>
          <w:rFonts w:ascii="Arial" w:cs="Arial" w:eastAsia="Arial" w:hAnsi="Arial"/>
          <w:sz w:val="16"/>
          <w:szCs w:val="16"/>
          <w:color w:val="auto"/>
        </w:rPr>
        <w:t xml:space="preserve">. (a)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 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 (i) promptly submit to Administrative Agent such additional duly completed and signed copies of one of such forms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t>68</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Administrative Agent under this Section, and costs and expenses (including Attorney Costs) of Administrative Agent. The obligation of Lenders under this Section shall survive the payment of all Obligations and the resignation of Administrative Agent.</w:t>
      </w:r>
    </w:p>
    <w:p>
      <w:pPr>
        <w:spacing w:after="0" w:line="169" w:lineRule="exact"/>
        <w:rPr>
          <w:sz w:val="20"/>
          <w:szCs w:val="20"/>
          <w:color w:val="auto"/>
        </w:rPr>
      </w:pPr>
    </w:p>
    <w:p>
      <w:pPr>
        <w:ind w:left="260" w:firstLine="1288"/>
        <w:spacing w:after="0" w:line="271" w:lineRule="auto"/>
        <w:tabs>
          <w:tab w:leader="none" w:pos="208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79"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181" w:lineRule="exact"/>
        <w:rPr>
          <w:sz w:val="20"/>
          <w:szCs w:val="20"/>
          <w:color w:val="auto"/>
        </w:rPr>
      </w:pPr>
    </w:p>
    <w:p>
      <w:pPr>
        <w:ind w:left="2060" w:hanging="512"/>
        <w:spacing w:after="0"/>
        <w:tabs>
          <w:tab w:leader="none" w:pos="20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Administrative Agent shall deliver to the Borrower two executed originals of whichever of the following is applicable:</w:t>
      </w:r>
    </w:p>
    <w:p>
      <w:pPr>
        <w:spacing w:after="0" w:line="236" w:lineRule="exact"/>
        <w:rPr>
          <w:rFonts w:ascii="Arial" w:cs="Arial" w:eastAsia="Arial" w:hAnsi="Arial"/>
          <w:sz w:val="17"/>
          <w:szCs w:val="17"/>
          <w:color w:val="auto"/>
        </w:rPr>
      </w:pPr>
    </w:p>
    <w:p>
      <w:pPr>
        <w:ind w:left="1300" w:right="320" w:firstLine="653"/>
        <w:spacing w:after="0" w:line="277" w:lineRule="auto"/>
        <w:tabs>
          <w:tab w:leader="none" w:pos="216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Administrative Agent is a U.S. Person, IRS Form W-9 certifying to such Administrative Agent’s exemption from U.S. federal backup withholding or</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if the Administrative Agent is not a U.S. Person,</w:t>
      </w:r>
    </w:p>
    <w:p>
      <w:pPr>
        <w:spacing w:after="0" w:line="225" w:lineRule="exact"/>
        <w:rPr>
          <w:rFonts w:ascii="Arial" w:cs="Arial" w:eastAsia="Arial" w:hAnsi="Arial"/>
          <w:sz w:val="18"/>
          <w:szCs w:val="18"/>
          <w:color w:val="auto"/>
        </w:rPr>
      </w:pPr>
    </w:p>
    <w:p>
      <w:pPr>
        <w:ind w:left="2900" w:hanging="299"/>
        <w:spacing w:after="0"/>
        <w:tabs>
          <w:tab w:leader="none" w:pos="290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IRS Form W-8ECI with respect to payments received for its own account and</w:t>
      </w:r>
    </w:p>
    <w:p>
      <w:pPr>
        <w:spacing w:after="0" w:line="225" w:lineRule="exact"/>
        <w:rPr>
          <w:rFonts w:ascii="Arial" w:cs="Arial" w:eastAsia="Arial" w:hAnsi="Arial"/>
          <w:sz w:val="18"/>
          <w:szCs w:val="18"/>
          <w:color w:val="auto"/>
        </w:rPr>
      </w:pPr>
    </w:p>
    <w:p>
      <w:pPr>
        <w:ind w:left="1300" w:right="540" w:firstLine="1301"/>
        <w:spacing w:after="0" w:line="308" w:lineRule="auto"/>
        <w:tabs>
          <w:tab w:leader="none" w:pos="2881" w:val="left"/>
        </w:tabs>
        <w:numPr>
          <w:ilvl w:val="2"/>
          <w:numId w:val="219"/>
        </w:numPr>
        <w:rPr>
          <w:rFonts w:ascii="Arial" w:cs="Arial" w:eastAsia="Arial" w:hAnsi="Arial"/>
          <w:sz w:val="17"/>
          <w:szCs w:val="17"/>
          <w:color w:val="auto"/>
        </w:rPr>
      </w:pPr>
      <w:r>
        <w:rPr>
          <w:rFonts w:ascii="Arial" w:cs="Arial" w:eastAsia="Arial" w:hAnsi="Arial"/>
          <w:sz w:val="17"/>
          <w:szCs w:val="17"/>
          <w:color w:val="auto"/>
        </w:rPr>
        <w:t>IRS Form W-8IMY with respect to any amounts payable to the Administrative Agent for the account of others, certifying that it is a U.S. branch of a foreign bank or insurance company described in Regulations section 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t>69</w:t>
      </w:r>
    </w:p>
    <w:p>
      <w:pPr>
        <w:spacing w:after="0" w:line="117" w:lineRule="exact"/>
        <w:rPr>
          <w:sz w:val="20"/>
          <w:szCs w:val="20"/>
          <w:color w:val="auto"/>
        </w:rPr>
      </w:pPr>
    </w:p>
    <w:p>
      <w:pPr>
        <w:ind w:left="1300" w:right="240"/>
        <w:spacing w:after="0" w:line="264" w:lineRule="auto"/>
        <w:rPr>
          <w:sz w:val="20"/>
          <w:szCs w:val="20"/>
          <w:color w:val="auto"/>
        </w:rPr>
      </w:pPr>
      <w:r>
        <w:rPr>
          <w:rFonts w:ascii="Arial" w:cs="Arial" w:eastAsia="Arial" w:hAnsi="Arial"/>
          <w:sz w:val="18"/>
          <w:szCs w:val="18"/>
          <w:color w:val="auto"/>
        </w:rPr>
        <w:t>1(b)(2)(iv)(A) that is a participating FFI (including a reporting Model 2 FFI), registered deemed-compliant FFI (including a reporting Model 1 FFI), or NFFE that is using this form as evidence of its agreement with the withholding agent to be treated as a U.S. person with respect to any payments associated with this withholding certificate.</w:t>
      </w:r>
    </w:p>
    <w:p>
      <w:pPr>
        <w:spacing w:after="0" w:line="18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Administrative Agent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u w:val="single" w:color="auto"/>
          <w:color w:val="auto"/>
        </w:rPr>
        <w:t>Removal and Replacement of Lenders</w:t>
      </w:r>
      <w:r>
        <w:rPr>
          <w:rFonts w:ascii="Arial" w:cs="Arial" w:eastAsia="Arial" w:hAnsi="Arial"/>
          <w:sz w:val="16"/>
          <w:szCs w:val="16"/>
          <w:color w:val="auto"/>
        </w:rPr>
        <w:t>.</w:t>
      </w:r>
    </w:p>
    <w:p>
      <w:pPr>
        <w:spacing w:after="0" w:line="225" w:lineRule="exact"/>
        <w:rPr>
          <w:sz w:val="20"/>
          <w:szCs w:val="20"/>
          <w:color w:val="auto"/>
        </w:rPr>
      </w:pPr>
    </w:p>
    <w:p>
      <w:pPr>
        <w:ind w:left="260" w:firstLine="1288"/>
        <w:spacing w:after="0" w:line="267" w:lineRule="auto"/>
        <w:tabs>
          <w:tab w:leader="none" w:pos="207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In the event that any Lender (i) requests compensation under Sections 3.01 or 3.04, (ii) becomes a Defaulting Lender or (iii) does not consent to any proposed amendment, supplement, modification, consent or waiver of any provision of this Agreement or any other Loan Document that requires the consent of each of the Lenders or each of the Lenders affected thereby (in the case of this clause (iii), so long as the consent of the Required Lenders to such amendment, supplement, modification, consent or waiver has been obtained), Borrower may, upon notice to such Lender and Administrative Agent, remove or replace such Lender by (A) non-ratably terminating such Lender’s Commitment and/or (B) causing such Lender to assign its rights and obligations under this Agreement pursuant to Section 10.04(b) to one or more other Lenders or eligible assignees procured by Borrower and otherwise reasonably acceptable to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Commitment and prepayment of its Loans pursuant to clause (A) preceding, (x) pay in full all principal, interest, fees and other amounts owing to such Lender through the date of termination and prepayment (including any amounts payable pursuant to Section 3), except as may otherwise be agreed with such Lender and (y) release such Lender from its obligations under the Loan Documents from and after the date of termination. Borrower shall, in the case of an assignment pursuant to clause (B) preceding, cause to be paid the assignment fee payable to Administrative Agent pursuant to Section 10.04(c). Any such Lender whose Commitment or Loan is being assigned shall, upon payment of (i) all amounts owed to it pursuant to the proviso in clause (B) preceding and (ii) the assignment fee as described in the preceding sentence, be deemed to have executed and delivered an Assignment and Assumption covering such Lender’s Commitment or Loan, as applicable. Administrative Agent shall distribute an amended Schedule 2.01, which shall be deemed incorporated into this Agreement, to reflect adjustments to the Lenders and their Commitments.</w:t>
      </w:r>
    </w:p>
    <w:p>
      <w:pPr>
        <w:spacing w:after="0" w:line="192" w:lineRule="exact"/>
        <w:rPr>
          <w:rFonts w:ascii="Arial" w:cs="Arial" w:eastAsia="Arial" w:hAnsi="Arial"/>
          <w:sz w:val="17"/>
          <w:szCs w:val="17"/>
          <w:color w:val="auto"/>
        </w:rPr>
      </w:pPr>
    </w:p>
    <w:p>
      <w:pPr>
        <w:ind w:left="260" w:right="20" w:firstLine="1288"/>
        <w:spacing w:after="0" w:line="264" w:lineRule="auto"/>
        <w:tabs>
          <w:tab w:leader="none" w:pos="20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800" w:hanging="252"/>
        <w:spacing w:after="0"/>
        <w:tabs>
          <w:tab w:leader="none" w:pos="18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Governing Law; Submission to Jurisdiction; Waivers</w:t>
      </w:r>
      <w:r>
        <w:rPr>
          <w:rFonts w:ascii="Arial" w:cs="Arial" w:eastAsia="Arial" w:hAnsi="Arial"/>
          <w:sz w:val="16"/>
          <w:szCs w:val="16"/>
          <w:color w:val="auto"/>
        </w:rPr>
        <w:t>.</w:t>
      </w:r>
    </w:p>
    <w:p>
      <w:pPr>
        <w:spacing w:after="0" w:line="225" w:lineRule="exact"/>
        <w:rPr>
          <w:sz w:val="20"/>
          <w:szCs w:val="20"/>
          <w:color w:val="auto"/>
        </w:rPr>
      </w:pPr>
    </w:p>
    <w:p>
      <w:pPr>
        <w:ind w:left="260" w:right="260" w:firstLine="1288"/>
        <w:spacing w:after="0" w:line="259" w:lineRule="auto"/>
        <w:tabs>
          <w:tab w:leader="none" w:pos="2068"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THIS AGREEMENT AND ANY DISPUTE, CLAIM OR CONTROVERSY ARISING OUT OF OR RELATING TO THIS AGREEMENT (WHETHER ARISING IN CONTRACT, TORT OR OTHERWISE) AND THE RIGHTS AND OBLIGATIONS OF THE PARTIES UNDER THIS AGREEMENT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color w:val="auto"/>
        </w:rPr>
        <w:t>70</w:t>
      </w:r>
    </w:p>
    <w:p>
      <w:pPr>
        <w:spacing w:after="0" w:line="117" w:lineRule="exact"/>
        <w:rPr>
          <w:sz w:val="20"/>
          <w:szCs w:val="20"/>
          <w:color w:val="auto"/>
        </w:rPr>
      </w:pPr>
    </w:p>
    <w:p>
      <w:pPr>
        <w:ind w:left="2080" w:hanging="532"/>
        <w:spacing w:after="0"/>
        <w:tabs>
          <w:tab w:leader="none" w:pos="2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rFonts w:ascii="Arial" w:cs="Arial" w:eastAsia="Arial" w:hAnsi="Arial"/>
          <w:sz w:val="18"/>
          <w:szCs w:val="18"/>
          <w:color w:val="auto"/>
        </w:rPr>
      </w:pPr>
    </w:p>
    <w:p>
      <w:pPr>
        <w:ind w:left="1300" w:right="60" w:firstLine="653"/>
        <w:spacing w:after="0" w:line="312" w:lineRule="auto"/>
        <w:tabs>
          <w:tab w:leader="none" w:pos="216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46" w:lineRule="exact"/>
        <w:rPr>
          <w:rFonts w:ascii="Arial" w:cs="Arial" w:eastAsia="Arial" w:hAnsi="Arial"/>
          <w:sz w:val="16"/>
          <w:szCs w:val="16"/>
          <w:color w:val="auto"/>
        </w:rPr>
      </w:pPr>
    </w:p>
    <w:p>
      <w:pPr>
        <w:ind w:left="1300" w:right="20" w:firstLine="653"/>
        <w:spacing w:after="0" w:line="277" w:lineRule="auto"/>
        <w:tabs>
          <w:tab w:leader="none" w:pos="221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ind w:left="1300" w:right="200" w:firstLine="653"/>
        <w:spacing w:after="0" w:line="264" w:lineRule="auto"/>
        <w:tabs>
          <w:tab w:leader="none" w:pos="226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1300" w:right="400" w:firstLine="653"/>
        <w:spacing w:after="0" w:line="342" w:lineRule="auto"/>
        <w:tabs>
          <w:tab w:leader="none" w:pos="225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23" w:lineRule="exact"/>
        <w:rPr>
          <w:rFonts w:ascii="Arial" w:cs="Arial" w:eastAsia="Arial" w:hAnsi="Arial"/>
          <w:sz w:val="16"/>
          <w:szCs w:val="16"/>
          <w:color w:val="auto"/>
        </w:rPr>
      </w:pPr>
    </w:p>
    <w:p>
      <w:pPr>
        <w:ind w:left="2200" w:hanging="247"/>
        <w:spacing w:after="0"/>
        <w:tabs>
          <w:tab w:leader="none" w:pos="22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to effect service of process in any other manner permitted by law; and</w:t>
      </w:r>
    </w:p>
    <w:p>
      <w:pPr>
        <w:spacing w:after="0" w:line="236" w:lineRule="exact"/>
        <w:rPr>
          <w:rFonts w:ascii="Arial" w:cs="Arial" w:eastAsia="Arial" w:hAnsi="Arial"/>
          <w:sz w:val="17"/>
          <w:szCs w:val="17"/>
          <w:color w:val="auto"/>
        </w:rPr>
      </w:pPr>
    </w:p>
    <w:p>
      <w:pPr>
        <w:ind w:left="1300" w:right="60" w:firstLine="653"/>
        <w:spacing w:after="0" w:line="264" w:lineRule="auto"/>
        <w:tabs>
          <w:tab w:leader="none" w:pos="2253" w:val="left"/>
        </w:tabs>
        <w:numPr>
          <w:ilvl w:val="1"/>
          <w:numId w:val="222"/>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9"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“PATRIOT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PATRIOT Act.</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71</w:t>
      </w:r>
    </w:p>
    <w:p>
      <w:pPr>
        <w:spacing w:after="0" w:line="117" w:lineRule="exact"/>
        <w:rPr>
          <w:sz w:val="20"/>
          <w:szCs w:val="20"/>
          <w:color w:val="auto"/>
        </w:rPr>
      </w:pPr>
    </w:p>
    <w:p>
      <w:pPr>
        <w:ind w:left="260" w:right="40" w:firstLine="1288"/>
        <w:spacing w:after="0" w:line="279" w:lineRule="auto"/>
        <w:tabs>
          <w:tab w:leader="none" w:pos="207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left="260" w:right="60" w:firstLine="1288"/>
        <w:spacing w:after="0" w:line="272" w:lineRule="auto"/>
        <w:tabs>
          <w:tab w:leader="none" w:pos="2078"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 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78"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10.26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260" w:right="580" w:firstLine="1288"/>
        <w:spacing w:after="0" w:line="277" w:lineRule="auto"/>
        <w:tabs>
          <w:tab w:leader="none" w:pos="20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party hereto that is an EEA Financial Institution; and</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21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340" w:firstLine="653"/>
        <w:spacing w:after="0" w:line="277" w:lineRule="auto"/>
        <w:tabs>
          <w:tab w:leader="none" w:pos="226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9" w:name="page220"/>
    <w:bookmarkEnd w:id="219"/>
    <w:p>
      <w:pPr>
        <w:ind w:right="180" w:firstLine="1297"/>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proper and duly authorized officers as of the day and year first written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/s/William E. Dordelman</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E. Dordelman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20" w:name="page221"/>
    <w:bookmarkEnd w:id="220"/>
    <w:p>
      <w:pPr>
        <w:jc w:val="right"/>
        <w:ind w:right="5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/s/Melissa Mullis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Melissa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AMERICA, N.A.,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/s/Bandon Bolio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21" w:name="page222"/>
    <w:bookmarkEnd w:id="221"/>
    <w:p>
      <w:pPr>
        <w:ind w:left="452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WELLS FARGO BANK, NATIONAL ASSOCIATION, as a Lender and Syndication Agent</w:t>
      </w:r>
    </w:p>
    <w:p>
      <w:pPr>
        <w:spacing w:after="0" w:line="38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Nicholas Grocholski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Nicholas Grocholski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35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222" w:name="page223"/>
    <w:bookmarkEnd w:id="222"/>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CREDIT SUISSE AG, CAYMAN ISLANDS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BRANCH, as a 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/s/William O’Daly</w:t>
            </w:r>
          </w:p>
        </w:tc>
      </w:tr>
      <w:tr>
        <w:trPr>
          <w:trHeight w:val="195"/>
        </w:trPr>
        <w:tc>
          <w:tcPr>
            <w:tcW w:w="580" w:type="dxa"/>
            <w:vAlign w:val="bottom"/>
          </w:tcPr>
          <w:p>
            <w:pPr>
              <w:spacing w:after="0"/>
              <w:rPr>
                <w:sz w:val="16"/>
                <w:szCs w:val="16"/>
                <w:color w:val="auto"/>
              </w:rPr>
            </w:pPr>
          </w:p>
        </w:tc>
        <w:tc>
          <w:tcPr>
            <w:tcW w:w="58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William O’Daly</w:t>
            </w:r>
          </w:p>
        </w:tc>
      </w:tr>
      <w:tr>
        <w:trPr>
          <w:trHeight w:val="230"/>
        </w:trPr>
        <w:tc>
          <w:tcPr>
            <w:tcW w:w="5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/s/Brady Bingham</w:t>
            </w:r>
          </w:p>
        </w:tc>
      </w:tr>
      <w:tr>
        <w:trPr>
          <w:trHeight w:val="195"/>
        </w:trPr>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Brady Bingham</w:t>
            </w:r>
          </w:p>
        </w:tc>
      </w:tr>
      <w:tr>
        <w:trPr>
          <w:trHeight w:val="230"/>
        </w:trPr>
        <w:tc>
          <w:tcPr>
            <w:tcW w:w="5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Authorized Signatory</w:t>
            </w:r>
          </w:p>
        </w:tc>
      </w:tr>
    </w:tbl>
    <w:p>
      <w:pPr>
        <w:spacing w:after="0" w:line="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23" w:name="page224"/>
    <w:bookmarkEnd w:id="223"/>
    <w:p>
      <w:pPr>
        <w:jc w:val="right"/>
        <w:ind w:right="1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MIZUHO BANK, LTD.,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_/s/Raymond Ventura</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Director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24" w:name="page225"/>
    <w:bookmarkEnd w:id="224"/>
    <w:p>
      <w:pPr>
        <w:ind w:left="4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t>MUFG BANK, LTD., as a Lender</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/s/Matthew Hillman</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SUMITOMO MITSUI BANKING CORPORATION,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/s/Toshitake Funaki</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Toshitake Funaki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346"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60"/>
          </w:cols>
          <w:pgMar w:left="1440" w:top="841" w:right="1199" w:bottom="1440" w:gutter="0" w:footer="0" w:header="0"/>
        </w:sectPr>
      </w:pPr>
    </w:p>
    <w:bookmarkStart w:id="226" w:name="page227"/>
    <w:bookmarkEnd w:id="226"/>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t>BNP PARIBAS,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/s/Christopher Sked</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7"/>
          <w:szCs w:val="17"/>
          <w:color w:val="auto"/>
        </w:rPr>
        <w:t>Name:</w:t>
        <w:tab/>
        <w:t>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-123190</wp:posOffset>
            </wp:positionV>
            <wp:extent cx="32499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4" w:lineRule="exact"/>
        <w:rPr>
          <w:sz w:val="20"/>
          <w:szCs w:val="20"/>
          <w:color w:val="auto"/>
        </w:rPr>
      </w:pPr>
    </w:p>
    <w:p>
      <w:pPr>
        <w:jc w:val="both"/>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/s/Karim Remtoula</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0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27" w:name="page228"/>
    <w:bookmarkEnd w:id="227"/>
    <w:p>
      <w:pPr>
        <w:jc w:val="right"/>
        <w:ind w:right="1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ROYAL BANK OF CANADA, as a Lender</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/s/Allan Kortan</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Allan Kortan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175260</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TORONTO-DOMINION BANK, NEW YORK BRANCH</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/s/Savo Bozic</w:t>
      </w:r>
    </w:p>
    <w:p>
      <w:pPr>
        <w:spacing w:after="0" w:line="2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Name:</w:t>
        <w:tab/>
        <w:t>Savo Bozic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32499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100"/>
        <w:spacing w:after="0"/>
        <w:tabs>
          <w:tab w:leader="none" w:pos="5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0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60"/>
          </w:cols>
          <w:pgMar w:left="1440" w:top="598" w:right="1299" w:bottom="1440" w:gutter="0" w:footer="0" w:header="0"/>
        </w:sectPr>
      </w:pPr>
    </w:p>
    <w:bookmarkStart w:id="229" w:name="page230"/>
    <w:bookmarkEnd w:id="229"/>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COMMERZBANK AG, NEW YORK BRANCH,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Paolo de Alessandrini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Paolo de Alessandrini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/s/Mathew Ward</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Mathew Ward</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30" w:name="page231"/>
    <w:bookmarkEnd w:id="230"/>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t>DNB CAPITAL LLC,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5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/s/Philip F. Kurpiewski</w:t>
            </w: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Philip F. Kurpiewski</w:t>
            </w:r>
          </w:p>
        </w:tc>
      </w:tr>
      <w:tr>
        <w:trPr>
          <w:trHeight w:val="230"/>
        </w:trPr>
        <w:tc>
          <w:tcPr>
            <w:tcW w:w="42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1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Kristi Birkeland Sorensen</w:t>
            </w:r>
          </w:p>
        </w:tc>
      </w:tr>
      <w:tr>
        <w:trPr>
          <w:trHeight w:val="195"/>
        </w:trPr>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Kristi Birkeland Sorensen</w:t>
            </w:r>
          </w:p>
        </w:tc>
      </w:tr>
      <w:tr>
        <w:trPr>
          <w:trHeight w:val="230"/>
        </w:trPr>
        <w:tc>
          <w:tcPr>
            <w:tcW w:w="42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31" w:name="page232"/>
    <w:bookmarkEnd w:id="231"/>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SOCIETE GENERALE,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Finkelman</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Michael Finkelman</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32" w:name="page233"/>
    <w:bookmarkEnd w:id="232"/>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PNC BANK, NATIONAL ASSOCIATION,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 DiNapoli</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John M. DiNapoli</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33" w:name="page234"/>
    <w:bookmarkEnd w:id="233"/>
    <w:p>
      <w:pPr>
        <w:ind w:left="4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 BANK NATIONAL ASSOCIATION, as a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Garret Komjathy</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line="195" w:lineRule="exact"/>
              <w:rPr>
                <w:sz w:val="20"/>
                <w:szCs w:val="20"/>
                <w:color w:val="auto"/>
              </w:rPr>
            </w:pPr>
            <w:r>
              <w:rPr>
                <w:rFonts w:ascii="Arial" w:cs="Arial" w:eastAsia="Arial" w:hAnsi="Arial"/>
                <w:sz w:val="18"/>
                <w:szCs w:val="18"/>
                <w:color w:val="auto"/>
              </w:rPr>
              <w:t>Garret Komjathy</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Bridge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34" w:name="page235"/>
    <w:bookmarkEnd w:id="23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A</w:t>
      </w:r>
    </w:p>
    <w:p>
      <w:pPr>
        <w:spacing w:after="0" w:line="225" w:lineRule="exact"/>
        <w:rPr>
          <w:sz w:val="20"/>
          <w:szCs w:val="20"/>
          <w:color w:val="auto"/>
        </w:rPr>
      </w:pPr>
    </w:p>
    <w:p>
      <w:pPr>
        <w:jc w:val="right"/>
        <w:ind w:right="3259"/>
        <w:spacing w:after="0"/>
        <w:rPr>
          <w:sz w:val="20"/>
          <w:szCs w:val="20"/>
          <w:color w:val="auto"/>
        </w:rPr>
      </w:pPr>
      <w:r>
        <w:rPr>
          <w:rFonts w:ascii="Arial" w:cs="Arial" w:eastAsia="Arial" w:hAnsi="Arial"/>
          <w:sz w:val="18"/>
          <w:szCs w:val="18"/>
          <w:b w:val="1"/>
          <w:bCs w:val="1"/>
          <w:u w:val="single" w:color="auto"/>
          <w:color w:val="auto"/>
        </w:rPr>
        <w:t>Asset Monetization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25" w:lineRule="exact"/>
        <w:rPr>
          <w:sz w:val="20"/>
          <w:szCs w:val="20"/>
          <w:color w:val="auto"/>
        </w:rPr>
      </w:pPr>
    </w:p>
    <w:p>
      <w:pPr>
        <w:ind w:left="820" w:hanging="384"/>
        <w:spacing w:after="0"/>
        <w:tabs>
          <w:tab w:leader="none" w:pos="8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CENTAUR FUNDING CORP (Vodafone Preferred)</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94"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80" w:type="dxa"/>
            <w:vAlign w:val="bottom"/>
            <w:tcBorders>
              <w:right w:val="single" w:sz="8" w:color="auto"/>
            </w:tcBorders>
          </w:tcPr>
          <w:p>
            <w:pPr>
              <w:spacing w:after="0"/>
              <w:rPr>
                <w:sz w:val="18"/>
                <w:szCs w:val="18"/>
                <w:color w:val="auto"/>
              </w:rPr>
            </w:pPr>
          </w:p>
        </w:tc>
        <w:tc>
          <w:tcPr>
            <w:tcW w:w="2740" w:type="dxa"/>
            <w:vAlign w:val="bottom"/>
            <w:tcBorders>
              <w:top w:val="single" w:sz="8" w:color="auto"/>
              <w:right w:val="single" w:sz="8" w:color="auto"/>
            </w:tcBorders>
            <w:shd w:val="clear" w:color="auto" w:fill="CCCCCC"/>
          </w:tcPr>
          <w:p>
            <w:pPr>
              <w:ind w:left="720"/>
              <w:spacing w:after="0"/>
              <w:rPr>
                <w:sz w:val="20"/>
                <w:szCs w:val="20"/>
                <w:color w:val="auto"/>
              </w:rPr>
            </w:pPr>
            <w:r>
              <w:rPr>
                <w:rFonts w:ascii="Arial" w:cs="Arial" w:eastAsia="Arial" w:hAnsi="Arial"/>
                <w:sz w:val="18"/>
                <w:szCs w:val="18"/>
                <w:b w:val="1"/>
                <w:bCs w:val="1"/>
                <w:color w:val="auto"/>
              </w:rPr>
              <w:t>Name of Lender</w:t>
            </w:r>
          </w:p>
        </w:tc>
        <w:tc>
          <w:tcPr>
            <w:tcW w:w="2360" w:type="dxa"/>
            <w:vAlign w:val="bottom"/>
            <w:tcBorders>
              <w:top w:val="single" w:sz="8" w:color="auto"/>
              <w:right w:val="single" w:sz="8" w:color="auto"/>
            </w:tcBorders>
            <w:shd w:val="clear" w:color="auto" w:fill="CCCCCC"/>
          </w:tcPr>
          <w:p>
            <w:pPr>
              <w:ind w:left="300"/>
              <w:spacing w:after="0"/>
              <w:rPr>
                <w:sz w:val="20"/>
                <w:szCs w:val="20"/>
                <w:color w:val="auto"/>
              </w:rPr>
            </w:pPr>
            <w:r>
              <w:rPr>
                <w:rFonts w:ascii="Arial" w:cs="Arial" w:eastAsia="Arial" w:hAnsi="Arial"/>
                <w:sz w:val="18"/>
                <w:szCs w:val="18"/>
                <w:b w:val="1"/>
                <w:bCs w:val="1"/>
                <w:color w:val="auto"/>
              </w:rPr>
              <w:t>Applicable Percentage</w:t>
            </w:r>
          </w:p>
        </w:tc>
        <w:tc>
          <w:tcPr>
            <w:tcW w:w="40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364-Day</w:t>
            </w:r>
          </w:p>
        </w:tc>
        <w:tc>
          <w:tcPr>
            <w:tcW w:w="1120" w:type="dxa"/>
            <w:vAlign w:val="bottom"/>
          </w:tcPr>
          <w:p>
            <w:pPr>
              <w:spacing w:after="0"/>
              <w:rPr>
                <w:sz w:val="18"/>
                <w:szCs w:val="18"/>
                <w:color w:val="auto"/>
              </w:rPr>
            </w:pPr>
          </w:p>
        </w:tc>
      </w:tr>
      <w:tr>
        <w:trPr>
          <w:trHeight w:val="234"/>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shd w:val="clear" w:color="auto" w:fill="CCCCCC"/>
          </w:tcPr>
          <w:p>
            <w:pPr>
              <w:spacing w:after="0"/>
              <w:rPr>
                <w:sz w:val="20"/>
                <w:szCs w:val="20"/>
                <w:color w:val="auto"/>
              </w:rPr>
            </w:pPr>
          </w:p>
        </w:tc>
        <w:tc>
          <w:tcPr>
            <w:tcW w:w="2360" w:type="dxa"/>
            <w:vAlign w:val="bottom"/>
            <w:tcBorders>
              <w:bottom w:val="single" w:sz="8" w:color="auto"/>
              <w:right w:val="single" w:sz="8" w:color="auto"/>
            </w:tcBorders>
            <w:shd w:val="clear" w:color="auto" w:fill="CCCCCC"/>
          </w:tcPr>
          <w:p>
            <w:pPr>
              <w:spacing w:after="0"/>
              <w:rPr>
                <w:sz w:val="20"/>
                <w:szCs w:val="20"/>
                <w:color w:val="auto"/>
              </w:rPr>
            </w:pPr>
          </w:p>
        </w:tc>
        <w:tc>
          <w:tcPr>
            <w:tcW w:w="40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2"/>
              </w:rPr>
              <w:t>Bridge Facility Commitment</w:t>
            </w:r>
          </w:p>
        </w:tc>
        <w:tc>
          <w:tcPr>
            <w:tcW w:w="1120" w:type="dxa"/>
            <w:vAlign w:val="bottom"/>
          </w:tcPr>
          <w:p>
            <w:pPr>
              <w:spacing w:after="0"/>
              <w:rPr>
                <w:sz w:val="20"/>
                <w:szCs w:val="20"/>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Bank of America,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17.500000000%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£2,800,000,000.00</w:t>
            </w:r>
          </w:p>
        </w:tc>
        <w:tc>
          <w:tcPr>
            <w:tcW w:w="1120" w:type="dxa"/>
            <w:vAlign w:val="bottom"/>
          </w:tcPr>
          <w:p>
            <w:pPr>
              <w:spacing w:after="0"/>
              <w:rPr>
                <w:sz w:val="18"/>
                <w:szCs w:val="18"/>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Wells Fargo Bank, National</w:t>
            </w:r>
          </w:p>
        </w:tc>
        <w:tc>
          <w:tcPr>
            <w:tcW w:w="2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13.000000000%</w:t>
            </w:r>
          </w:p>
        </w:tc>
        <w:tc>
          <w:tcPr>
            <w:tcW w:w="4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£2,080,000,000.00</w:t>
            </w:r>
          </w:p>
        </w:tc>
        <w:tc>
          <w:tcPr>
            <w:tcW w:w="112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236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Credit Suisse AG, Cayman Islands</w:t>
            </w:r>
          </w:p>
        </w:tc>
        <w:tc>
          <w:tcPr>
            <w:tcW w:w="2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4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£1,440,000,000.00</w:t>
            </w:r>
          </w:p>
        </w:tc>
        <w:tc>
          <w:tcPr>
            <w:tcW w:w="112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Branch</w:t>
            </w:r>
          </w:p>
        </w:tc>
        <w:tc>
          <w:tcPr>
            <w:tcW w:w="236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Mizuho Bank, Ltd.</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£1,440,000,000.00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MUFG Bank, Ltd.</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£1,440,000,000.00</w:t>
            </w:r>
          </w:p>
        </w:tc>
        <w:tc>
          <w:tcPr>
            <w:tcW w:w="1120" w:type="dxa"/>
            <w:vAlign w:val="bottom"/>
          </w:tcPr>
          <w:p>
            <w:pPr>
              <w:spacing w:after="0"/>
              <w:rPr>
                <w:sz w:val="18"/>
                <w:szCs w:val="18"/>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Sumitomo Mitsui Banking</w:t>
            </w:r>
          </w:p>
        </w:tc>
        <w:tc>
          <w:tcPr>
            <w:tcW w:w="2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9.000000000%</w:t>
            </w:r>
          </w:p>
        </w:tc>
        <w:tc>
          <w:tcPr>
            <w:tcW w:w="4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£1,440,000,000.00</w:t>
            </w:r>
          </w:p>
        </w:tc>
        <w:tc>
          <w:tcPr>
            <w:tcW w:w="112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36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BNP Paribas</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£880,000,000.00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Royal Bank of Canada</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£880,000,000.00</w:t>
            </w:r>
          </w:p>
        </w:tc>
        <w:tc>
          <w:tcPr>
            <w:tcW w:w="1120" w:type="dxa"/>
            <w:vAlign w:val="bottom"/>
          </w:tcPr>
          <w:p>
            <w:pPr>
              <w:spacing w:after="0"/>
              <w:rPr>
                <w:sz w:val="18"/>
                <w:szCs w:val="18"/>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Toronto-Dominion Bank, New</w:t>
            </w:r>
          </w:p>
        </w:tc>
        <w:tc>
          <w:tcPr>
            <w:tcW w:w="2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5.500000000%</w:t>
            </w:r>
          </w:p>
        </w:tc>
        <w:tc>
          <w:tcPr>
            <w:tcW w:w="4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£880,000,000.00</w:t>
            </w:r>
          </w:p>
        </w:tc>
        <w:tc>
          <w:tcPr>
            <w:tcW w:w="112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York Branch</w:t>
            </w:r>
          </w:p>
        </w:tc>
        <w:tc>
          <w:tcPr>
            <w:tcW w:w="236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195"/>
        </w:trPr>
        <w:tc>
          <w:tcPr>
            <w:tcW w:w="118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Commerzbank AG, New York</w:t>
            </w:r>
          </w:p>
        </w:tc>
        <w:tc>
          <w:tcPr>
            <w:tcW w:w="2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3.400000000%</w:t>
            </w:r>
          </w:p>
        </w:tc>
        <w:tc>
          <w:tcPr>
            <w:tcW w:w="40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£544,000,000.00</w:t>
            </w:r>
          </w:p>
        </w:tc>
        <w:tc>
          <w:tcPr>
            <w:tcW w:w="1120" w:type="dxa"/>
            <w:vAlign w:val="bottom"/>
          </w:tcPr>
          <w:p>
            <w:pPr>
              <w:spacing w:after="0"/>
              <w:rPr>
                <w:sz w:val="16"/>
                <w:szCs w:val="16"/>
                <w:color w:val="auto"/>
              </w:rPr>
            </w:pPr>
          </w:p>
        </w:tc>
      </w:tr>
      <w:tr>
        <w:trPr>
          <w:trHeight w:val="230"/>
        </w:trPr>
        <w:tc>
          <w:tcPr>
            <w:tcW w:w="1180" w:type="dxa"/>
            <w:vAlign w:val="bottom"/>
            <w:tcBorders>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Branch</w:t>
            </w:r>
          </w:p>
        </w:tc>
        <w:tc>
          <w:tcPr>
            <w:tcW w:w="2360" w:type="dxa"/>
            <w:vAlign w:val="bottom"/>
            <w:tcBorders>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DNB Capital LLC</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£544,000,000.00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Societe Generale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£544,000,000.00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PNC Bank, National Association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£544,000,000.00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Bank National Association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3.400000000%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£544,000,000.00</w:t>
            </w:r>
          </w:p>
        </w:tc>
        <w:tc>
          <w:tcPr>
            <w:tcW w:w="1120" w:type="dxa"/>
            <w:vAlign w:val="bottom"/>
          </w:tcPr>
          <w:p>
            <w:pPr>
              <w:spacing w:after="0"/>
              <w:rPr>
                <w:sz w:val="18"/>
                <w:szCs w:val="18"/>
                <w:color w:val="auto"/>
              </w:rPr>
            </w:pPr>
          </w:p>
        </w:tc>
      </w:tr>
      <w:tr>
        <w:trPr>
          <w:trHeight w:val="210"/>
        </w:trPr>
        <w:tc>
          <w:tcPr>
            <w:tcW w:w="118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100.000000000%</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£16,000,000,000.00</w:t>
            </w:r>
          </w:p>
        </w:tc>
        <w:tc>
          <w:tcPr>
            <w:tcW w:w="1120" w:type="dxa"/>
            <w:vAlign w:val="bottom"/>
          </w:tcPr>
          <w:p>
            <w:pPr>
              <w:spacing w:after="0"/>
              <w:rPr>
                <w:sz w:val="18"/>
                <w:szCs w:val="18"/>
                <w:color w:val="auto"/>
              </w:rPr>
            </w:pPr>
          </w:p>
        </w:tc>
      </w:tr>
      <w:tr>
        <w:trPr>
          <w:trHeight w:val="561"/>
        </w:trPr>
        <w:tc>
          <w:tcPr>
            <w:tcW w:w="1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S-2</w:t>
            </w:r>
          </w:p>
        </w:tc>
        <w:tc>
          <w:tcPr>
            <w:tcW w:w="4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236" w:name="page237"/>
    <w:bookmarkEnd w:id="236"/>
    <w:p>
      <w:pPr>
        <w:jc w:val="center"/>
        <w:ind w:right="-139"/>
        <w:spacing w:after="0"/>
        <w:rPr>
          <w:sz w:val="20"/>
          <w:szCs w:val="20"/>
          <w:color w:val="auto"/>
        </w:rPr>
      </w:pPr>
      <w:r>
        <w:rPr>
          <w:rFonts w:ascii="Arial" w:cs="Arial" w:eastAsia="Arial" w:hAnsi="Arial"/>
          <w:sz w:val="18"/>
          <w:szCs w:val="18"/>
          <w:b w:val="1"/>
          <w:bCs w:val="1"/>
          <w:color w:val="auto"/>
        </w:rPr>
        <w:t>Schedule 6.08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Unrestricted Subsidiaries</w:t>
      </w:r>
    </w:p>
    <w:p>
      <w:pPr>
        <w:spacing w:after="0" w:line="229" w:lineRule="exact"/>
        <w:rPr>
          <w:sz w:val="20"/>
          <w:szCs w:val="20"/>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Holdings Corporation and its subsidiaries (except Comcast Cable Communications,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Navy Holdings, LLC and its subsidiaries, including NBCUniversal Enterprise,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NBCUniversal Enterprise, Inc. (f/k/a Navy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Contribution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Navy Contribution, LLC and its subsidiaries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NBCUniversal, LLC and its subsidiaries (except for NBCUniversal Media,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Navy Acquisition,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Comcast CSA Holdings, LLC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NBCUniversal Asia, LLC and its subsidiaries (Universal Studios Japan)</w:t>
      </w:r>
    </w:p>
    <w:p>
      <w:pPr>
        <w:spacing w:after="0" w:line="22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Subsidiaries of Universal City Studios Productions LLLP that are solely and specifically related 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 LLC, (iv) Universal Beijing Development Services LLC, (v) Universal Beijing Owner Holding LLC and (vi) Universal Beijing Services LLC</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AWTV,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all current and future subsidiaries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37" w:name="page238"/>
    <w:bookmarkEnd w:id="237"/>
    <w:p>
      <w:pPr>
        <w:jc w:val="center"/>
        <w:ind w:right="-1200"/>
        <w:spacing w:after="0"/>
        <w:rPr>
          <w:sz w:val="20"/>
          <w:szCs w:val="20"/>
          <w:color w:val="auto"/>
        </w:rPr>
      </w:pPr>
      <w:r>
        <w:rPr>
          <w:rFonts w:ascii="Arial" w:cs="Arial" w:eastAsia="Arial" w:hAnsi="Arial"/>
          <w:sz w:val="18"/>
          <w:szCs w:val="18"/>
          <w:b w:val="1"/>
          <w:bCs w:val="1"/>
          <w:color w:val="auto"/>
        </w:rPr>
        <w:t>Schedule 10.02</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u w:val="single" w:color="auto"/>
          <w:color w:val="auto"/>
        </w:rPr>
        <w:t>Addresses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to Borrower,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286-7564</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Administrative Agent,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payments and Requests for Credit Extensions):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 TX2-984-03-23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2380 Performance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TX 75082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Jared McClure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469-201-4418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214-290-9413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jared.l.mcclure@baml.com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Notices as Administrative Agent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W. Trade St.,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NC1-026-06-03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Melissa Mullis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980-386-9372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704-409-0617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melissa.mullis@baml.com</w:t>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1"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GUARANTEE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1061085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39" w:name="page240"/>
    <w:bookmarkEnd w:id="2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1101090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GUARANTEE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the other Subsidiaries from time to time parties hereto</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favor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April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1155700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2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40"/>
        </w:trPr>
        <w:tc>
          <w:tcPr>
            <w:tcW w:w="8860" w:type="dxa"/>
            <w:vAlign w:val="bottom"/>
            <w:gridSpan w:val="3"/>
          </w:tcPr>
          <w:p>
            <w:pPr>
              <w:spacing w:after="0"/>
              <w:rPr>
                <w:sz w:val="20"/>
                <w:szCs w:val="20"/>
                <w:color w:val="auto"/>
              </w:rPr>
            </w:pPr>
            <w:r>
              <w:rPr>
                <w:rFonts w:ascii="Arial" w:cs="Arial" w:eastAsia="Arial" w:hAnsi="Arial"/>
                <w:sz w:val="18"/>
                <w:szCs w:val="18"/>
                <w:color w:val="auto"/>
              </w:rPr>
              <w:t>Section 1 DEFINED TERMS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Other Definitional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8"/>
        </w:trPr>
        <w:tc>
          <w:tcPr>
            <w:tcW w:w="8860" w:type="dxa"/>
            <w:vAlign w:val="bottom"/>
            <w:gridSpan w:val="3"/>
          </w:tcPr>
          <w:p>
            <w:pPr>
              <w:spacing w:after="0"/>
              <w:rPr>
                <w:sz w:val="20"/>
                <w:szCs w:val="20"/>
                <w:color w:val="auto"/>
              </w:rPr>
            </w:pPr>
            <w:r>
              <w:rPr>
                <w:rFonts w:ascii="Arial" w:cs="Arial" w:eastAsia="Arial" w:hAnsi="Arial"/>
                <w:sz w:val="18"/>
                <w:szCs w:val="18"/>
                <w:color w:val="auto"/>
              </w:rPr>
              <w:t>Section 2 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Guarantee</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2.02.</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Right of Contribution</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No Subrogation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2.04.</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Amendments, etc. with respect to the Borrower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Guarantee Absolute and Unconditional</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Reinstatement</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8"/>
        </w:trPr>
        <w:tc>
          <w:tcPr>
            <w:tcW w:w="8860" w:type="dxa"/>
            <w:vAlign w:val="bottom"/>
            <w:gridSpan w:val="3"/>
          </w:tcPr>
          <w:p>
            <w:pPr>
              <w:spacing w:after="0"/>
              <w:rPr>
                <w:sz w:val="20"/>
                <w:szCs w:val="20"/>
                <w:color w:val="auto"/>
              </w:rPr>
            </w:pPr>
            <w:r>
              <w:rPr>
                <w:rFonts w:ascii="Arial" w:cs="Arial" w:eastAsia="Arial" w:hAnsi="Arial"/>
                <w:sz w:val="18"/>
                <w:szCs w:val="18"/>
                <w:color w:val="auto"/>
              </w:rPr>
              <w:t>Section 3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78"/>
        </w:trPr>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Amendments in Writing</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680" w:type="dxa"/>
            <w:vAlign w:val="bottom"/>
          </w:tcPr>
          <w:p>
            <w:pPr>
              <w:ind w:left="60"/>
              <w:spacing w:after="0"/>
              <w:rPr>
                <w:sz w:val="20"/>
                <w:szCs w:val="20"/>
                <w:color w:val="auto"/>
              </w:rPr>
            </w:pPr>
            <w:r>
              <w:rPr>
                <w:rFonts w:ascii="Arial" w:cs="Arial" w:eastAsia="Arial" w:hAnsi="Arial"/>
                <w:sz w:val="18"/>
                <w:szCs w:val="18"/>
                <w:color w:val="auto"/>
                <w:w w:val="99"/>
              </w:rPr>
              <w:t>Notices</w:t>
            </w:r>
          </w:p>
        </w:tc>
        <w:tc>
          <w:tcPr>
            <w:tcW w:w="75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No Waiver by Course of Conduct; Cumulative Remedies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Enforcement Expenses;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Successors and Assigns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3.06.</w:t>
            </w:r>
          </w:p>
        </w:tc>
        <w:tc>
          <w:tcPr>
            <w:tcW w:w="680" w:type="dxa"/>
            <w:vAlign w:val="bottom"/>
          </w:tcPr>
          <w:p>
            <w:pPr>
              <w:ind w:left="60"/>
              <w:spacing w:after="0"/>
              <w:rPr>
                <w:sz w:val="20"/>
                <w:szCs w:val="20"/>
                <w:color w:val="auto"/>
              </w:rPr>
            </w:pPr>
            <w:r>
              <w:rPr>
                <w:rFonts w:ascii="Arial" w:cs="Arial" w:eastAsia="Arial" w:hAnsi="Arial"/>
                <w:sz w:val="18"/>
                <w:szCs w:val="18"/>
                <w:color w:val="auto"/>
              </w:rPr>
              <w:t>Set-Off</w:t>
            </w:r>
          </w:p>
        </w:tc>
        <w:tc>
          <w:tcPr>
            <w:tcW w:w="752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3.07.</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Section 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Integration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GOVERNING LAW</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Submission To Jurisdiction;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Acknowledgements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3.14.</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Additional Guarantors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3.15.</w:t>
            </w:r>
          </w:p>
        </w:tc>
        <w:tc>
          <w:tcPr>
            <w:tcW w:w="8200" w:type="dxa"/>
            <w:vAlign w:val="bottom"/>
            <w:gridSpan w:val="2"/>
          </w:tcPr>
          <w:p>
            <w:pPr>
              <w:ind w:left="6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86"/>
        </w:trPr>
        <w:tc>
          <w:tcPr>
            <w:tcW w:w="134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75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46"/>
        </w:trPr>
        <w:tc>
          <w:tcPr>
            <w:tcW w:w="134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7520" w:type="dxa"/>
            <w:vAlign w:val="bottom"/>
          </w:tcPr>
          <w:p>
            <w:pPr>
              <w:ind w:left="80"/>
              <w:spacing w:after="0"/>
              <w:rPr>
                <w:sz w:val="20"/>
                <w:szCs w:val="20"/>
                <w:color w:val="auto"/>
              </w:rPr>
            </w:pPr>
            <w:r>
              <w:rPr>
                <w:rFonts w:ascii="Arial" w:cs="Arial" w:eastAsia="Arial" w:hAnsi="Arial"/>
                <w:sz w:val="18"/>
                <w:szCs w:val="18"/>
                <w:color w:val="auto"/>
              </w:rPr>
              <w:t>Notice Addresses</w:t>
            </w:r>
          </w:p>
        </w:tc>
        <w:tc>
          <w:tcPr>
            <w:tcW w:w="2560" w:type="dxa"/>
            <w:vAlign w:val="bottom"/>
          </w:tcPr>
          <w:p>
            <w:pPr>
              <w:spacing w:after="0"/>
              <w:rPr>
                <w:sz w:val="24"/>
                <w:szCs w:val="24"/>
                <w:color w:val="auto"/>
              </w:rPr>
            </w:pPr>
          </w:p>
        </w:tc>
      </w:tr>
      <w:tr>
        <w:trPr>
          <w:trHeight w:val="446"/>
        </w:trPr>
        <w:tc>
          <w:tcPr>
            <w:tcW w:w="1340" w:type="dxa"/>
            <w:vAlign w:val="bottom"/>
            <w:gridSpan w:val="2"/>
          </w:tcPr>
          <w:p>
            <w:pPr>
              <w:spacing w:after="0"/>
              <w:rPr>
                <w:sz w:val="20"/>
                <w:szCs w:val="20"/>
                <w:color w:val="auto"/>
              </w:rPr>
            </w:pPr>
            <w:r>
              <w:rPr>
                <w:rFonts w:ascii="Arial" w:cs="Arial" w:eastAsia="Arial" w:hAnsi="Arial"/>
                <w:sz w:val="18"/>
                <w:szCs w:val="18"/>
                <w:color w:val="auto"/>
              </w:rPr>
              <w:t>ANNEXES</w:t>
            </w:r>
          </w:p>
        </w:tc>
        <w:tc>
          <w:tcPr>
            <w:tcW w:w="75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46"/>
        </w:trPr>
        <w:tc>
          <w:tcPr>
            <w:tcW w:w="660" w:type="dxa"/>
            <w:vAlign w:val="bottom"/>
          </w:tcPr>
          <w:p>
            <w:pPr>
              <w:spacing w:after="0"/>
              <w:rPr>
                <w:sz w:val="20"/>
                <w:szCs w:val="20"/>
                <w:color w:val="auto"/>
              </w:rPr>
            </w:pPr>
            <w:r>
              <w:rPr>
                <w:rFonts w:ascii="Arial" w:cs="Arial" w:eastAsia="Arial" w:hAnsi="Arial"/>
                <w:sz w:val="18"/>
                <w:szCs w:val="18"/>
                <w:color w:val="auto"/>
                <w:w w:val="96"/>
              </w:rPr>
              <w:t>Annex 1</w:t>
            </w:r>
          </w:p>
        </w:tc>
        <w:tc>
          <w:tcPr>
            <w:tcW w:w="68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Arial" w:cs="Arial" w:eastAsia="Arial" w:hAnsi="Arial"/>
                <w:sz w:val="18"/>
                <w:szCs w:val="18"/>
                <w:color w:val="auto"/>
              </w:rPr>
              <w:t>Form Assumption Agreement</w:t>
            </w:r>
          </w:p>
        </w:tc>
        <w:tc>
          <w:tcPr>
            <w:tcW w:w="2560" w:type="dxa"/>
            <w:vAlign w:val="bottom"/>
          </w:tcPr>
          <w:p>
            <w:pPr>
              <w:spacing w:after="0"/>
              <w:rPr>
                <w:sz w:val="24"/>
                <w:szCs w:val="24"/>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GUARANTEE AGREEMENT</w:t>
      </w:r>
    </w:p>
    <w:p>
      <w:pPr>
        <w:spacing w:after="0" w:line="22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GUARANTEE AGREEMENT, dated as of April 25, 2018, made by each of the signatories hereto, in favor of BANK OF AMERICA, N.A., as Administrative Agent (in such capacity, the “Administrative Agent”) for the banks and other financial institutions or entities (the “Lenders”) from time to time parties to the 364-Day Bridge Credit Agreement, dated as of the date hereof (as amended, supplemented or otherwise modified from time to time, the “Credit Agreement”), among COMCAST CORPORATION, a Pennsylvania corporation (the “Borrower”), the Lenders and the Administrative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Borrower and Guarantors are engaged in related businesses, and each Guarantor will derive substantial direct and indirect benefit from the making of the extensions of credit under the Credit Agreement; and</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it is a condition precedent to the effectiveness of the Credit Agreement that the Guarantors shall have executed and delivered this Agreement to the Administrative Agent for the ratable benefit of the Lenders;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thereunder, each Guarantor hereby agrees with the Administrative Agent, for the ratable benefit of the Lenders,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DEFINED TERMS</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1820" w:hanging="515"/>
        <w:spacing w:after="0"/>
        <w:tabs>
          <w:tab w:leader="none" w:pos="18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“Agreement”: this Guarantee Agreement, as the same may be amended, supplemented or otherwise modified from time to time.</w:t>
      </w:r>
    </w:p>
    <w:p>
      <w:pPr>
        <w:spacing w:after="0" w:line="23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“Borrower Obligations”: the collective reference to the unpaid principal of and interest on the Loans made to the Borrower and all other obligations and liabilities of the Borrower (including, without limitation, interest accruing at the then applicable rate provided in the Credit Agreement after the maturity of the Loans made to it and interest accruing at the then applicable rate provided in the Credit Agreement after the filing of any petition in bankruptcy, or the commencement of any insolvency, reorganization or like proceeding,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2" w:name="page243"/>
    <w:bookmarkEnd w:id="242"/>
    <w:p>
      <w:pPr>
        <w:jc w:val="both"/>
        <w:spacing w:after="0" w:line="255" w:lineRule="auto"/>
        <w:rPr>
          <w:sz w:val="20"/>
          <w:szCs w:val="20"/>
          <w:color w:val="auto"/>
        </w:rPr>
      </w:pPr>
      <w:r>
        <w:rPr>
          <w:rFonts w:ascii="Arial" w:cs="Arial" w:eastAsia="Arial" w:hAnsi="Arial"/>
          <w:sz w:val="18"/>
          <w:szCs w:val="18"/>
          <w:color w:val="auto"/>
        </w:rPr>
        <w:t>Borrower, whether or not a claim for post-filing or post-petition interest is allowed in such proceeding) to the Administrative Agent or any Lender, whether direct or indirect, absolute or contingent, due or to become due, or now existing or hereafter incurred, which may arise under, out of, or in connection with, the Credit Agreement, this Agreement, the other Loan Documents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“Guarantor Obligations”: with respect to any Guarantor, all obligations and liabilities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“Guarantors”: the collective reference to each of the signatories hereto and the other entities that may become a party hereto as provided herein (in each case, unless released pursuant to the terms of the Loan Documents).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“Obligations”: in the case of each Guarantor, its Guarantor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v)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1820" w:hanging="515"/>
        <w:spacing w:after="0"/>
        <w:tabs>
          <w:tab w:leader="none" w:pos="182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236" w:lineRule="exact"/>
        <w:rPr>
          <w:rFonts w:ascii="Arial" w:cs="Arial" w:eastAsia="Arial" w:hAnsi="Arial"/>
          <w:sz w:val="17"/>
          <w:szCs w:val="17"/>
          <w:color w:val="auto"/>
        </w:rPr>
      </w:pPr>
    </w:p>
    <w:p>
      <w:pPr>
        <w:ind w:left="5260"/>
        <w:spacing w:after="0"/>
        <w:rPr>
          <w:rFonts w:ascii="Arial" w:cs="Arial" w:eastAsia="Arial" w:hAnsi="Arial"/>
          <w:sz w:val="17"/>
          <w:szCs w:val="17"/>
          <w:color w:val="auto"/>
        </w:rPr>
      </w:pPr>
      <w:r>
        <w:rPr>
          <w:rFonts w:ascii="Arial" w:cs="Arial" w:eastAsia="Arial" w:hAnsi="Arial"/>
          <w:sz w:val="18"/>
          <w:szCs w:val="18"/>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Guarantee</w:t>
      </w:r>
      <w:r>
        <w:rPr>
          <w:rFonts w:ascii="Arial" w:cs="Arial" w:eastAsia="Arial" w:hAnsi="Arial"/>
          <w:sz w:val="18"/>
          <w:szCs w:val="18"/>
          <w:color w:val="auto"/>
        </w:rPr>
        <w:t>. (a) Subject to the provisions of Section 2.01(b),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w:t>
      </w:r>
    </w:p>
    <w:p>
      <w:pPr>
        <w:spacing w:after="0" w:line="187" w:lineRule="exact"/>
        <w:rPr>
          <w:sz w:val="20"/>
          <w:szCs w:val="20"/>
          <w:color w:val="auto"/>
        </w:rPr>
      </w:pPr>
    </w:p>
    <w:p>
      <w:pPr>
        <w:jc w:val="both"/>
        <w:ind w:firstLine="1305"/>
        <w:spacing w:after="0" w:line="312" w:lineRule="auto"/>
        <w:tabs>
          <w:tab w:leader="none" w:pos="181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2.02).</w:t>
      </w:r>
    </w:p>
    <w:p>
      <w:pPr>
        <w:spacing w:after="0" w:line="146" w:lineRule="exact"/>
        <w:rPr>
          <w:rFonts w:ascii="Arial" w:cs="Arial" w:eastAsia="Arial" w:hAnsi="Arial"/>
          <w:sz w:val="16"/>
          <w:szCs w:val="16"/>
          <w:color w:val="auto"/>
        </w:rPr>
      </w:pPr>
    </w:p>
    <w:p>
      <w:pPr>
        <w:ind w:firstLine="1305"/>
        <w:spacing w:after="0" w:line="277" w:lineRule="auto"/>
        <w:tabs>
          <w:tab w:leader="none" w:pos="18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exceed the amount of the liability of such Guarantor hereunder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t>impairing the guarantee contained in this Section 2 or affecting the rights and remedies of the Administrative Agent or any Lender hereunder.</w:t>
      </w:r>
    </w:p>
    <w:p>
      <w:pPr>
        <w:spacing w:after="0" w:line="225" w:lineRule="exact"/>
        <w:rPr>
          <w:sz w:val="20"/>
          <w:szCs w:val="20"/>
          <w:color w:val="auto"/>
        </w:rPr>
      </w:pPr>
    </w:p>
    <w:p>
      <w:pPr>
        <w:jc w:val="both"/>
        <w:ind w:firstLine="1305"/>
        <w:spacing w:after="0" w:line="259" w:lineRule="auto"/>
        <w:tabs>
          <w:tab w:leader="none" w:pos="18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Borrower Obligations and the obligations of each Guarantor under the guarantee contained in this Section 2 shall have been satisfied by payment in full (other than contingent indemnification and expense reimbursement obligations) and all Commitments shall be terminated, notwithstanding that from time to time during the term of the Credit Agreement the Borrower may be free from the Borrower Obligations.</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6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contingent indemnification and expense reimbursement obligations) are paid in full and all Commitments are terminated.</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2.02,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2.03. The provisions of this Section 2.02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and expense reimbursement obligations) are paid in full and all Commitments are terminated. If any amount shall be paid to any Guarantor on account of such subrogation rights at any time when all of the Borrower Obligations (other than contingent indemnification and expense reimbursement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4" w:name="page245"/>
    <w:bookmarkEnd w:id="244"/>
    <w:p>
      <w:pPr>
        <w:jc w:val="both"/>
        <w:spacing w:after="0" w:line="277" w:lineRule="auto"/>
        <w:rPr>
          <w:sz w:val="20"/>
          <w:szCs w:val="20"/>
          <w:color w:val="auto"/>
        </w:rPr>
      </w:pPr>
      <w:r>
        <w:rPr>
          <w:rFonts w:ascii="Arial" w:cs="Arial" w:eastAsia="Arial" w:hAnsi="Arial"/>
          <w:sz w:val="18"/>
          <w:szCs w:val="18"/>
          <w:color w:val="auto"/>
        </w:rPr>
        <w:t>Guarantor to the Administrative Agent, if required), to be applied against the Borrower Obligations, whether matured or unmatured, in such order as the Administrative Agent may determine.</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Amendments, etc. with respect to the Borrower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2 or any property subject thereto.</w:t>
      </w:r>
    </w:p>
    <w:p>
      <w:pPr>
        <w:spacing w:after="0" w:line="17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Borrower Obligations and notice of or proof of reliance by the Administrative Agent or any Lender upon the guarantee contained in this Section 2 or acceptance of the guarantee contained in this Section 2; the Borrower Obligations, and any of them, shall conclusively be deemed to have been created, contracted or incurred, or renewed, extended, amended or waived, in reliance upon the guarantee contained in this Section 2; and all dealings between the Borrower and any of the Guarantors, on 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Borrower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5" w:name="page246"/>
    <w:bookmarkEnd w:id="245"/>
    <w:p>
      <w:pPr>
        <w:jc w:val="both"/>
        <w:spacing w:after="0" w:line="273" w:lineRule="auto"/>
        <w:rPr>
          <w:sz w:val="20"/>
          <w:szCs w:val="20"/>
          <w:color w:val="auto"/>
        </w:rPr>
      </w:pPr>
      <w:r>
        <w:rPr>
          <w:rFonts w:ascii="Arial" w:cs="Arial" w:eastAsia="Arial" w:hAnsi="Arial"/>
          <w:sz w:val="17"/>
          <w:szCs w:val="17"/>
          <w:color w:val="auto"/>
        </w:rPr>
        <w:t>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the currency otherwise required pursuant to the terms of the Credit Agreement at the Administrative Agent’s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Neither the Administrative Agent nor any Lender shall by any act (except by a written instrument pursuant to Section 3.01),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6" w:name="page247"/>
    <w:bookmarkEnd w:id="246"/>
    <w:p>
      <w:pPr>
        <w:jc w:val="both"/>
        <w:ind w:firstLine="1297"/>
        <w:spacing w:after="0" w:line="259"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but solely to the extent such costs and expenses would be reimbursable by the Borrower pursuant to Section 10.03 of the Credit Agreement.</w:t>
      </w:r>
    </w:p>
    <w:p>
      <w:pPr>
        <w:spacing w:after="0" w:line="187" w:lineRule="exact"/>
        <w:rPr>
          <w:sz w:val="20"/>
          <w:szCs w:val="20"/>
          <w:color w:val="auto"/>
        </w:rPr>
      </w:pPr>
    </w:p>
    <w:p>
      <w:pPr>
        <w:jc w:val="both"/>
        <w:ind w:firstLine="1305"/>
        <w:spacing w:after="0" w:line="259" w:lineRule="auto"/>
        <w:tabs>
          <w:tab w:leader="none" w:pos="203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186" w:lineRule="exact"/>
        <w:rPr>
          <w:rFonts w:ascii="Arial" w:cs="Arial" w:eastAsia="Arial" w:hAnsi="Arial"/>
          <w:sz w:val="18"/>
          <w:szCs w:val="18"/>
          <w:color w:val="auto"/>
        </w:rPr>
      </w:pPr>
    </w:p>
    <w:p>
      <w:pPr>
        <w:ind w:firstLine="1305"/>
        <w:spacing w:after="0" w:line="277" w:lineRule="auto"/>
        <w:tabs>
          <w:tab w:leader="none" w:pos="193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agreements in this Section 3.04 shall survive repayment of the Obligations and all other amounts payable under the Credit Agreement and the other Loan Documents.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Guarantor and shall inure to the benefit of the Administrative Agent and the Lenders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3.06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Guarantor promptly of any such set-off and the application made by the Administrative Agent or such Lender of the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and each Lender under this Section 3.06 are in addition to other rights and remedies (including, without limitation, other rights of set-off) which the Administrative Agent or such Lender may have.</w:t>
      </w:r>
    </w:p>
    <w:p>
      <w:pPr>
        <w:spacing w:after="0" w:line="17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3.07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in “.pdf” form), and all of said counterparts taken together shall be deemed to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7" w:name="page248"/>
    <w:bookmarkEnd w:id="247"/>
    <w:p>
      <w:pPr>
        <w:jc w:val="both"/>
        <w:ind w:right="20" w:firstLine="1297"/>
        <w:spacing w:after="0" w:line="264" w:lineRule="auto"/>
        <w:rPr>
          <w:sz w:val="20"/>
          <w:szCs w:val="20"/>
          <w:color w:val="auto"/>
        </w:rPr>
      </w:pPr>
      <w:r>
        <w:rPr>
          <w:rFonts w:ascii="Arial" w:cs="Arial" w:eastAsia="Arial" w:hAnsi="Arial"/>
          <w:sz w:val="18"/>
          <w:szCs w:val="18"/>
          <w:color w:val="auto"/>
        </w:rPr>
        <w:t xml:space="preserve">3.08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3.09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Guarantor hereby irrevocably and unconditionally:</w:t>
      </w:r>
    </w:p>
    <w:p>
      <w:pPr>
        <w:spacing w:after="0" w:line="225" w:lineRule="exact"/>
        <w:rPr>
          <w:sz w:val="20"/>
          <w:szCs w:val="20"/>
          <w:color w:val="auto"/>
        </w:rPr>
      </w:pPr>
    </w:p>
    <w:p>
      <w:pPr>
        <w:jc w:val="both"/>
        <w:ind w:firstLine="1305"/>
        <w:spacing w:after="0" w:line="264" w:lineRule="auto"/>
        <w:tabs>
          <w:tab w:leader="none" w:pos="191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firstLine="1305"/>
        <w:spacing w:after="0" w:line="277" w:lineRule="auto"/>
        <w:tabs>
          <w:tab w:leader="none" w:pos="187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right="20" w:firstLine="1305"/>
        <w:spacing w:after="0" w:line="264" w:lineRule="auto"/>
        <w:tabs>
          <w:tab w:leader="none" w:pos="186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3.02 hereof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right="20" w:firstLine="1305"/>
        <w:spacing w:after="0" w:line="308" w:lineRule="auto"/>
        <w:tabs>
          <w:tab w:leader="none" w:pos="187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waiver set forth in this clause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shall not affect any obligation of the Borrower or any Guarantor under Section 3.04 of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Acknowledgements</w:t>
      </w:r>
      <w:r>
        <w:rPr>
          <w:rFonts w:ascii="Arial" w:cs="Arial" w:eastAsia="Arial" w:hAnsi="Arial"/>
          <w:sz w:val="16"/>
          <w:szCs w:val="16"/>
          <w:color w:val="auto"/>
        </w:rPr>
        <w:t>. Each Guarantor hereby acknowledges that:</w:t>
      </w:r>
    </w:p>
    <w:p>
      <w:pPr>
        <w:spacing w:after="0" w:line="225" w:lineRule="exact"/>
        <w:rPr>
          <w:sz w:val="20"/>
          <w:szCs w:val="20"/>
          <w:color w:val="auto"/>
        </w:rPr>
      </w:pPr>
    </w:p>
    <w:p>
      <w:pPr>
        <w:ind w:left="1840" w:hanging="535"/>
        <w:spacing w:after="0"/>
        <w:tabs>
          <w:tab w:leader="none" w:pos="18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a party;</w:t>
      </w:r>
    </w:p>
    <w:p>
      <w:pPr>
        <w:spacing w:after="0" w:line="211" w:lineRule="exact"/>
        <w:rPr>
          <w:sz w:val="20"/>
          <w:szCs w:val="20"/>
          <w:color w:val="auto"/>
        </w:rPr>
      </w:pPr>
    </w:p>
    <w:p>
      <w:pPr>
        <w:jc w:val="both"/>
        <w:ind w:firstLine="1305"/>
        <w:spacing w:after="0" w:line="302" w:lineRule="auto"/>
        <w:tabs>
          <w:tab w:leader="none" w:pos="191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54" w:lineRule="exact"/>
        <w:rPr>
          <w:rFonts w:ascii="Arial" w:cs="Arial" w:eastAsia="Arial" w:hAnsi="Arial"/>
          <w:sz w:val="16"/>
          <w:szCs w:val="16"/>
          <w:color w:val="auto"/>
        </w:rPr>
      </w:pPr>
    </w:p>
    <w:p>
      <w:pPr>
        <w:ind w:firstLine="1305"/>
        <w:spacing w:after="0" w:line="277" w:lineRule="auto"/>
        <w:tabs>
          <w:tab w:leader="none" w:pos="19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executes and delivers an Assumption Agreement in the form of Annex 1 hereto shall become a Guarantor for all purposes of this Agreement, subject in all respects to the provisions of Section 6.08 and 6.10 of the Credit Agreement, which govern the release of Guarantors from this Agreement. If any Person shall be released as a Guarantor pursuant to Section 6.08 or 6.10 of the Credit Agreement (as applicable), such Person shall immediately and automatically, without need for further action, cease to be a Guarantor hereunder and shall be, and shall be deemed to be, released from all obligations under and in respect of this Agreement. In connection with the release of any Person as a Guarantor, the Administrative Agent agrees, and the Lenders authorize the Administrative Agent, to execute and deliver documents reasonably requested to evidence such release.</w:t>
      </w:r>
    </w:p>
    <w:p>
      <w:pPr>
        <w:spacing w:after="0" w:line="18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EACH PARTY HERETO HEREBY IRREVOCABLY AND UNCONDITIONALLY WAIVES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TRIAL BY JURY IN ANY LEGAL ACTION OR PROCEEDING RELATING TO THIS AGREEMENT OR ANY OTHER LOAN DOCUMENT AND FOR ANY COUNTERCLAIM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9" w:name="page250"/>
    <w:bookmarkEnd w:id="249"/>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Guarantee Agreement to be duly executed and delivered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Guarantee Agreement – Bridge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33616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[Signature Page – Guarantee Agreement – Bridge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Attention:</w:t>
            </w:r>
          </w:p>
        </w:tc>
        <w:tc>
          <w:tcPr>
            <w:tcW w:w="10300" w:type="dxa"/>
            <w:vAlign w:val="bottom"/>
          </w:tcPr>
          <w:p>
            <w:pPr>
              <w:ind w:left="300"/>
              <w:spacing w:after="0"/>
              <w:rPr>
                <w:sz w:val="20"/>
                <w:szCs w:val="20"/>
                <w:color w:val="auto"/>
              </w:rPr>
            </w:pPr>
            <w:r>
              <w:rPr>
                <w:rFonts w:ascii="Arial" w:cs="Arial" w:eastAsia="Arial" w:hAnsi="Arial"/>
                <w:sz w:val="18"/>
                <w:szCs w:val="18"/>
                <w:color w:val="auto"/>
              </w:rPr>
              <w:t>General Counsel</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Telephone:</w:t>
            </w:r>
          </w:p>
        </w:tc>
        <w:tc>
          <w:tcPr>
            <w:tcW w:w="10300" w:type="dxa"/>
            <w:vAlign w:val="bottom"/>
          </w:tcPr>
          <w:p>
            <w:pPr>
              <w:ind w:left="300"/>
              <w:spacing w:after="0"/>
              <w:rPr>
                <w:sz w:val="20"/>
                <w:szCs w:val="20"/>
                <w:color w:val="auto"/>
              </w:rPr>
            </w:pPr>
            <w:r>
              <w:rPr>
                <w:rFonts w:ascii="Arial" w:cs="Arial" w:eastAsia="Arial" w:hAnsi="Arial"/>
                <w:sz w:val="18"/>
                <w:szCs w:val="18"/>
                <w:color w:val="auto"/>
              </w:rPr>
              <w:t>(215) 286-7564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Facsimile:</w:t>
            </w:r>
          </w:p>
        </w:tc>
        <w:tc>
          <w:tcPr>
            <w:tcW w:w="10300" w:type="dxa"/>
            <w:vAlign w:val="bottom"/>
          </w:tcPr>
          <w:p>
            <w:pPr>
              <w:ind w:left="300"/>
              <w:spacing w:after="0"/>
              <w:rPr>
                <w:sz w:val="20"/>
                <w:szCs w:val="20"/>
                <w:color w:val="auto"/>
              </w:rPr>
            </w:pPr>
            <w:r>
              <w:rPr>
                <w:rFonts w:ascii="Arial" w:cs="Arial" w:eastAsia="Arial" w:hAnsi="Arial"/>
                <w:sz w:val="18"/>
                <w:szCs w:val="18"/>
                <w:color w:val="auto"/>
              </w:rPr>
              <w:t>(215) 286-7794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E-mail:</w:t>
            </w:r>
          </w:p>
        </w:tc>
        <w:tc>
          <w:tcPr>
            <w:tcW w:w="10300" w:type="dxa"/>
            <w:vAlign w:val="bottom"/>
          </w:tcPr>
          <w:p>
            <w:pPr>
              <w:ind w:left="300"/>
              <w:spacing w:after="0"/>
              <w:rPr>
                <w:sz w:val="20"/>
                <w:szCs w:val="20"/>
                <w:color w:val="auto"/>
              </w:rPr>
            </w:pPr>
            <w:r>
              <w:rPr>
                <w:rFonts w:ascii="Arial" w:cs="Arial" w:eastAsia="Arial" w:hAnsi="Arial"/>
                <w:sz w:val="18"/>
                <w:szCs w:val="18"/>
                <w:color w:val="auto"/>
              </w:rPr>
              <w:t>corporate_legal@comcast.com</w:t>
            </w:r>
          </w:p>
        </w:tc>
      </w:tr>
      <w:tr>
        <w:trPr>
          <w:trHeight w:val="594"/>
        </w:trPr>
        <w:tc>
          <w:tcPr>
            <w:tcW w:w="112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t>Annex 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Guarantee 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ASSUMPTION AGREEMENT, dated as of ________________, 201_, made by ______________________________ (the “Additional</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Guarantor”), in favor of Bank of America, N.A., as administrative agent (in such capacity, the “Administrative Agent”) for the banks and other financial institutions or entities (the “Lenders”) parties to the Credit Agreement referred to below. All capitalized terms not defined herein shall have the meaning ascribed to them in such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COMCAST CORPORATION (the “Borrower”), the Lenders and the Administrative Agent are parties to that certain 364-Day Bridge Credit Agreement, dated as of April 25, 2018 (as amended, supplemented or otherwise modified from time to time, the “Credit Agreement”);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April 25, 2018 (as amended, supplemented or otherwise modified from time to time, the “Guarantee Agreement”) in favor of the Administrative Agent for the benefit of the Lenders; and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Additional Guarantor has agreed to execute and deliver this Assumption Agreement in order to become a party to the Guarantee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jc w:val="both"/>
        <w:ind w:firstLine="1305"/>
        <w:spacing w:after="0" w:line="302" w:lineRule="auto"/>
        <w:tabs>
          <w:tab w:leader="none" w:pos="1841"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50" w:lineRule="exact"/>
        <w:rPr>
          <w:rFonts w:ascii="Arial" w:cs="Arial" w:eastAsia="Arial" w:hAnsi="Arial"/>
          <w:sz w:val="16"/>
          <w:szCs w:val="16"/>
          <w:color w:val="auto"/>
        </w:rPr>
      </w:pPr>
    </w:p>
    <w:p>
      <w:pPr>
        <w:ind w:firstLine="1305"/>
        <w:spacing w:after="0" w:line="282" w:lineRule="auto"/>
        <w:tabs>
          <w:tab w:leader="none" w:pos="2152"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t>IN WITNESS WHEREOF, the undersigned has caused this Assumption Agreement to be duly executed and delivered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Supplement to Schedule 1</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NOTICE ADDRESS[ES] OF ADDITIONAL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786765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 FOR EXTENSION OF CREDIT</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Borrowing of Loans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 A Continuation of Loans</w:t>
      </w:r>
    </w:p>
    <w:p>
      <w:pPr>
        <w:spacing w:after="0" w:line="211" w:lineRule="exact"/>
        <w:rPr>
          <w:sz w:val="20"/>
          <w:szCs w:val="20"/>
          <w:color w:val="auto"/>
        </w:rPr>
      </w:pPr>
    </w:p>
    <w:p>
      <w:pPr>
        <w:ind w:left="1760" w:hanging="455"/>
        <w:spacing w:after="0"/>
        <w:tabs>
          <w:tab w:leader="none" w:pos="1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 ___________________________ (a Business Day).</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Denominated in Sterling: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amount of £ 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Comprised of Eurodollar Rate Loans.</w:t>
      </w:r>
    </w:p>
    <w:p>
      <w:pPr>
        <w:spacing w:after="0" w:line="229" w:lineRule="exact"/>
        <w:rPr>
          <w:sz w:val="20"/>
          <w:szCs w:val="20"/>
          <w:color w:val="auto"/>
        </w:rPr>
      </w:pPr>
    </w:p>
    <w:p>
      <w:pPr>
        <w:ind w:left="1680" w:hanging="375"/>
        <w:spacing w:after="0"/>
        <w:tabs>
          <w:tab w:leader="none" w:pos="1680" w:val="left"/>
        </w:tabs>
        <w:numPr>
          <w:ilvl w:val="0"/>
          <w:numId w:val="237"/>
        </w:numPr>
        <w:rPr>
          <w:rFonts w:ascii="Arial" w:cs="Arial" w:eastAsia="Arial" w:hAnsi="Arial"/>
          <w:sz w:val="22"/>
          <w:szCs w:val="22"/>
          <w:color w:val="auto"/>
        </w:rPr>
      </w:pPr>
      <w:r>
        <w:rPr>
          <w:rFonts w:ascii="Arial" w:cs="Arial" w:eastAsia="Arial" w:hAnsi="Arial"/>
          <w:sz w:val="18"/>
          <w:szCs w:val="18"/>
          <w:color w:val="auto"/>
        </w:rPr>
        <w:t>With an Interest Period of ___ months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(or ___ days, if for an Interest Period of less than one month).</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request complies with the requirements of Section 2 of the Credit Agreement. If the requested Extension of Credit is a Borrowing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the undersigned hereby certifies that the following statements will be true on the date of the requested Extension of Credit:</w:t>
      </w:r>
    </w:p>
    <w:p>
      <w:pPr>
        <w:spacing w:after="0" w:line="238" w:lineRule="exact"/>
        <w:rPr>
          <w:sz w:val="20"/>
          <w:szCs w:val="20"/>
          <w:color w:val="auto"/>
        </w:rPr>
      </w:pPr>
    </w:p>
    <w:p>
      <w:pPr>
        <w:ind w:left="3240" w:hanging="639"/>
        <w:spacing w:after="0"/>
        <w:tabs>
          <w:tab w:leader="none" w:pos="3240" w:val="left"/>
        </w:tabs>
        <w:numPr>
          <w:ilvl w:val="0"/>
          <w:numId w:val="238"/>
        </w:numPr>
        <w:rPr>
          <w:rFonts w:ascii="Arial" w:cs="Arial" w:eastAsia="Arial" w:hAnsi="Arial"/>
          <w:sz w:val="19"/>
          <w:szCs w:val="19"/>
          <w:color w:val="auto"/>
        </w:rPr>
      </w:pPr>
      <w:r>
        <w:rPr>
          <w:rFonts w:ascii="Arial" w:cs="Arial" w:eastAsia="Arial" w:hAnsi="Arial"/>
          <w:sz w:val="16"/>
          <w:szCs w:val="16"/>
          <w:color w:val="auto"/>
        </w:rPr>
        <w:t>No Major Event of Default has occurred and is continuing or would result from the proposed Extension of Credit</w:t>
      </w:r>
    </w:p>
    <w:p>
      <w:pPr>
        <w:spacing w:after="0" w:line="13"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8"/>
          <w:szCs w:val="18"/>
          <w:color w:val="auto"/>
        </w:rPr>
        <w:t>to be made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097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hanging="112"/>
        <w:spacing w:after="0"/>
        <w:tabs>
          <w:tab w:leader="none" w:pos="120" w:val="left"/>
        </w:tabs>
        <w:numPr>
          <w:ilvl w:val="0"/>
          <w:numId w:val="239"/>
        </w:numPr>
        <w:rPr>
          <w:rFonts w:ascii="Arial" w:cs="Arial" w:eastAsia="Arial" w:hAnsi="Arial"/>
          <w:sz w:val="30"/>
          <w:szCs w:val="30"/>
          <w:color w:val="auto"/>
          <w:vertAlign w:val="superscript"/>
        </w:rPr>
      </w:pPr>
      <w:r>
        <w:rPr>
          <w:rFonts w:ascii="Arial" w:cs="Arial" w:eastAsia="Arial" w:hAnsi="Arial"/>
          <w:sz w:val="18"/>
          <w:szCs w:val="18"/>
          <w:color w:val="auto"/>
        </w:rPr>
        <w:t>One, two, three, six, or if agreed to by each Lender, twelve months.</w:t>
      </w:r>
    </w:p>
    <w:p>
      <w:pPr>
        <w:spacing w:after="0" w:line="309"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6" w:name="page257"/>
    <w:bookmarkEnd w:id="256"/>
    <w:p>
      <w:pPr>
        <w:ind w:left="4520"/>
        <w:spacing w:after="0"/>
        <w:rPr>
          <w:sz w:val="20"/>
          <w:szCs w:val="20"/>
          <w:color w:val="auto"/>
        </w:rPr>
      </w:pPr>
      <w:r>
        <w:rPr>
          <w:rFonts w:ascii="Arial" w:cs="Arial" w:eastAsia="Arial" w:hAnsi="Arial"/>
          <w:sz w:val="17"/>
          <w:szCs w:val="17"/>
          <w:color w:val="auto"/>
        </w:rPr>
        <w:t>COMCAST CORPORATION</w:t>
      </w: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553085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30480</wp:posOffset>
            </wp:positionV>
            <wp:extent cx="31470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-114935</wp:posOffset>
            </wp:positionV>
            <wp:extent cx="31470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CERTIFICATE</w:t>
      </w:r>
    </w:p>
    <w:p>
      <w:pPr>
        <w:spacing w:after="0" w:line="225" w:lineRule="exact"/>
        <w:rPr>
          <w:sz w:val="20"/>
          <w:szCs w:val="20"/>
          <w:color w:val="auto"/>
        </w:rPr>
      </w:pPr>
    </w:p>
    <w:p>
      <w:pPr>
        <w:ind w:left="8560"/>
        <w:spacing w:after="0"/>
        <w:rPr>
          <w:sz w:val="20"/>
          <w:szCs w:val="20"/>
          <w:color w:val="auto"/>
        </w:rPr>
      </w:pPr>
      <w:r>
        <w:rPr>
          <w:rFonts w:ascii="Arial" w:cs="Arial" w:eastAsia="Arial" w:hAnsi="Arial"/>
          <w:sz w:val="16"/>
          <w:szCs w:val="16"/>
          <w:color w:val="auto"/>
        </w:rPr>
        <w:t>Certificate Date: _____________, 20__</w:t>
      </w:r>
    </w:p>
    <w:p>
      <w:pPr>
        <w:spacing w:after="0" w:line="248"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Financial Statement Date: 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Responsible Officer hereby certifies as of the date hereof that he or she is the _____________ of Borrower, and that,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he or she is authorized to execute and deliver this Certificate to Administrative Agent on behalf of Borrower, and that: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year-end financial statements]</w:t>
      </w:r>
    </w:p>
    <w:p>
      <w:pPr>
        <w:spacing w:after="0" w:line="252" w:lineRule="exact"/>
        <w:rPr>
          <w:sz w:val="20"/>
          <w:szCs w:val="20"/>
          <w:color w:val="auto"/>
        </w:rPr>
      </w:pPr>
    </w:p>
    <w:p>
      <w:pPr>
        <w:jc w:val="both"/>
        <w:ind w:firstLine="1305"/>
        <w:spacing w:after="0" w:line="238" w:lineRule="auto"/>
        <w:tabs>
          <w:tab w:leader="none" w:pos="1864" w:val="left"/>
        </w:tabs>
        <w:numPr>
          <w:ilvl w:val="0"/>
          <w:numId w:val="240"/>
        </w:numPr>
        <w:rPr>
          <w:rFonts w:ascii="Arial" w:cs="Arial" w:eastAsia="Arial" w:hAnsi="Arial"/>
          <w:sz w:val="22"/>
          <w:szCs w:val="22"/>
          <w:color w:val="auto"/>
        </w:rPr>
      </w:pPr>
      <w:r>
        <w:rPr>
          <w:rFonts w:ascii="Arial" w:cs="Arial" w:eastAsia="Arial" w:hAnsi="Arial"/>
          <w:sz w:val="18"/>
          <w:szCs w:val="18"/>
          <w:color w:val="auto"/>
        </w:rPr>
        <w:t>Attached hereto as Annex 1 are the year-end audited financial statements of Borrower and its consolidated Subsidiaries required by Section 6.01(a) of the Credit Agreement for the fiscal year of Borrower ended as of the above date, together with the report and opinion of independent certified public accountants required by such section.</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225" w:lineRule="exact"/>
        <w:rPr>
          <w:sz w:val="20"/>
          <w:szCs w:val="20"/>
          <w:color w:val="auto"/>
        </w:rPr>
      </w:pPr>
    </w:p>
    <w:p>
      <w:pPr>
        <w:jc w:val="both"/>
        <w:ind w:firstLine="1305"/>
        <w:spacing w:after="0" w:line="259" w:lineRule="auto"/>
        <w:tabs>
          <w:tab w:leader="none" w:pos="17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 of the Credit Agreement for the fiscal quarter of Borrower ended as of the above date. Such financial statements fairly present in all material respects the financial condition, results of operations and cash flows of Borrower and its consolidated Subsidiaries in accordance with GAAP as at such date and for such periods, subject only to pro forma adjustments and normal year-end audit adjustments.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7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 supervision, a detailed review of the transactions and conditions (financial or otherwise) of Borrower during the accounting period covered by the attached financial statements.</w:t>
      </w:r>
    </w:p>
    <w:p>
      <w:pPr>
        <w:spacing w:after="0" w:line="181" w:lineRule="exact"/>
        <w:rPr>
          <w:rFonts w:ascii="Arial" w:cs="Arial" w:eastAsia="Arial" w:hAnsi="Arial"/>
          <w:sz w:val="18"/>
          <w:szCs w:val="18"/>
          <w:color w:val="auto"/>
        </w:rPr>
      </w:pPr>
    </w:p>
    <w:p>
      <w:pPr>
        <w:ind w:right="20" w:firstLine="1305"/>
        <w:spacing w:after="0" w:line="277" w:lineRule="auto"/>
        <w:tabs>
          <w:tab w:leader="none" w:pos="183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following covenants or conditions have not been performed or observed and the following is a list of each such Default or Event of Default and its nature and status:]</w:t>
      </w:r>
    </w:p>
    <w:p>
      <w:pPr>
        <w:spacing w:after="0" w:line="170" w:lineRule="exact"/>
        <w:rPr>
          <w:sz w:val="20"/>
          <w:szCs w:val="20"/>
          <w:color w:val="auto"/>
        </w:rPr>
      </w:pPr>
    </w:p>
    <w:p>
      <w:pPr>
        <w:jc w:val="both"/>
        <w:ind w:firstLine="1305"/>
        <w:spacing w:after="0" w:line="312" w:lineRule="auto"/>
        <w:tabs>
          <w:tab w:leader="none" w:pos="188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Annex 2 attached hereto are true and accurate. Such analyses and information set forth the necessary adjustments to exclude the Indebtedness and EBITDA attributed to Unrestricted Subsidiaries and give pro forma effect (in accordance with Section 1.07 of the Credit Agreement) to Material Acquisitions and Material Dispositions made during the period covered thereby.</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59" w:name="page260"/>
    <w:bookmarkEnd w:id="259"/>
    <w:p>
      <w:pPr>
        <w:ind w:left="100"/>
        <w:spacing w:after="0"/>
        <w:rPr>
          <w:sz w:val="20"/>
          <w:szCs w:val="20"/>
          <w:color w:val="auto"/>
        </w:rPr>
      </w:pPr>
      <w:r>
        <w:rPr>
          <w:rFonts w:ascii="Arial" w:cs="Arial" w:eastAsia="Arial" w:hAnsi="Arial"/>
          <w:sz w:val="16"/>
          <w:szCs w:val="16"/>
          <w:color w:val="auto"/>
        </w:rPr>
        <w:t>IN WITNESS WHEREOF, the undersigned has executed this Certificate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-130810</wp:posOffset>
            </wp:positionV>
            <wp:extent cx="31470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22860</wp:posOffset>
            </wp:positionV>
            <wp:extent cx="31470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3342640</wp:posOffset>
            </wp:positionH>
            <wp:positionV relativeFrom="paragraph">
              <wp:posOffset>-121920</wp:posOffset>
            </wp:positionV>
            <wp:extent cx="31470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u w:val="single" w:color="auto"/>
          <w:color w:val="auto"/>
        </w:rPr>
        <w:t>ANNEX 1 TO COMPLIANCE CERTIFICATE</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STATEMENTS OF BORROWER AND ITS SUBSIDIARIES</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786765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u w:val="single" w:color="auto"/>
          <w:color w:val="auto"/>
        </w:rPr>
        <w:t>ANNEX 2 TO COMPLIANCE CERTIFICATE</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COVENANT ANALYSES AND INFORMATION</w:t>
      </w: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[Set forth detailed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786765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364-Day Bridge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anything to the contrary in this Assignment and Assumption, the Assignor acknowledges and agrees that in connection with any assignment of Commitments on or prior to the Certain Funds Termination Date by a Lender to any of its Affiliates, the Assignor shall not be relieved of its obligations (as in effect immediately prior to giving effect to such assignment) to fund Loans in respect of its Commitments pursuant to the Credit Agreement without the prior written consent of Borrower (in its sole discretion).</w:t>
      </w:r>
    </w:p>
    <w:p>
      <w:pPr>
        <w:spacing w:after="0" w:line="187" w:lineRule="exact"/>
        <w:rPr>
          <w:sz w:val="20"/>
          <w:szCs w:val="20"/>
          <w:color w:val="auto"/>
        </w:rPr>
      </w:pPr>
    </w:p>
    <w:p>
      <w:pPr>
        <w:ind w:left="820" w:hanging="812"/>
        <w:spacing w:after="0"/>
        <w:tabs>
          <w:tab w:leader="none" w:pos="8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Assignor:</w:t>
      </w:r>
    </w:p>
    <w:p>
      <w:pPr>
        <w:spacing w:after="0" w:line="238" w:lineRule="exact"/>
        <w:rPr>
          <w:rFonts w:ascii="Arial" w:cs="Arial" w:eastAsia="Arial" w:hAnsi="Arial"/>
          <w:sz w:val="18"/>
          <w:szCs w:val="18"/>
          <w:color w:val="auto"/>
        </w:rPr>
      </w:pPr>
    </w:p>
    <w:p>
      <w:pPr>
        <w:ind w:left="820" w:hanging="812"/>
        <w:spacing w:after="0"/>
        <w:tabs>
          <w:tab w:leader="none" w:pos="8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Assignee: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20" w:hanging="812"/>
        <w:spacing w:after="0"/>
        <w:tabs>
          <w:tab w:leader="none" w:pos="8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wp:posOffset>
            </wp:positionV>
            <wp:extent cx="21697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-404495</wp:posOffset>
            </wp:positionV>
            <wp:extent cx="21697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-687705</wp:posOffset>
            </wp:positionV>
            <wp:extent cx="21697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spacing w:after="0"/>
        <w:tabs>
          <w:tab w:leader="none" w:pos="800" w:val="left"/>
          <w:tab w:leader="none" w:pos="3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Administrative Agent:</w:t>
      </w:r>
      <w:r>
        <w:rPr>
          <w:sz w:val="20"/>
          <w:szCs w:val="20"/>
          <w:color w:val="auto"/>
        </w:rPr>
        <w:tab/>
      </w:r>
      <w:r>
        <w:rPr>
          <w:rFonts w:ascii="Arial" w:cs="Arial" w:eastAsia="Arial" w:hAnsi="Arial"/>
          <w:sz w:val="16"/>
          <w:szCs w:val="16"/>
          <w:color w:val="auto"/>
        </w:rPr>
        <w:t>Bank of America, N.A., as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5.</w:t>
            </w:r>
          </w:p>
        </w:tc>
        <w:tc>
          <w:tcPr>
            <w:tcW w:w="2160" w:type="dxa"/>
            <w:vAlign w:val="bottom"/>
          </w:tcPr>
          <w:p>
            <w:pPr>
              <w:ind w:left="340"/>
              <w:spacing w:after="0"/>
              <w:rPr>
                <w:sz w:val="20"/>
                <w:szCs w:val="20"/>
                <w:color w:val="auto"/>
              </w:rPr>
            </w:pPr>
            <w:r>
              <w:rPr>
                <w:rFonts w:ascii="Arial" w:cs="Arial" w:eastAsia="Arial" w:hAnsi="Arial"/>
                <w:sz w:val="18"/>
                <w:szCs w:val="18"/>
                <w:color w:val="auto"/>
              </w:rPr>
              <w:t>Credit Agreement:</w:t>
            </w:r>
          </w:p>
        </w:tc>
        <w:tc>
          <w:tcPr>
            <w:tcW w:w="8680" w:type="dxa"/>
            <w:vAlign w:val="bottom"/>
          </w:tcPr>
          <w:p>
            <w:pPr>
              <w:ind w:left="460"/>
              <w:spacing w:after="0"/>
              <w:rPr>
                <w:sz w:val="20"/>
                <w:szCs w:val="20"/>
                <w:color w:val="auto"/>
              </w:rPr>
            </w:pPr>
            <w:r>
              <w:rPr>
                <w:rFonts w:ascii="Arial" w:cs="Arial" w:eastAsia="Arial" w:hAnsi="Arial"/>
                <w:sz w:val="18"/>
                <w:szCs w:val="18"/>
                <w:color w:val="auto"/>
                <w:w w:val="90"/>
              </w:rPr>
              <w:t>The 364-Day Bridge Credit Agreement dated as of April 25, 2018 among Comcast Corporation, the Lenders party</w:t>
            </w:r>
          </w:p>
        </w:tc>
      </w:tr>
      <w:tr>
        <w:trPr>
          <w:trHeight w:val="230"/>
        </w:trPr>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680" w:type="dxa"/>
            <w:vAlign w:val="bottom"/>
          </w:tcPr>
          <w:p>
            <w:pPr>
              <w:ind w:left="460"/>
              <w:spacing w:after="0"/>
              <w:rPr>
                <w:sz w:val="20"/>
                <w:szCs w:val="20"/>
                <w:color w:val="auto"/>
              </w:rPr>
            </w:pPr>
            <w:r>
              <w:rPr>
                <w:rFonts w:ascii="Arial" w:cs="Arial" w:eastAsia="Arial" w:hAnsi="Arial"/>
                <w:sz w:val="18"/>
                <w:szCs w:val="18"/>
                <w:color w:val="auto"/>
              </w:rPr>
              <w:t>thereto and Bank of America, N.A., as Administrative Agent, and the other agents party thereto</w:t>
            </w:r>
          </w:p>
        </w:tc>
      </w:tr>
    </w:tbl>
    <w:p>
      <w:pPr>
        <w:spacing w:after="0" w:line="202" w:lineRule="exact"/>
        <w:rPr>
          <w:sz w:val="20"/>
          <w:szCs w:val="20"/>
          <w:color w:val="auto"/>
        </w:rPr>
      </w:pPr>
    </w:p>
    <w:p>
      <w:pPr>
        <w:ind w:left="860" w:hanging="852"/>
        <w:spacing w:after="0"/>
        <w:tabs>
          <w:tab w:leader="none" w:pos="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760" w:type="dxa"/>
            <w:vAlign w:val="bottom"/>
            <w:tcBorders>
              <w:top w:val="single" w:sz="8" w:color="auto"/>
              <w:left w:val="single" w:sz="8" w:color="auto"/>
              <w:right w:val="single" w:sz="8" w:color="auto"/>
            </w:tcBorders>
          </w:tcPr>
          <w:p>
            <w:pPr>
              <w:ind w:left="720"/>
              <w:spacing w:after="0" w:line="216" w:lineRule="exact"/>
              <w:rPr>
                <w:sz w:val="20"/>
                <w:szCs w:val="20"/>
                <w:color w:val="auto"/>
              </w:rPr>
            </w:pPr>
            <w:r>
              <w:rPr>
                <w:rFonts w:ascii="Arial" w:cs="Arial" w:eastAsia="Arial" w:hAnsi="Arial"/>
                <w:sz w:val="16"/>
                <w:szCs w:val="16"/>
                <w:color w:val="auto"/>
              </w:rPr>
              <w:t>Facility Assigned</w:t>
            </w:r>
            <w:r>
              <w:rPr>
                <w:rFonts w:ascii="Arial" w:cs="Arial" w:eastAsia="Arial" w:hAnsi="Arial"/>
                <w:sz w:val="25"/>
                <w:szCs w:val="25"/>
                <w:color w:val="auto"/>
                <w:vertAlign w:val="superscript"/>
              </w:rPr>
              <w:t>2</w:t>
            </w:r>
          </w:p>
        </w:tc>
        <w:tc>
          <w:tcPr>
            <w:tcW w:w="308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Aggregate Amount of</w:t>
            </w:r>
          </w:p>
        </w:tc>
        <w:tc>
          <w:tcPr>
            <w:tcW w:w="286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Amount of Commitment/Loans</w:t>
            </w:r>
          </w:p>
        </w:tc>
        <w:tc>
          <w:tcPr>
            <w:tcW w:w="2720" w:type="dxa"/>
            <w:vAlign w:val="bottom"/>
            <w:tcBorders>
              <w:top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Percentage Assigned of</w:t>
            </w:r>
          </w:p>
        </w:tc>
      </w:tr>
      <w:tr>
        <w:trPr>
          <w:trHeight w:val="270"/>
        </w:trPr>
        <w:tc>
          <w:tcPr>
            <w:tcW w:w="2760" w:type="dxa"/>
            <w:vAlign w:val="bottom"/>
            <w:tcBorders>
              <w:left w:val="single" w:sz="8" w:color="auto"/>
              <w:bottom w:val="single" w:sz="8" w:color="auto"/>
              <w:right w:val="single" w:sz="8" w:color="auto"/>
            </w:tcBorders>
          </w:tcPr>
          <w:p>
            <w:pPr>
              <w:spacing w:after="0"/>
              <w:rPr>
                <w:sz w:val="23"/>
                <w:szCs w:val="23"/>
                <w:color w:val="auto"/>
              </w:rPr>
            </w:pPr>
          </w:p>
        </w:tc>
        <w:tc>
          <w:tcPr>
            <w:tcW w:w="308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Commitment/Loans for all Lenders</w:t>
            </w:r>
          </w:p>
        </w:tc>
        <w:tc>
          <w:tcPr>
            <w:tcW w:w="2860" w:type="dxa"/>
            <w:vAlign w:val="bottom"/>
            <w:tcBorders>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color w:val="auto"/>
              </w:rPr>
              <w:t>Assigned</w:t>
            </w:r>
          </w:p>
        </w:tc>
        <w:tc>
          <w:tcPr>
            <w:tcW w:w="2720" w:type="dxa"/>
            <w:vAlign w:val="bottom"/>
            <w:tcBorders>
              <w:bottom w:val="single" w:sz="8" w:color="auto"/>
              <w:right w:val="single" w:sz="8" w:color="auto"/>
            </w:tcBorders>
          </w:tcPr>
          <w:p>
            <w:pPr>
              <w:jc w:val="right"/>
              <w:ind w:right="510"/>
              <w:spacing w:after="0" w:line="269" w:lineRule="exact"/>
              <w:rPr>
                <w:sz w:val="20"/>
                <w:szCs w:val="20"/>
                <w:color w:val="auto"/>
              </w:rPr>
            </w:pPr>
            <w:r>
              <w:rPr>
                <w:rFonts w:ascii="Arial" w:cs="Arial" w:eastAsia="Arial" w:hAnsi="Arial"/>
                <w:sz w:val="18"/>
                <w:szCs w:val="18"/>
                <w:color w:val="auto"/>
              </w:rPr>
              <w:t>Commitment/Loans</w:t>
            </w:r>
            <w:r>
              <w:rPr>
                <w:rFonts w:ascii="Arial" w:cs="Arial" w:eastAsia="Arial" w:hAnsi="Arial"/>
                <w:sz w:val="30"/>
                <w:szCs w:val="30"/>
                <w:color w:val="auto"/>
                <w:vertAlign w:val="superscript"/>
              </w:rPr>
              <w:t>3</w:t>
            </w: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w:t>
            </w: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w:t>
            </w:r>
          </w:p>
        </w:tc>
      </w:tr>
      <w:tr>
        <w:trPr>
          <w:trHeight w:val="210"/>
        </w:trPr>
        <w:tc>
          <w:tcPr>
            <w:tcW w:w="2760" w:type="dxa"/>
            <w:vAlign w:val="bottom"/>
            <w:tcBorders>
              <w:left w:val="single" w:sz="8" w:color="auto"/>
              <w:bottom w:val="single" w:sz="8" w:color="auto"/>
              <w:right w:val="single" w:sz="8" w:color="auto"/>
            </w:tcBorders>
          </w:tcPr>
          <w:p>
            <w:pPr>
              <w:spacing w:after="0"/>
              <w:rPr>
                <w:sz w:val="18"/>
                <w:szCs w:val="18"/>
                <w:color w:val="auto"/>
              </w:rPr>
            </w:pPr>
          </w:p>
        </w:tc>
        <w:tc>
          <w:tcPr>
            <w:tcW w:w="3080" w:type="dxa"/>
            <w:vAlign w:val="bottom"/>
            <w:tcBorders>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______________, 20_--_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Administrative Agent a completed administrative questionnaire in which the Assignee designates one or more credit contacts to whom all syndicate-level information (which may contain material non-public information about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18097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hanging="112"/>
        <w:spacing w:after="0"/>
        <w:tabs>
          <w:tab w:leader="none" w:pos="120" w:val="left"/>
        </w:tabs>
        <w:numPr>
          <w:ilvl w:val="0"/>
          <w:numId w:val="245"/>
        </w:numPr>
        <w:rPr>
          <w:rFonts w:ascii="Arial" w:cs="Arial" w:eastAsia="Arial" w:hAnsi="Arial"/>
          <w:sz w:val="30"/>
          <w:szCs w:val="30"/>
          <w:color w:val="auto"/>
          <w:vertAlign w:val="superscript"/>
        </w:rPr>
      </w:pPr>
      <w:r>
        <w:rPr>
          <w:rFonts w:ascii="Arial" w:cs="Arial" w:eastAsia="Arial" w:hAnsi="Arial"/>
          <w:sz w:val="18"/>
          <w:szCs w:val="18"/>
          <w:color w:val="auto"/>
        </w:rPr>
        <w:t>Fill in either “Commitments” or “Loans”.</w:t>
      </w:r>
    </w:p>
    <w:p>
      <w:pPr>
        <w:spacing w:after="0" w:line="128" w:lineRule="exact"/>
        <w:rPr>
          <w:sz w:val="20"/>
          <w:szCs w:val="20"/>
          <w:color w:val="auto"/>
        </w:rPr>
      </w:pPr>
    </w:p>
    <w:p>
      <w:pPr>
        <w:ind w:left="120" w:hanging="112"/>
        <w:spacing w:after="0"/>
        <w:tabs>
          <w:tab w:leader="none" w:pos="120" w:val="left"/>
        </w:tabs>
        <w:numPr>
          <w:ilvl w:val="0"/>
          <w:numId w:val="246"/>
        </w:numPr>
        <w:rPr>
          <w:rFonts w:ascii="Arial" w:cs="Arial" w:eastAsia="Arial" w:hAnsi="Arial"/>
          <w:sz w:val="30"/>
          <w:szCs w:val="30"/>
          <w:color w:val="auto"/>
          <w:vertAlign w:val="superscript"/>
        </w:rPr>
      </w:pPr>
      <w:r>
        <w:rPr>
          <w:rFonts w:ascii="Arial" w:cs="Arial" w:eastAsia="Arial" w:hAnsi="Arial"/>
          <w:sz w:val="18"/>
          <w:szCs w:val="18"/>
          <w:color w:val="auto"/>
        </w:rPr>
        <w:t>Set forth, to at least 9 decimals, as a percentage of the Commitment/Loans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ASSIGNOR</w:t>
      </w:r>
    </w:p>
    <w:p>
      <w:pPr>
        <w:spacing w:after="0" w:line="200" w:lineRule="exact"/>
        <w:rPr>
          <w:sz w:val="20"/>
          <w:szCs w:val="20"/>
          <w:color w:val="auto"/>
        </w:rPr>
      </w:pPr>
    </w:p>
    <w:p>
      <w:pPr>
        <w:spacing w:after="0" w:line="25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-123190</wp:posOffset>
            </wp:positionV>
            <wp:extent cx="36188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1780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30"/>
          <w:szCs w:val="30"/>
          <w:color w:val="auto"/>
          <w:vertAlign w:val="superscript"/>
        </w:rPr>
        <w:t>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1780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18097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hanging="72"/>
        <w:spacing w:after="0" w:line="226" w:lineRule="auto"/>
        <w:tabs>
          <w:tab w:leader="none" w:pos="112" w:val="left"/>
        </w:tabs>
        <w:numPr>
          <w:ilvl w:val="0"/>
          <w:numId w:val="247"/>
        </w:numPr>
        <w:rPr>
          <w:rFonts w:ascii="Arial" w:cs="Arial" w:eastAsia="Arial" w:hAnsi="Arial"/>
          <w:sz w:val="27"/>
          <w:szCs w:val="27"/>
          <w:color w:val="auto"/>
          <w:vertAlign w:val="superscript"/>
        </w:rPr>
      </w:pPr>
      <w:r>
        <w:rPr>
          <w:rFonts w:ascii="Arial" w:cs="Arial" w:eastAsia="Arial" w:hAnsi="Arial"/>
          <w:sz w:val="17"/>
          <w:szCs w:val="17"/>
          <w:color w:val="auto"/>
        </w:rPr>
        <w:t>Must be included for assignments on or prior to the Certain Funds Termination Date (other than assignments by a Lender to any of its affiliates) (see Section 10.04 of the Credit Agreement). After the Certain Funds Termination Date, include if Borrower consent is required under the terms of Section 10.04(b)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266" w:name="page267"/>
    <w:bookmarkEnd w:id="266"/>
    <w:p>
      <w:pPr>
        <w:ind w:left="7540"/>
        <w:spacing w:after="0"/>
        <w:rPr>
          <w:sz w:val="20"/>
          <w:szCs w:val="20"/>
          <w:color w:val="auto"/>
        </w:rPr>
      </w:pPr>
      <w:r>
        <w:rPr>
          <w:rFonts w:ascii="Arial" w:cs="Arial" w:eastAsia="Arial" w:hAnsi="Arial"/>
          <w:sz w:val="17"/>
          <w:szCs w:val="17"/>
          <w:u w:val="single" w:color="auto"/>
          <w:color w:val="auto"/>
        </w:rPr>
        <w:t>ANNEX 1 TO ASSIGNMENT AND ASSUMPTION</w:t>
      </w:r>
    </w:p>
    <w:p>
      <w:pPr>
        <w:spacing w:after="0" w:line="237" w:lineRule="exact"/>
        <w:rPr>
          <w:sz w:val="20"/>
          <w:szCs w:val="20"/>
          <w:color w:val="auto"/>
        </w:rPr>
      </w:pPr>
    </w:p>
    <w:p>
      <w:pPr>
        <w:jc w:val="center"/>
        <w:spacing w:after="0" w:line="312" w:lineRule="auto"/>
        <w:rPr>
          <w:sz w:val="20"/>
          <w:szCs w:val="20"/>
          <w:color w:val="auto"/>
        </w:rPr>
      </w:pPr>
      <w:r>
        <w:rPr>
          <w:rFonts w:ascii="Arial" w:cs="Arial" w:eastAsia="Arial" w:hAnsi="Arial"/>
          <w:sz w:val="16"/>
          <w:szCs w:val="16"/>
          <w:color w:val="auto"/>
        </w:rPr>
        <w:t>364-Day Bridge Credit Agreement dated as of April 25, 2018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Comcast Corporation, a Pennsylvania corporation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parties thereto, and Bank of America, N.A., as administrative agent (in such capacity,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the other agents party thereto.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480" w:hanging="175"/>
        <w:spacing w:after="0"/>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respective Subsidiaries or Affiliates or any other Person obligated in respect of any Loan Document or (iv) the performance or observance by Borrower, any of its respective Subsidiaries or Affiliates or any other Person of any of their respective obligations under any Loan Document.</w:t>
      </w:r>
    </w:p>
    <w:p>
      <w:pPr>
        <w:spacing w:after="0" w:line="16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(including that it be an Eligible Assignee and that it otherwise satisfy the requirements set forth in Section 10.04 of the Credit Agreement), (iii) it is capable of extending credit in all Alternative Currencies provided for under the Credit Agreement, (iv) from and after the Effective Date, it shall be bound by the provisions of the Credit Agreement as a Lender thereunder and, to the extent of the Assigned Interest, shall have the obligations of a Lender thereunder,</w:t>
      </w:r>
    </w:p>
    <w:p>
      <w:pPr>
        <w:spacing w:after="0" w:line="5" w:lineRule="exact"/>
        <w:rPr>
          <w:sz w:val="20"/>
          <w:szCs w:val="20"/>
          <w:color w:val="auto"/>
        </w:rPr>
      </w:pPr>
    </w:p>
    <w:p>
      <w:pPr>
        <w:jc w:val="both"/>
        <w:ind w:firstLine="8"/>
        <w:spacing w:after="0" w:line="281" w:lineRule="auto"/>
        <w:tabs>
          <w:tab w:leader="none" w:pos="25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and (vi) if it is a foreign Lender, attached to the Assignment and Assumption is any documentation required to be delivered by it pursuant to the terms of the Credit Agreement (including, without limitation, Section 10.20), duly completed and executed by the Assignee and</w:t>
      </w:r>
    </w:p>
    <w:p>
      <w:pPr>
        <w:spacing w:after="0" w:line="3" w:lineRule="exact"/>
        <w:rPr>
          <w:rFonts w:ascii="Arial" w:cs="Arial" w:eastAsia="Arial" w:hAnsi="Arial"/>
          <w:sz w:val="16"/>
          <w:szCs w:val="16"/>
          <w:color w:val="auto"/>
        </w:rPr>
      </w:pPr>
    </w:p>
    <w:p>
      <w:pPr>
        <w:jc w:val="both"/>
        <w:ind w:firstLine="8"/>
        <w:spacing w:after="0" w:line="281" w:lineRule="auto"/>
        <w:tabs>
          <w:tab w:leader="none" w:pos="26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Loan Documents and</w:t>
      </w:r>
    </w:p>
    <w:p>
      <w:pPr>
        <w:spacing w:after="0" w:line="1" w:lineRule="exact"/>
        <w:rPr>
          <w:rFonts w:ascii="Arial" w:cs="Arial" w:eastAsia="Arial" w:hAnsi="Arial"/>
          <w:sz w:val="16"/>
          <w:szCs w:val="16"/>
          <w:color w:val="auto"/>
        </w:rPr>
      </w:pPr>
    </w:p>
    <w:p>
      <w:pPr>
        <w:ind w:right="20" w:firstLine="8"/>
        <w:spacing w:after="0" w:line="261" w:lineRule="auto"/>
        <w:tabs>
          <w:tab w:leader="none" w:pos="27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it will perform in accordance with their terms all of the obligations which by the terms of the Loan Documents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7" w:name="page268"/>
    <w:bookmarkEnd w:id="267"/>
    <w:p>
      <w:pPr>
        <w:jc w:val="both"/>
        <w:ind w:left="-1200" w:firstLine="1305"/>
        <w:spacing w:after="0" w:line="264" w:lineRule="auto"/>
        <w:tabs>
          <w:tab w:leader="none" w:pos="27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 amounts) to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jc w:val="both"/>
        <w:ind w:left="-1200" w:firstLine="1305"/>
        <w:spacing w:after="0" w:line="257" w:lineRule="auto"/>
        <w:tabs>
          <w:tab w:leader="none" w:pos="29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351790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68" w:name="page269"/>
    <w:bookmarkEnd w:id="268"/>
    <w:p>
      <w:pPr>
        <w:jc w:val="center"/>
        <w:ind w:right="-20"/>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793750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1"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EXHIBIT F-1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Administrative Agent and Borrower with a certificate of its non-U.S. Person status on IRS Form W-8BEN or W-8BEN-E.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29311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EXHIBIT F-2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10.20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29311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EXHIBIT F-3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7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2931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EXHIBIT F-4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Administrative Agent and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Borrower and Administrative Agent, and (2) the undersigned shall have at all times furnished Borrower and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2931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t>EXHIBIT 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TARGET ACQUISITION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2018</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made to that certain 364-Day Bridge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 Capitalized terms used herein and not otherwise defined shall have the meanings given to such terms in the Credit Agreement.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 [NAME], Responsible Officer of Borrower, do hereby certify, in my capacity as a Responsible Officer and not in my individual capacity and without personal liability, that all conditions to the consummation of the Target Acquisition have been satisfied, treated as satisfied or waived in accordance with Section 7.07(a) of the Credit Agreement (other than, for the avoidance of doubt, any condition to any Offer or Scheme requiring that the Target Acquisition has been completed).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color w:val="auto"/>
        </w:rPr>
        <w:t>IN WITNESS WHEREOF, I have executed this certificate on the date first above written.</w:t>
      </w:r>
    </w:p>
    <w:p>
      <w:pPr>
        <w:spacing w:after="0" w:line="2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-130810</wp:posOffset>
            </wp:positionV>
            <wp:extent cx="28213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[Signature Page to Target Acquisition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392430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39"/>
          </w:cols>
          <w:pgMar w:left="1020" w:top="584"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p>
      <w:pPr>
        <w:ind w:left="858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49425" cy="7543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49425" cy="754380"/>
                    </a:xfrm>
                    <a:prstGeom prst="rect">
                      <a:avLst/>
                    </a:prstGeom>
                    <a:noFill/>
                  </pic:spPr>
                </pic:pic>
              </a:graphicData>
            </a:graphic>
          </wp:anchor>
        </w:drawing>
      </w:r>
    </w:p>
    <w:p>
      <w:pPr>
        <w:ind w:left="8580"/>
        <w:spacing w:after="0" w:line="237" w:lineRule="auto"/>
        <w:rPr>
          <w:sz w:val="20"/>
          <w:szCs w:val="20"/>
          <w:color w:val="auto"/>
        </w:rPr>
      </w:pPr>
      <w:r>
        <w:rPr>
          <w:rFonts w:ascii="Arial" w:cs="Arial" w:eastAsia="Arial" w:hAnsi="Arial"/>
          <w:sz w:val="18"/>
          <w:szCs w:val="18"/>
          <w:color w:val="auto"/>
        </w:rPr>
        <w:t>Comcast Corporation</w:t>
      </w:r>
    </w:p>
    <w:p>
      <w:pPr>
        <w:ind w:left="8580"/>
        <w:spacing w:after="0" w:line="235" w:lineRule="auto"/>
        <w:rPr>
          <w:sz w:val="20"/>
          <w:szCs w:val="20"/>
          <w:color w:val="auto"/>
        </w:rPr>
      </w:pPr>
      <w:r>
        <w:rPr>
          <w:rFonts w:ascii="Arial" w:cs="Arial" w:eastAsia="Arial" w:hAnsi="Arial"/>
          <w:sz w:val="18"/>
          <w:szCs w:val="18"/>
          <w:color w:val="auto"/>
        </w:rPr>
        <w:t>One Comcast Center</w:t>
      </w:r>
    </w:p>
    <w:p>
      <w:pPr>
        <w:ind w:left="8580"/>
        <w:spacing w:after="0" w:line="235" w:lineRule="auto"/>
        <w:rPr>
          <w:sz w:val="20"/>
          <w:szCs w:val="20"/>
          <w:color w:val="auto"/>
        </w:rPr>
      </w:pPr>
      <w:r>
        <w:rPr>
          <w:rFonts w:ascii="Arial" w:cs="Arial" w:eastAsia="Arial" w:hAnsi="Arial"/>
          <w:sz w:val="18"/>
          <w:szCs w:val="18"/>
          <w:color w:val="auto"/>
        </w:rPr>
        <w:t>Philadelphia, PA 19103</w:t>
      </w:r>
    </w:p>
    <w:p>
      <w:pPr>
        <w:ind w:left="8580"/>
        <w:spacing w:after="0"/>
        <w:rPr>
          <w:sz w:val="20"/>
          <w:szCs w:val="20"/>
          <w:color w:val="auto"/>
        </w:rPr>
      </w:pPr>
      <w:r>
        <w:rPr>
          <w:rFonts w:ascii="Arial" w:cs="Arial" w:eastAsia="Arial" w:hAnsi="Arial"/>
          <w:sz w:val="18"/>
          <w:szCs w:val="18"/>
          <w:color w:val="auto"/>
        </w:rPr>
        <w:t>www.comcastcorporation.com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ANNOUNCES A FIRM SUPERIOR CASH OFFER FOR SKY PLC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Intends to Make Commitments Regarding Sky plc (“Sky”) and Investment in the UK</w:t>
      </w:r>
    </w:p>
    <w:p>
      <w:pPr>
        <w:spacing w:after="0" w:line="19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LONDON and PHILADELPHIA, PA – April 25, 2018 </w:t>
      </w:r>
      <w:r>
        <w:rPr>
          <w:rFonts w:ascii="Arial" w:cs="Arial" w:eastAsia="Arial" w:hAnsi="Arial"/>
          <w:sz w:val="18"/>
          <w:szCs w:val="18"/>
          <w:color w:val="auto"/>
        </w:rPr>
        <w:t>– Comcast Corporation (Nasdaq: CMCSA) (“Comcast”) today published a Rule 2.7</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under the City Code on Takeovers and Mergers (the “UK Announcement”) announcing its pre-conditional superior cash offer for the entire issued and to be issued share capital of Sky (the “Acquisition”). Sky is a leading entertainment and communications company in Europe, headquartered in the UK.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Acquisition, Brian L. Roberts, Chairman and CEO of Comcast Corporation, said:</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delighted to be formalizing our offer for Sky today. We have long believed Sky is an outstanding company and a great fit with Comcast. Sky has a strong business, excellent customer loyalty, and a valued brand. It is led by a terrific management team who we look forward to working with to build and grow this business.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With its 23 million retail customers, leading positions in the UK, Italy, and Germany, and its history of strong financial performance, we see significant opportunities for growth by combining our businesses. Sky is a highly complementary business and will expand Comcast’s international footprint in the UK and Continental Europe. Sky will be our platform for growth across Europe. The combined customer base of approximately 52 million will allow us to invest more in original and acquired programming and more in innovation as we strive to deliver a truly differentiated customer experience. We look forward to receiving the necessary regulatory approvals.”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the UK Announcement, Comcast announced that it intends to make the following commitments regarding Sky and investment in the UK:</w:t>
      </w:r>
    </w:p>
    <w:p>
      <w:pPr>
        <w:spacing w:after="0" w:line="198" w:lineRule="exact"/>
        <w:rPr>
          <w:sz w:val="20"/>
          <w:szCs w:val="20"/>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Maintain annual expenditure in Sky News for ten years, at a level not less than incurred in Sky’s 2017 financial year;</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Establish an editorial Sky News board with the responsibility to ensure the editorial independence of Sky News for ten years;</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Maintain Sky’s UK headquarters in Osterley for five years; and</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 acquire any majority interest in UK newspapers for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Additionally, Comcast reaffirmed the following statements of intention given in its Rule 2.4 announcement on February 27, 2018:</w:t>
      </w:r>
    </w:p>
    <w:p>
      <w:pPr>
        <w:spacing w:after="0" w:line="198" w:lineRule="exact"/>
        <w:rPr>
          <w:sz w:val="20"/>
          <w:szCs w:val="20"/>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Continue to support the creative industries in the UK and increase investment in UK film and TV production;</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Support innovation in the UK by continuing to support Sky’s technology hub in Leeds;</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Continue to support young people in the UK by maintaining Sky’s Software Engineering Academy scheme; and,</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Continue to support Sky’s local community sports programs in the UK.</w:t>
      </w:r>
    </w:p>
    <w:p>
      <w:pPr>
        <w:spacing w:after="0" w:line="21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Comcast believes that, combined, Comcast and Sky will create a business equipped to compete more effectively in a rapidly changing and highly competitive industry. Together, the companies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well positioned to drive growth to provide attractive returns to Comcast shareholders and to benefit the employees and customers of both organizations.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Acquisition, Sky shareholders will be entitled to receive £12.50 in cash for each Sky share. In addition, Sky shareholders shall be entitled to receive any final dividend in respect of Sky’s financial year ended June 30, 2018, up to an amount of 21.8 pence per Sky share, which is declared and paid prior to the Effective Date (as defined in the UK Announcement).</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Comcast’s superior cash offer represents a 16 percent premium to the existing Twenty-First Century Fox, Inc. offer, and implies a value of $31 billion (£22 billion) for the fully diluted share capital of Sky.</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acquisition will enhance Comcast’s free cash flow per share in the first year, excluding one-time transaction-related expenses and, within a reasonable period of time, Comcast expects that the return on invested capital of the acquisition will exceed the weighted average cost of capital.</w:t>
      </w:r>
    </w:p>
    <w:p>
      <w:pPr>
        <w:spacing w:after="0" w:line="1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To provide financing in connection with the Acquisition, Comcast entered into an unsecured bridge credit agreement in an aggregate principal amount of up to £16 billion and an unsecured term loan credit agreement in an aggregate principal amount of up to £7 billion ($22 billion and $10 billion, respectively) (the “Credit Agreements”).</w:t>
      </w:r>
    </w:p>
    <w:p>
      <w:pPr>
        <w:spacing w:after="0" w:line="1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Acquisition is subject to a number of pre-conditions and conditions as set forth in the UK Announcement, including receipt of antitrust and regulatory approvals and securing valid acceptances carrying in aggregate more than 50 percent of the voting rights then normally exercisable at a general meeting of Sky.</w:t>
      </w:r>
    </w:p>
    <w:p>
      <w:pPr>
        <w:spacing w:after="0" w:line="189"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This announcement should be read in conjunction with the full UK Announcement, which includes additional information about the terms of the Acquisition and the Credit Agreements. This announcement and the UK Announcement will be available (subject to certain restrictions relating to persons resident in restricted jurisdictions) on Comcast’s website at https://www.cmcsa.com/proposal-for-sky. The content of this website is not incorporated into, and does not form part of, this announcement.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r>
              <w:rPr>
                <w:rFonts w:ascii="Arial" w:cs="Arial" w:eastAsia="Arial" w:hAnsi="Arial"/>
                <w:sz w:val="18"/>
                <w:szCs w:val="18"/>
                <w:b w:val="1"/>
                <w:bCs w:val="1"/>
                <w:color w:val="auto"/>
              </w:rPr>
              <w:t>Investor and Press Contacts:</w:t>
            </w:r>
          </w:p>
        </w:tc>
        <w:tc>
          <w:tcPr>
            <w:tcW w:w="7320" w:type="dxa"/>
            <w:vAlign w:val="bottom"/>
          </w:tcPr>
          <w:p>
            <w:pPr>
              <w:spacing w:after="0"/>
              <w:rPr>
                <w:sz w:val="20"/>
                <w:szCs w:val="20"/>
                <w:color w:val="auto"/>
              </w:rPr>
            </w:pPr>
          </w:p>
        </w:tc>
      </w:tr>
      <w:tr>
        <w:trPr>
          <w:trHeight w:val="405"/>
        </w:trPr>
        <w:tc>
          <w:tcPr>
            <w:tcW w:w="410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7320" w:type="dxa"/>
            <w:vAlign w:val="bottom"/>
          </w:tcPr>
          <w:p>
            <w:pPr>
              <w:spacing w:after="0"/>
              <w:rPr>
                <w:sz w:val="24"/>
                <w:szCs w:val="24"/>
                <w:color w:val="auto"/>
              </w:rPr>
            </w:pPr>
          </w:p>
        </w:tc>
      </w:tr>
      <w:tr>
        <w:trPr>
          <w:trHeight w:val="391"/>
        </w:trPr>
        <w:tc>
          <w:tcPr>
            <w:tcW w:w="4100" w:type="dxa"/>
            <w:vAlign w:val="bottom"/>
          </w:tcPr>
          <w:p>
            <w:pPr>
              <w:spacing w:after="0"/>
              <w:rPr>
                <w:sz w:val="20"/>
                <w:szCs w:val="20"/>
                <w:color w:val="auto"/>
              </w:rPr>
            </w:pPr>
            <w:r>
              <w:rPr>
                <w:rFonts w:ascii="Arial" w:cs="Arial" w:eastAsia="Arial" w:hAnsi="Arial"/>
                <w:sz w:val="18"/>
                <w:szCs w:val="18"/>
                <w:color w:val="auto"/>
              </w:rPr>
              <w:t>D’Arcy Rudnay (Media)</w:t>
            </w:r>
          </w:p>
        </w:tc>
        <w:tc>
          <w:tcPr>
            <w:tcW w:w="7320" w:type="dxa"/>
            <w:vAlign w:val="bottom"/>
          </w:tcPr>
          <w:p>
            <w:pPr>
              <w:ind w:left="1620"/>
              <w:spacing w:after="0"/>
              <w:rPr>
                <w:sz w:val="20"/>
                <w:szCs w:val="20"/>
                <w:color w:val="auto"/>
              </w:rPr>
            </w:pPr>
            <w:r>
              <w:rPr>
                <w:rFonts w:ascii="Arial" w:cs="Arial" w:eastAsia="Arial" w:hAnsi="Arial"/>
                <w:sz w:val="18"/>
                <w:szCs w:val="18"/>
                <w:color w:val="auto"/>
              </w:rPr>
              <w:t>Tel +1 (215) 286-8582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John Demming (Media)</w:t>
            </w:r>
          </w:p>
        </w:tc>
        <w:tc>
          <w:tcPr>
            <w:tcW w:w="7320" w:type="dxa"/>
            <w:vAlign w:val="bottom"/>
          </w:tcPr>
          <w:p>
            <w:pPr>
              <w:ind w:left="1620"/>
              <w:spacing w:after="0" w:line="202" w:lineRule="exact"/>
              <w:rPr>
                <w:sz w:val="20"/>
                <w:szCs w:val="20"/>
                <w:color w:val="auto"/>
              </w:rPr>
            </w:pPr>
            <w:r>
              <w:rPr>
                <w:rFonts w:ascii="Arial" w:cs="Arial" w:eastAsia="Arial" w:hAnsi="Arial"/>
                <w:sz w:val="18"/>
                <w:szCs w:val="18"/>
                <w:color w:val="auto"/>
              </w:rPr>
              <w:t>Tel +1 (215) 286-8011</w:t>
            </w: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7320" w:type="dxa"/>
            <w:vAlign w:val="bottom"/>
          </w:tcPr>
          <w:p>
            <w:pPr>
              <w:ind w:left="1620"/>
              <w:spacing w:after="0"/>
              <w:rPr>
                <w:sz w:val="20"/>
                <w:szCs w:val="20"/>
                <w:color w:val="auto"/>
              </w:rPr>
            </w:pPr>
            <w:r>
              <w:rPr>
                <w:rFonts w:ascii="Arial" w:cs="Arial" w:eastAsia="Arial" w:hAnsi="Arial"/>
                <w:sz w:val="18"/>
                <w:szCs w:val="18"/>
                <w:color w:val="auto"/>
              </w:rPr>
              <w:t>Tel +1 (215) 286-7972</w:t>
            </w:r>
          </w:p>
        </w:tc>
      </w:tr>
      <w:tr>
        <w:trPr>
          <w:trHeight w:val="391"/>
        </w:trPr>
        <w:tc>
          <w:tcPr>
            <w:tcW w:w="410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7320" w:type="dxa"/>
            <w:vAlign w:val="bottom"/>
          </w:tcPr>
          <w:p>
            <w:pPr>
              <w:spacing w:after="0"/>
              <w:rPr>
                <w:sz w:val="24"/>
                <w:szCs w:val="24"/>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Andrew Grant / Tom Murray</w:t>
            </w:r>
          </w:p>
        </w:tc>
        <w:tc>
          <w:tcPr>
            <w:tcW w:w="7320" w:type="dxa"/>
            <w:vAlign w:val="bottom"/>
          </w:tcPr>
          <w:p>
            <w:pPr>
              <w:ind w:left="1620"/>
              <w:spacing w:after="0"/>
              <w:rPr>
                <w:sz w:val="20"/>
                <w:szCs w:val="20"/>
                <w:color w:val="auto"/>
              </w:rPr>
            </w:pPr>
            <w:r>
              <w:rPr>
                <w:rFonts w:ascii="Arial" w:cs="Arial" w:eastAsia="Arial" w:hAnsi="Arial"/>
                <w:sz w:val="18"/>
                <w:szCs w:val="18"/>
                <w:color w:val="auto"/>
              </w:rPr>
              <w:t>Tel +44 (0) 207 353 4200</w:t>
            </w:r>
          </w:p>
        </w:tc>
      </w:tr>
      <w:tr>
        <w:trPr>
          <w:trHeight w:val="351"/>
        </w:trPr>
        <w:tc>
          <w:tcPr>
            <w:tcW w:w="41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(if implemented pursuant to a takeover offer within the meaning of Part 28 of the Companies Act 2006)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once it has been dispatched.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announcement contains certain “forward-looking statements” within the meaning of the Private Securities Litigation Reform Act of 1995. This announcement (including information incorporated by reference in this announcement), oral statements made regarding the Acquisition, and other information published by Comcast contain statements which are, or may be deemed to be, “forward-looking statements”.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U.S. Securities and Exchange Commission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outbreak of war or hostilities.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Such forward-looking statements should therefore be construed in the light of such factors.</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Neither Comcast nor any of its associates or directors, officers or advisors,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or Sky, as appropriate, for the current or future financial years would necessarily match or exceed the historical published cash flow from operations, free cash flow, earnings or earnings per share for Comcast or Sky,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advisor in the relevant jurisdiction without delay. Any failure to comply with such restrictions may constitute a violation of the securities laws of any such jurisdiction.</w:t>
      </w:r>
    </w:p>
    <w:p>
      <w:pPr>
        <w:spacing w:after="0" w:line="19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This announcement has been prepared for the purpose of complying with English law and the City Code on Takeovers and Mergers (the “City Code”) and the information disclosed may not be the same as that which would have been disclosed if this announcement had been prepared in accordance with the laws of jurisdictions outside of England.</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Unless otherwise determined by Comcast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any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will be contained in the offer document.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Sky is a public limited company incorporated in England. The offer will be made to Sky shareholders in the United States in compliance with the applicable U.S. tender offer rules under the U.S. Securities Exchange Act of 1934, as amended (the “U.S. Exchange Act”), including Regulation 14E thereunder, and otherwise in accordance with the requirements of English law. Accordingly, the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Comcast and its affiliates or brokers (acting as agents for Comcast or its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U.S. Securities and Exchange Commission from Rule 14e-5 under the U.S. Exchange Act and in compliance with the City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www.londonstockexchange.com.</w:t>
      </w:r>
    </w:p>
    <w:p>
      <w:pPr>
        <w:spacing w:after="0" w:line="1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(including the U.S. shareholders, and Sky ADR holders) is urged to consult his or her independent professional advisor regarding the tax consequences of the offer.</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(a company incorporated in England), or its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its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City Code</w:t>
      </w:r>
    </w:p>
    <w:p>
      <w:pPr>
        <w:spacing w:after="0" w:line="22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Under Rule 8.3(a) of the City Code, any person who is interested in one percent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Rule 8.3(b) of the City Code, any person who is, or becomes, interested in one percent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Takeover Panel’s Market Surveillance Unit on +44 (0) 20 7638 0129.</w:t>
      </w:r>
    </w:p>
    <w:p>
      <w:pPr>
        <w:spacing w:after="0" w:line="18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For the purposes of this section of this announcement, “business day” means a day on which the London Stock Exchange is open for the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81" w:name="page282"/>
    <w:bookmarkEnd w:id="281"/>
    <w:p>
      <w:pPr>
        <w:ind w:left="104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April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CASH OFFER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PLC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(“COMCAST”)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Terms</w:t>
      </w:r>
    </w:p>
    <w:p>
      <w:pPr>
        <w:spacing w:after="0" w:line="229" w:lineRule="exact"/>
        <w:rPr>
          <w:sz w:val="20"/>
          <w:szCs w:val="20"/>
          <w:color w:val="auto"/>
        </w:rPr>
      </w:pPr>
    </w:p>
    <w:p>
      <w:pPr>
        <w:ind w:left="660" w:hanging="652"/>
        <w:spacing w:after="0" w:line="277"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Further to the announcement by Comcast on 27 February 2018 setting out the key financial terms of a possible offer for Sky, Comcast is pleased to announce the terms of a pre-conditional cash offer by Comcast for the entire issued and to be issued share capital of Sky.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Under the terms of the Acquisition, Sky Shareholders will be entitled to receive: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 in cash for each Sky Share</w:t>
      </w:r>
    </w:p>
    <w:p>
      <w:pPr>
        <w:spacing w:after="0" w:line="229"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price of £12.50 per Sky Share represents: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premium of approximately 16 per cent. to the 21CF Offer of £10.75 for each Sky Share;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 premium of approximately 13 per cent. to the Closing Price of £11.05 per Sky Share on 26 February 2018, being the last Business Day before the announcement of Comcast’s possible offer for Sky.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Cash Consideration implies a value of approximately £22.0 billion for the fully diluted share capital of Sky.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addition, Sky Shareholders shall be entitled to receive any final dividend in respect of the financial year ended 30 June 2018, up to an amount of 21.8p per Sky Share, which is declared and paid prior to the Effective 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Comcast has committed financing available to satisfy the full Cash Consideration payable to Sky Shareholders under the terms of the Acquisition.</w:t>
      </w:r>
    </w:p>
    <w:p>
      <w:pPr>
        <w:spacing w:after="0" w:line="248"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combination with Sky is expected to be accretive to Comcast’s free cash flow per share in year one, excluding one-time transaction related expenses. Additionally, Comcast believes that the return on invested capital of the Acquisition will exceed the weighted average cost of capital within a reasonable period of time.</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Comcast expects the Acquisition to generate annual run-rate synergies of around $500 million, through a combination of revenue benefits and recurring cost savings across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2" w:name="page283"/>
    <w:bookmarkEnd w:id="282"/>
    <w:p>
      <w:pPr>
        <w:ind w:left="660"/>
        <w:spacing w:after="0" w:line="277" w:lineRule="auto"/>
        <w:rPr>
          <w:sz w:val="20"/>
          <w:szCs w:val="20"/>
          <w:color w:val="auto"/>
        </w:rPr>
      </w:pPr>
      <w:r>
        <w:rPr>
          <w:rFonts w:ascii="Arial" w:cs="Arial" w:eastAsia="Arial" w:hAnsi="Arial"/>
          <w:sz w:val="18"/>
          <w:szCs w:val="18"/>
          <w:color w:val="auto"/>
        </w:rPr>
        <w:t>Enlarged Group. These will be achieved through optimising Comcast’s and Sky’s complementary operations, with only limited impact on headcount expected.</w:t>
      </w:r>
    </w:p>
    <w:p>
      <w:pPr>
        <w:spacing w:after="0" w:line="170"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Comcast currently anticipates that the Acquisition will complete before the end of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regarding Sky and investment in the UK</w:t>
      </w:r>
    </w:p>
    <w:p>
      <w:pPr>
        <w:spacing w:after="0" w:line="229" w:lineRule="exact"/>
        <w:rPr>
          <w:sz w:val="20"/>
          <w:szCs w:val="20"/>
          <w:color w:val="auto"/>
        </w:rPr>
      </w:pPr>
    </w:p>
    <w:p>
      <w:pPr>
        <w:ind w:left="660" w:right="2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Comcast is announcing its intention to enter into a number of voluntary legally binding commitments regarding Sky and investment in the UK, and is reaffirming the statements of intention given in its announcement on 27 February 2018.</w:t>
      </w:r>
    </w:p>
    <w:p>
      <w:pPr>
        <w:spacing w:after="0" w:line="170"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particular, Comcast recognises the important role that Sky News plays in the media landscape in the UK and understands that the future success of Sky News will depend on continued investment. Comcast intends to establish the Sky News Board and intends to commit that for a period of 10 years, the annual expenditure in Sky News will be at least an amount equal to the level of expenditure incurred for the 2016/17 financial year. These commitments are intended to be given by way of binding post-offer undertakings (for the purpose of Rule 19.5 of the City Code) for the periods of time specified in their respective undertakings (with approximately five years being the maximum period permitted by the Panel for such undertakings) and binding undertakings enforceable by the Sky News Board (by way of deed poll) for the subsequent five years.</w:t>
      </w:r>
    </w:p>
    <w:p>
      <w:pPr>
        <w:spacing w:after="0" w:line="16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this 10 year period, Comcast is also intending to give binding undertakings enforceable by the Sky News Board (by way of deed poll) to maintain safeguards to protect Sky News’ editorial independence.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Comcast is also committed to protecting media plurality in the UK and is intending to give a binding post-offer undertaking not to acquire any majority interest in any newspapers in the UK for five years.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Comcast is committed to the Osterley campus as Sky’s UK headquarters, in support of Sky’s continued position as a leader in content creation, arts and culture based in the UK. Comcast is intending to give a binding post-offer undertaking to maintain Sky’s headquarters at the Osterley campus in the UK for five years.</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Comcast is also reaffirming its statements of intention given in its announcement on 27 February 2018 to maintain a strong presence in the UK for the combined business, including continued support for the creative industries in the UK, increased investment in UK film and TV production, continued investment in technology innovation in the UK and the continuation of Sky’s programmes to support young people and communities in the UK.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with Sky Independent Committee</w:t>
      </w:r>
    </w:p>
    <w:p>
      <w:pPr>
        <w:spacing w:after="0" w:line="229" w:lineRule="exact"/>
        <w:rPr>
          <w:sz w:val="20"/>
          <w:szCs w:val="20"/>
          <w:color w:val="auto"/>
        </w:rPr>
      </w:pPr>
    </w:p>
    <w:p>
      <w:pPr>
        <w:ind w:left="660" w:hanging="652"/>
        <w:spacing w:after="0" w:line="277"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Comcast has engaged with the Sky Independent Committee in respect of the Acquisition, and has discussed its intention to give the post-offer undertakings and commitments in relation to Sky’s existing business with the Sky Independent Committee.</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Sky Independent Committee has confirmed to Comcast that it welcomes Comcast’s intention to give these post-offer undertakings and commitments and believes these voluntary commitments should comprehensively address any potential public interest concerns. Sky intends to give equivalent post-offer undertakings which would be effective conditional upon the occurrence of the Effective Date.</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Sky Independent Committee has confirmed to Comcast that the Sky Independent Committee is mindful of its fiduciary duties and has consistently sought to safeguard the interests of independent Sky Shareholders. In this regard, the Sky Independent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3" w:name="page284"/>
    <w:bookmarkEnd w:id="283"/>
    <w:p>
      <w:pPr>
        <w:jc w:val="both"/>
        <w:ind w:left="660"/>
        <w:spacing w:after="0" w:line="259" w:lineRule="auto"/>
        <w:rPr>
          <w:sz w:val="20"/>
          <w:szCs w:val="20"/>
          <w:color w:val="auto"/>
        </w:rPr>
      </w:pPr>
      <w:r>
        <w:rPr>
          <w:rFonts w:ascii="Arial" w:cs="Arial" w:eastAsia="Arial" w:hAnsi="Arial"/>
          <w:sz w:val="18"/>
          <w:szCs w:val="18"/>
          <w:color w:val="auto"/>
        </w:rPr>
        <w:t>has informed Comcast that, when it entered into the 21CF Co-operation Agreement on 15 December 2016, it secured certain protections from 21st Century Fox for the benefit of independent Sky Shareholders which provide that, unless the Sky Independent Committee agrees otherwise: (i) the 21CF Offer cannot close without the approval of at least a majority of independent Sky Shareholders; and (ii) 21st Century Fox is bound by certain standstill provisions.</w:t>
      </w:r>
    </w:p>
    <w:p>
      <w:pPr>
        <w:spacing w:after="0" w:line="187" w:lineRule="exact"/>
        <w:rPr>
          <w:sz w:val="20"/>
          <w:szCs w:val="20"/>
          <w:color w:val="auto"/>
        </w:rPr>
      </w:pPr>
    </w:p>
    <w:p>
      <w:pPr>
        <w:ind w:right="880" w:firstLine="8"/>
        <w:spacing w:after="0" w:line="501" w:lineRule="auto"/>
        <w:tabs>
          <w:tab w:leader="none" w:pos="64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Comcast continues to engage with the Sky Independent Committee with a view to obtaining a future recommendation of the Acquisition. Commenting on the Acquisition, Brian L. Roberts, Chairman and Chief Executive Officer of Comcast said:</w:t>
      </w:r>
    </w:p>
    <w:p>
      <w:pPr>
        <w:jc w:val="both"/>
        <w:spacing w:after="0" w:line="264" w:lineRule="auto"/>
        <w:rPr>
          <w:sz w:val="20"/>
          <w:szCs w:val="20"/>
          <w:color w:val="auto"/>
        </w:rPr>
      </w:pPr>
      <w:r>
        <w:rPr>
          <w:rFonts w:ascii="Arial" w:cs="Arial" w:eastAsia="Arial" w:hAnsi="Arial"/>
          <w:sz w:val="18"/>
          <w:szCs w:val="18"/>
          <w:i w:val="1"/>
          <w:iCs w:val="1"/>
          <w:color w:val="auto"/>
        </w:rPr>
        <w:t>“We are delighted to be formalizing our offer for Sky today. We have long believed Sky is an outstanding company and a great fit with Comcast. Sky has a strong business, excellent customer loyalty, and a valued brand. It is led by a terrific management team who we look forward to working with to build and grow this business.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Comcast’s superior cash offer values each Sky share at £12.50 - a significant premium to the 21st Century Fox offer price. With its 23 million retail customers, leading positions in the UK, Italy, and Germany, and its history of strong financial performance, we see significant opportunities for growth by combining our businesses. Sky is a highly complementary business and will expand Comcast’s international footprint in the UK and Continental Europe. Sky will be our platform for growth across Europe. The combined customer base of approximately 52 million will allow us to invest more in original and acquired programming and innovation as we strive to deliver a truly differentiated customer experience.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already have a strong presence in the UK, having invested over $1 billion in film and TV productions in the UK over the past 3 years, and believe that it is, and will remain a great place to do business. We also understand the role that Sky plays in UK society and in its customers’ lives and we are determined to be responsible and trusted owners of Sky. We understand and appreciate the value of news and are committed to protecting the important role that Sky News plays in providing a high-quality impartial news service.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Evidencing this we are intending to voluntarily make a series of important binding commitments which will underpin our future investment in Sky and the UK. These include commitments to maintain long term investment in Sky News, preserve Sky News’ editorial independence and maintain Osterley as Sky’s UK Headquarters. We are also intending to make a further commitment not to acquire any majority interest in any newspapers in the UK for five years, to help ensure media plurality is sustained.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Furthermore, we intend to support the creative industries in the UK; increase investment in UK film and TV production; support Sky’s technology hub in Leeds and its Software Engineering Academy Scheme; and continue to provide opportunities for young people through Sky’s local community programmes.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summary we will invest to grow and enhance Sky’s business and be a strong steward of its valuable brand. Sky is a great British business - with us, that’s the way it will always be.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believe that the combination of Comcast and Sky will strengthen our ability to compete in today’s dynamic and increasingly global entertainment environment, generate attractive financial returns to Comcast shareholders and provide benefits to the customers and employees of both organisations. The acquisition will enhance our free cash flow per share in the first year, excluding one-time transaction related expenses, and we believe that within a reasonable period of time the return on invested capital of the acquisition will exceed the weighted average cost of capital. We are confident that we will be able to receive the necessary regulatory approvals.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4" w:name="page285"/>
    <w:bookmarkEnd w:id="284"/>
    <w:p>
      <w:pPr>
        <w:jc w:val="both"/>
        <w:spacing w:after="0" w:line="277" w:lineRule="auto"/>
        <w:rPr>
          <w:sz w:val="20"/>
          <w:szCs w:val="20"/>
          <w:color w:val="auto"/>
        </w:rPr>
      </w:pPr>
      <w:r>
        <w:rPr>
          <w:rFonts w:ascii="Arial" w:cs="Arial" w:eastAsia="Arial" w:hAnsi="Arial"/>
          <w:sz w:val="18"/>
          <w:szCs w:val="18"/>
          <w:i w:val="1"/>
          <w:iCs w:val="1"/>
          <w:color w:val="auto"/>
        </w:rPr>
        <w:t>We very much hope that the independent committee of Sky directors will recommend our superior cash offer in due course, and look forward to securing regulatory clearances and progressing our offer.”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intended that the Acquisition will be implemented by means of a takeover offer under the City Code and within the meaning of Part 28 of the Companies Act, further details of which are contained in the full text of this Announcement.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will be subject to the satisfaction (or waiver) of the Pre-Conditions set out in Appendix I, the Conditions and certain further terms set out in Appendix II and the full terms and conditions which will be set out in the Offer Document and the Form of Acceptance. The Pre-Conditions relate to the receipt of competition clearance in the EU, and, if either a European intervention notice or an intervention notice has been issued under Sections 67 or 42 of the Enterprise Act 2002 respectively, approval of the Secretary of State, and the Conditions include, among other things, Comcast securing valid acceptances of the Offer which, taken together with all other Sky Shares which Comcast (and/or its nominee(s)) has acquired or agreed to acquire (whether pursuant to the Offer or otherwise), carry in aggregate more than 50 per cent. of the voting rights then normally exercisable at a general meeting of Sky.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Document and Form of Acceptance will include full details of the Acquisition and the expected timetable, and will specify the actions to be taken by Sky Shareholders in connection with the Acquisition. It is expected that the Offer Document will be dispatched to Sky Shareholders no later than 28 days after the date on which the last of the Pre-Conditions to be satisfied (or waived) is so satisfied (or waived), unless extended by Comcast with the consent of the Panel.</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This summary should be read in conjunction with, and is subject to, the full text of this Announcement (including the Appendices). The Acquisition will be subject to the Pre-Conditions set out in Appendix I, the Conditions and certain further terms set out in Appendix II and to the full terms and conditions which will be set out in the Offer Document and the Form of Acceptance. Appendix III contains the terms of Comcast’s proposals for the Sky Share Plans. Appendix IV contains the sources of information and bases of calculation of certain information contained in this Announcement and Appendix V contains definitions of certain terms used in this Announcement.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Your attention is drawn to the important information at the back of this Announcement.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6860" w:type="dxa"/>
            <w:vAlign w:val="bottom"/>
          </w:tcPr>
          <w:p>
            <w:pPr>
              <w:spacing w:after="0"/>
              <w:rPr>
                <w:sz w:val="20"/>
                <w:szCs w:val="20"/>
                <w:color w:val="auto"/>
              </w:rPr>
            </w:pP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6860" w:type="dxa"/>
            <w:vAlign w:val="bottom"/>
          </w:tcPr>
          <w:p>
            <w:pPr>
              <w:spacing w:after="0"/>
              <w:rPr>
                <w:sz w:val="24"/>
                <w:szCs w:val="24"/>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D’Arcy Rudnay (Media)</w:t>
            </w:r>
          </w:p>
        </w:tc>
        <w:tc>
          <w:tcPr>
            <w:tcW w:w="6860" w:type="dxa"/>
            <w:vAlign w:val="bottom"/>
          </w:tcPr>
          <w:p>
            <w:pPr>
              <w:ind w:left="1260"/>
              <w:spacing w:after="0"/>
              <w:rPr>
                <w:sz w:val="20"/>
                <w:szCs w:val="20"/>
                <w:color w:val="auto"/>
              </w:rPr>
            </w:pPr>
            <w:r>
              <w:rPr>
                <w:rFonts w:ascii="Arial" w:cs="Arial" w:eastAsia="Arial" w:hAnsi="Arial"/>
                <w:sz w:val="18"/>
                <w:szCs w:val="18"/>
                <w:color w:val="auto"/>
              </w:rPr>
              <w:t>Tel: +1 215 286 8582</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6860" w:type="dxa"/>
            <w:vAlign w:val="bottom"/>
          </w:tcPr>
          <w:p>
            <w:pPr>
              <w:ind w:left="1260"/>
              <w:spacing w:after="0"/>
              <w:rPr>
                <w:sz w:val="20"/>
                <w:szCs w:val="20"/>
                <w:color w:val="auto"/>
              </w:rPr>
            </w:pPr>
            <w:r>
              <w:rPr>
                <w:rFonts w:ascii="Arial" w:cs="Arial" w:eastAsia="Arial" w:hAnsi="Arial"/>
                <w:sz w:val="18"/>
                <w:szCs w:val="18"/>
                <w:color w:val="auto"/>
              </w:rPr>
              <w:t>Tel: +1 215 286 7972</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Robey Warshaw</w:t>
            </w:r>
          </w:p>
        </w:tc>
        <w:tc>
          <w:tcPr>
            <w:tcW w:w="686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Simon Robey / Simon Warshaw</w:t>
            </w:r>
          </w:p>
        </w:tc>
        <w:tc>
          <w:tcPr>
            <w:tcW w:w="6860" w:type="dxa"/>
            <w:vAlign w:val="bottom"/>
          </w:tcPr>
          <w:p>
            <w:pPr>
              <w:ind w:left="1260"/>
              <w:spacing w:after="0"/>
              <w:rPr>
                <w:sz w:val="20"/>
                <w:szCs w:val="20"/>
                <w:color w:val="auto"/>
              </w:rPr>
            </w:pPr>
            <w:r>
              <w:rPr>
                <w:rFonts w:ascii="Arial" w:cs="Arial" w:eastAsia="Arial" w:hAnsi="Arial"/>
                <w:sz w:val="18"/>
                <w:szCs w:val="18"/>
                <w:color w:val="auto"/>
              </w:rPr>
              <w:t>Tel: +44 20 7317 3900</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Evercore</w:t>
            </w:r>
          </w:p>
        </w:tc>
        <w:tc>
          <w:tcPr>
            <w:tcW w:w="686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Roger Altman / Eduardo Mestre</w:t>
            </w:r>
          </w:p>
        </w:tc>
        <w:tc>
          <w:tcPr>
            <w:tcW w:w="6860" w:type="dxa"/>
            <w:vAlign w:val="bottom"/>
          </w:tcPr>
          <w:p>
            <w:pPr>
              <w:ind w:left="1260"/>
              <w:spacing w:after="0"/>
              <w:rPr>
                <w:sz w:val="20"/>
                <w:szCs w:val="20"/>
                <w:color w:val="auto"/>
              </w:rPr>
            </w:pPr>
            <w:r>
              <w:rPr>
                <w:rFonts w:ascii="Arial" w:cs="Arial" w:eastAsia="Arial" w:hAnsi="Arial"/>
                <w:sz w:val="18"/>
                <w:szCs w:val="18"/>
                <w:color w:val="auto"/>
              </w:rPr>
              <w:t>Tel: +1 212 857 3100</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BofA Merrill Lynch</w:t>
            </w:r>
          </w:p>
        </w:tc>
        <w:tc>
          <w:tcPr>
            <w:tcW w:w="686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Adrian Mee / Tim Waddell (Corporate Broking)</w:t>
            </w:r>
          </w:p>
        </w:tc>
        <w:tc>
          <w:tcPr>
            <w:tcW w:w="6860" w:type="dxa"/>
            <w:vAlign w:val="bottom"/>
          </w:tcPr>
          <w:p>
            <w:pPr>
              <w:ind w:left="1260"/>
              <w:spacing w:after="0"/>
              <w:rPr>
                <w:sz w:val="20"/>
                <w:szCs w:val="20"/>
                <w:color w:val="auto"/>
              </w:rPr>
            </w:pPr>
            <w:r>
              <w:rPr>
                <w:rFonts w:ascii="Arial" w:cs="Arial" w:eastAsia="Arial" w:hAnsi="Arial"/>
                <w:sz w:val="18"/>
                <w:szCs w:val="18"/>
                <w:color w:val="auto"/>
              </w:rPr>
              <w:t>Tel: +44 20 7628 1000</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Wells Fargo</w:t>
            </w:r>
          </w:p>
        </w:tc>
        <w:tc>
          <w:tcPr>
            <w:tcW w:w="686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Stephen Locke</w:t>
            </w:r>
          </w:p>
        </w:tc>
        <w:tc>
          <w:tcPr>
            <w:tcW w:w="6860" w:type="dxa"/>
            <w:vAlign w:val="bottom"/>
          </w:tcPr>
          <w:p>
            <w:pPr>
              <w:ind w:left="1260"/>
              <w:spacing w:after="0"/>
              <w:rPr>
                <w:sz w:val="20"/>
                <w:szCs w:val="20"/>
                <w:color w:val="auto"/>
              </w:rPr>
            </w:pPr>
            <w:r>
              <w:rPr>
                <w:rFonts w:ascii="Arial" w:cs="Arial" w:eastAsia="Arial" w:hAnsi="Arial"/>
                <w:sz w:val="18"/>
                <w:szCs w:val="18"/>
                <w:color w:val="auto"/>
              </w:rPr>
              <w:t>Tel: +1 704 410 4766</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6860" w:type="dxa"/>
            <w:vAlign w:val="bottom"/>
          </w:tcPr>
          <w:p>
            <w:pPr>
              <w:spacing w:after="0"/>
              <w:rPr>
                <w:sz w:val="24"/>
                <w:szCs w:val="24"/>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Andrew Grant / Tom Murray</w:t>
            </w:r>
          </w:p>
        </w:tc>
        <w:tc>
          <w:tcPr>
            <w:tcW w:w="6860" w:type="dxa"/>
            <w:vAlign w:val="bottom"/>
          </w:tcPr>
          <w:p>
            <w:pPr>
              <w:ind w:left="1260"/>
              <w:spacing w:after="0"/>
              <w:rPr>
                <w:sz w:val="20"/>
                <w:szCs w:val="20"/>
                <w:color w:val="auto"/>
              </w:rPr>
            </w:pPr>
            <w:r>
              <w:rPr>
                <w:rFonts w:ascii="Arial" w:cs="Arial" w:eastAsia="Arial" w:hAnsi="Arial"/>
                <w:sz w:val="18"/>
                <w:szCs w:val="18"/>
                <w:color w:val="auto"/>
              </w:rPr>
              <w:t>Tel: +44 20 7353 4200</w:t>
            </w:r>
          </w:p>
        </w:tc>
      </w:tr>
      <w:tr>
        <w:trPr>
          <w:trHeight w:val="432"/>
        </w:trPr>
        <w:tc>
          <w:tcPr>
            <w:tcW w:w="456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585"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Davis Polk &amp; Wardwell LLP and Freshfields Bruckhaus Deringer LLP are retained as legal advisers to Comcast.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Robey Warshaw LLP (“</w:t>
      </w:r>
      <w:r>
        <w:rPr>
          <w:rFonts w:ascii="Arial" w:cs="Arial" w:eastAsia="Arial" w:hAnsi="Arial"/>
          <w:sz w:val="18"/>
          <w:szCs w:val="18"/>
          <w:b w:val="1"/>
          <w:bCs w:val="1"/>
          <w:color w:val="auto"/>
        </w:rPr>
        <w:t>Robey Warshaw</w:t>
      </w:r>
      <w:r>
        <w:rPr>
          <w:rFonts w:ascii="Arial" w:cs="Arial" w:eastAsia="Arial" w:hAnsi="Arial"/>
          <w:sz w:val="18"/>
          <w:szCs w:val="18"/>
          <w:color w:val="auto"/>
        </w:rPr>
        <w:t>”), which is authorised and regulated by the FCA in the United Kingdom, is acting exclusively as financial adviser to Comcast and no one else in connection with the matters referred to in this Announcement, and Robey Warshaw will not be responsible to anyone other than Comcast for providing the protections afforded to clients of Robey Warshaw or for providing advice in relation to the matters referred to in this Announcement, the contents of this Announcement or any other matter referred to herein.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Evercore Partners International LLP (“</w:t>
      </w:r>
      <w:r>
        <w:rPr>
          <w:rFonts w:ascii="Arial" w:cs="Arial" w:eastAsia="Arial" w:hAnsi="Arial"/>
          <w:sz w:val="18"/>
          <w:szCs w:val="18"/>
          <w:b w:val="1"/>
          <w:bCs w:val="1"/>
          <w:color w:val="auto"/>
        </w:rPr>
        <w:t>Evercore</w:t>
      </w:r>
      <w:r>
        <w:rPr>
          <w:rFonts w:ascii="Arial" w:cs="Arial" w:eastAsia="Arial" w:hAnsi="Arial"/>
          <w:sz w:val="18"/>
          <w:szCs w:val="18"/>
          <w:color w:val="auto"/>
        </w:rPr>
        <w:t>”), which is authorised and regulated in the United Kingdom by the FCA, is acting as financial adviser exclusively for Comcast and no one else in connection with the matters referred to in this Announcement and will not regard any other person as its client in relation to the matters referred to in this Announcement and will not be responsible to anyone other than Comcast for providing the protections afforded to clients of Evercore, nor for providing advice in relation to the matters referred to in this Announcement.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will not be responsible to anyone other than Comcast for providing the protections afforded to its clients or for providing advice in relation to the matters set out in this Announcement.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Wells Fargo Securities, LLC, a subsidiary of Wells Fargo &amp; Company, which is authorised by the Securities and Exchange Commission (SEC) and regulated by the Financial Industry Regulatory Authority and the SEC in the United States, is acting exclusively as co-financial adviser for Comcast and will not be responsible to anyone other than Comcast for providing the protections afforded to its clients or for providing advice in relation to the matters set out in this Announcement.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(if implemented pursuant to an Offer)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once it has been dispatched. Each Sky Shareholder is urged to consult his or her independent professional adviser regarding the tax consequences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communications from Sky may be provided to Comcast during the Offer Period as required under Section 4 of Appendix 4 of the City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is a public limited company incorporated in England. The Offer will be made to Sky Shareholders in the United States in compliance with the applicable U.S. tender offer rules under the U.S. Securities Exchange Act of 1934, as amended (the “</w:t>
      </w:r>
      <w:r>
        <w:rPr>
          <w:rFonts w:ascii="Arial" w:cs="Arial" w:eastAsia="Arial" w:hAnsi="Arial"/>
          <w:sz w:val="17"/>
          <w:szCs w:val="17"/>
          <w:b w:val="1"/>
          <w:bCs w:val="1"/>
          <w:color w:val="auto"/>
        </w:rPr>
        <w:t>U.S. Exchange Act</w:t>
      </w:r>
      <w:r>
        <w:rPr>
          <w:rFonts w:ascii="Arial" w:cs="Arial" w:eastAsia="Arial" w:hAnsi="Arial"/>
          <w:sz w:val="17"/>
          <w:szCs w:val="17"/>
          <w:color w:val="auto"/>
        </w:rPr>
        <w:t>”), including Regulation 14E thereunder taking into account no action relief granted by the U.S. Securities and Exchange Commission, and otherwise in accordance with the requirements of English law. Accordingly, the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Comcast and its affiliates or brokers (acting as agents for Comcast or its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U.S. Securities and Exchange Commission from Rule 14e-5 under the U.S. Exchange Act and in compliance with the City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7"/>
          <w:szCs w:val="17"/>
          <w:u w:val="single" w:color="auto"/>
          <w:color w:val="auto"/>
        </w:rPr>
        <w:t>www.londonstockexchange.com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Offer.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(a company incorporated in England), or its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its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7" w:name="page288"/>
    <w:bookmarkEnd w:id="287"/>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City Code and the information disclosed may not be the same as that which would have been disclosed if this Announcement had been prepared in accordance with the laws of jurisdictions outside of England.</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determined by Comcast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any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will be contained in the Offer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Acquisition, and other information published by Comcast contain statements which are, or may be deemed to be, “forward-looking statements”.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U.S. Securities and Exchange Commission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to the realisation of forward-looking statements. Such forward-looking statements should therefore be construed in the light of such factors.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Neither Comcast nor any of its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Comcast is under no obligation, and Comcast expressly disclaims any intention or obligation to update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or Sky, as appropriate, for the current or future financial years would necessarily match or exceed the historical published cash flow from operations, free cash flow, earnings or earnings per share for Comcast or Sky,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City Code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 8.3(a) of the City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Rule 8.3(b) of the City Code, any person who is, or becomes, interested in one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9" w:name="page290"/>
    <w:bookmarkEnd w:id="289"/>
    <w:p>
      <w:pPr>
        <w:jc w:val="both"/>
        <w:spacing w:after="0" w:line="279" w:lineRule="auto"/>
        <w:rPr>
          <w:sz w:val="20"/>
          <w:szCs w:val="20"/>
          <w:color w:val="auto"/>
        </w:rPr>
      </w:pPr>
      <w:r>
        <w:rPr>
          <w:rFonts w:ascii="Arial" w:cs="Arial" w:eastAsia="Arial" w:hAnsi="Arial"/>
          <w:sz w:val="17"/>
          <w:szCs w:val="17"/>
          <w:color w:val="auto"/>
        </w:rPr>
        <w:t>Details of the offeree and offeror companies in respect of whose relevant securities Opening Position Disclosures and dealing disclosures must be made can be found in the Disclosure Table on the Panel’s website at www.thetakeoverpanel.org.uk,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City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and the documents required to be published pursuant to Rule 26 of the City Code will be available free of charge, subject to certain restrictions in relation to persons resident in Restricted Jurisdictions, on Comcast’s website at www.cmcsa.com/proposal-for-sky by no later than 12.00 noon (London time) on the business day following this Announcement. Neither the content of any website referred to in this Announcement nor the content of any website accessible from hyperlinks is incorporated into, or forms part of, this Announcement.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Shareholders may request a hard copy of this Announcement by contacting Equiniti Limited on 0371 384 2091. Sky Shareholders may also request that all future documents, announcements and information to be sent to them in relation to the Acquisition should be in hard copy form. A hard copy of such documents, announcements (including this Announcement) and information will not be sent unless so requested.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times shown in this Announcement are London times, unless otherwise 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0" w:name="page291"/>
    <w:bookmarkEnd w:id="290"/>
    <w:p>
      <w:pPr>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April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SUPERIOR CASH OFFER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PLC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(“COMCAST”)</w:t>
      </w:r>
    </w:p>
    <w:p>
      <w:pPr>
        <w:spacing w:after="0" w:line="225"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Further to the announcement by Comcast on 27 February 2018 setting out the key financial terms of a possible offer for Sky, Comcast is pleased to announce the terms of a pre-conditional cash offer by Comcast for the entire issued and to be issued share capital of Sky.</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It is intended that the Acquisition will be implemented by means of a takeover offer within the meaning of Part 28 of the Companies Act.</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The Acquisition</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Acquisition, which will be subject to satisfaction (or waiver) of the PreConditions set out in Appendix I, the Conditions and certain further terms set out in Appendix II and to the full terms and conditions which will be set out in the Offer Document and accompanying Form of Acceptance, Sky Shareholders will be entitled to receive: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 in cash for each Sky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price of £12.50 per Sky Share represents:</w:t>
      </w:r>
    </w:p>
    <w:p>
      <w:pPr>
        <w:spacing w:after="0" w:line="225" w:lineRule="exact"/>
        <w:rPr>
          <w:sz w:val="20"/>
          <w:szCs w:val="20"/>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premium of approximately 16 per cent. to the 21CF Offer of £10.75 for each Sky Share;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premium of approximately 13 per cent. to the Closing Price of £11.05 per Sky Share on 26 February 2018, being the last Business Day before the announcement of Comcast’s possible offer for Sky.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Consideration implies a value of approximately £22.0 billion for the fully diluted share capital of Sky.</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addition, Sky Shareholders shall be entitled to receive any final dividend in respect of the financial year ended 30 June 2018, up to an amount of 21.8p per Sky Share, which is declared and paid prior to the Effective Date (the “</w:t>
      </w:r>
      <w:r>
        <w:rPr>
          <w:rFonts w:ascii="Arial" w:cs="Arial" w:eastAsia="Arial" w:hAnsi="Arial"/>
          <w:sz w:val="18"/>
          <w:szCs w:val="18"/>
          <w:b w:val="1"/>
          <w:bCs w:val="1"/>
          <w:color w:val="auto"/>
        </w:rPr>
        <w:t>Final Dividend</w:t>
      </w:r>
      <w:r>
        <w:rPr>
          <w:rFonts w:ascii="Arial" w:cs="Arial" w:eastAsia="Arial" w:hAnsi="Arial"/>
          <w:sz w:val="18"/>
          <w:szCs w:val="18"/>
          <w:color w:val="auto"/>
        </w:rPr>
        <w:t>”). Comcast reserves the right to reduce the price of £12.50 per Sky Share by: (i) some or all of any amount of any Final Dividend which is in excess of 21.8p; and (ii) some or all of the amount of any other dividend (or other distribution or return of capital) which is announced, declared,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1" w:name="page292"/>
    <w:bookmarkEnd w:id="291"/>
    <w:p>
      <w:pPr>
        <w:jc w:val="both"/>
        <w:ind w:left="660"/>
        <w:spacing w:after="0" w:line="277" w:lineRule="auto"/>
        <w:rPr>
          <w:sz w:val="20"/>
          <w:szCs w:val="20"/>
          <w:color w:val="auto"/>
        </w:rPr>
      </w:pPr>
      <w:r>
        <w:rPr>
          <w:rFonts w:ascii="Arial" w:cs="Arial" w:eastAsia="Arial" w:hAnsi="Arial"/>
          <w:sz w:val="18"/>
          <w:szCs w:val="18"/>
          <w:color w:val="auto"/>
        </w:rPr>
        <w:t>paid or becomes payable by Sky to Sky Shareholders on or after the date of this Announcement and prior to the date on which Comcast is entered into the register of members of Sky following the Effective Date.</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Sky Shares will be acquired pursuant to the Acquisition fully paid and free from all liens, equities, charges, encumbrances, options, rights of pre-emption and any other third party rights and interests of any nature and together with all rights now or hereafter attaching or accruing thereto including voting rights and the right to receive and retain in full all dividends and other distributions (if any) declared, made or paid on or after the Effective Date.</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Offer will extend to any Sky Shares which are issued or unconditionally allotted (including to satisfy the exercise of options granted under the Sky Share Plans) whilst the Offer remains open for acceptance (or prior to such earlier time and/or date as Comcast may, subject to the City Code, determine).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currently anticipates that the Acquisition will complete before the end of 2018.</w:t>
      </w:r>
    </w:p>
    <w:p>
      <w:pPr>
        <w:spacing w:after="0" w:line="221"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 with Sky Independent Committee</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Comcast has engaged with the Sky Independent Committee in respect of the Acquisition. Comcast is pleased with the positive nature of the discussions to date and in particular the discussion of the post-offer undertakings and other commitments Comcast is voluntarily intending to give in relation to Sky’s existing business, including Sky News (further details of which are set out in paragraph 5 below). The Sky Independent Committee has informed Comcast that they believe that these post-offer undertakings and commitments should comprehensively address any potential public interest concerns. The Sky Independent Committee intends that Sky will give equivalent post-offer undertakings, which would be effective conditional upon completion of the Acquisition.</w:t>
      </w:r>
    </w:p>
    <w:p>
      <w:pPr>
        <w:spacing w:after="0" w:line="19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Sky Independent Committee has confirmed to Comcast that the Sky Independent Committee is mindful of its fiduciary duties and has consistently sought to safeguard the interests of independent Sky Shareholders. In this regard, the Sky Independent Committee has informed Comcast that, when it entered into the 21CF Co-operation Agreement on 15 December 2016, it secured certain protections from 21st Century Fox for the benefit of independent Sky Shareholders which provide that, unless the Sky Independent Committee agrees otherwise: (i) the 21CF Offer cannot close without the approval of at least a majority of independent Sky Shareholders; and (ii) 21st Century Fox is bound by certain standstill provisions.</w:t>
      </w:r>
    </w:p>
    <w:p>
      <w:pPr>
        <w:spacing w:after="0" w:line="19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Sky Independent Committee has consented to the inclusion of the above paragraphs in this Announcement. Comcast continues to engage with the Sky Independent Committee with a view to obtaining a future recommendation of the Acquisition.</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and reasons for the Acquisition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the Acquisition</w:t>
      </w:r>
    </w:p>
    <w:p>
      <w:pPr>
        <w:spacing w:after="0" w:line="229" w:lineRule="exact"/>
        <w:rPr>
          <w:rFonts w:ascii="Arial" w:cs="Arial" w:eastAsia="Arial" w:hAnsi="Arial"/>
          <w:sz w:val="18"/>
          <w:szCs w:val="18"/>
          <w:b w:val="1"/>
          <w:bCs w:val="1"/>
          <w:color w:val="auto"/>
        </w:rPr>
      </w:pPr>
    </w:p>
    <w:p>
      <w:pPr>
        <w:jc w:val="both"/>
        <w:ind w:left="13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Founded in 1963 as a small community antenna television operation, Comcast NBCUniversal is a leading global media and technology company with 2017 revenues of approximately $85 billion. Throughout its long history, Comcast’s success has been due in large part to its ability to innovate and compete successfully in industries distinguished by a rapid pace of change. In the 1970s, Comcast was one of hundreds of cable operators in the U.S. By driving growth through a combination of organic investment and strategic acquisitions, today, Comcast is one of the largest and most successful media and technology companies in the world.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2" w:name="page293"/>
    <w:bookmarkEnd w:id="292"/>
    <w:p>
      <w:pPr>
        <w:jc w:val="both"/>
        <w:ind w:left="644"/>
        <w:spacing w:after="0" w:line="269" w:lineRule="auto"/>
        <w:rPr>
          <w:sz w:val="20"/>
          <w:szCs w:val="20"/>
          <w:color w:val="auto"/>
        </w:rPr>
      </w:pPr>
      <w:r>
        <w:rPr>
          <w:rFonts w:ascii="Arial" w:cs="Arial" w:eastAsia="Arial" w:hAnsi="Arial"/>
          <w:sz w:val="17"/>
          <w:szCs w:val="17"/>
          <w:color w:val="auto"/>
        </w:rPr>
        <w:t>Core to the Comcast vision and its long-term success has been the willingness to embrace change and grow its business through bold investments. Comcast has a proud history of making substantial organic investments to drive product innovation and growth. Since acquiring NBCUniversal in 2011, Comcast has invested over $65 billion in the business. These investments have helped grow NBCUniversal’s portfolio, ranging from film and TV production to acquiring new sports rights to building out Universal Parks, including the award-winning Wizarding World of Harry Potter attractions. Comcast has also invested in the development in the cable business of a high speed internet service that delivers gigabit per second speeds to residential customers in over 80 per cent. of our markets. Strategic acquisitions have also been core to the Comcast strategy of growth. In 2001/02, a point in time when scale was becoming increasingly important in the U.S. cable industry, Comcast more than doubled in size by acquiring AT&amp;T Broadband in a landmark $72 billion acquisition. In December 2009, when some industry participants were separating content from distribution, Comcast recognised the potential opportunity inherent in the combination of cable distribution and world-class content. It therefore made the decision to acquire control of the NBCUniversal media business, with NBCUniversal’s Adjusted EBITDA’s growing from $3 billion to $8 billion since the date the acquisition was announced.</w:t>
      </w:r>
    </w:p>
    <w:p>
      <w:pPr>
        <w:spacing w:after="0" w:line="180" w:lineRule="exact"/>
        <w:rPr>
          <w:sz w:val="20"/>
          <w:szCs w:val="20"/>
          <w:color w:val="auto"/>
        </w:rPr>
      </w:pPr>
    </w:p>
    <w:p>
      <w:pPr>
        <w:jc w:val="both"/>
        <w:ind w:left="644"/>
        <w:spacing w:after="0" w:line="291" w:lineRule="auto"/>
        <w:rPr>
          <w:sz w:val="20"/>
          <w:szCs w:val="20"/>
          <w:color w:val="auto"/>
        </w:rPr>
      </w:pPr>
      <w:r>
        <w:rPr>
          <w:rFonts w:ascii="Arial" w:cs="Arial" w:eastAsia="Arial" w:hAnsi="Arial"/>
          <w:sz w:val="16"/>
          <w:szCs w:val="16"/>
          <w:color w:val="auto"/>
        </w:rPr>
        <w:t>Sky’s integrated content, distribution and technology platform is a business Comcast knows well from its own cable and entertainment assets. Over recent years as the pace of change accelerated in the entertainment industry, Comcast has followed closely Sky’s impressive transition from an innovative start-up satellite TV provider to a leading European, multi-platform, premium-branded entertainment business that offers premier content to 23 million retail customers. Comcast believes that, in many ways, Comcast and Sky have been on parallel journeys. Today, both companies have business models that seek to create shareholder value through: (i) technological innovation; and (ii) the monetisation of premium content through wholesale distribution and direct-to-consumer sales. With dynamic entrepreneurial cultures at their respective cores, both companies have innovated and grown from their start-up roots into entertainment industry leaders.</w:t>
      </w:r>
    </w:p>
    <w:p>
      <w:pPr>
        <w:spacing w:after="0" w:line="167" w:lineRule="exact"/>
        <w:rPr>
          <w:sz w:val="20"/>
          <w:szCs w:val="20"/>
          <w:color w:val="auto"/>
        </w:rPr>
      </w:pPr>
    </w:p>
    <w:p>
      <w:pPr>
        <w:jc w:val="both"/>
        <w:ind w:left="644"/>
        <w:spacing w:after="0" w:line="312" w:lineRule="auto"/>
        <w:rPr>
          <w:sz w:val="20"/>
          <w:szCs w:val="20"/>
          <w:color w:val="auto"/>
        </w:rPr>
      </w:pPr>
      <w:r>
        <w:rPr>
          <w:rFonts w:ascii="Arial" w:cs="Arial" w:eastAsia="Arial" w:hAnsi="Arial"/>
          <w:sz w:val="16"/>
          <w:szCs w:val="16"/>
          <w:color w:val="auto"/>
        </w:rPr>
        <w:t>Both companies also compete in a rapidly changing and highly competitive industry where: (i) consumers have more entertainment choices than ever; and (ii) an increasing number of players are investing in premium content and have a direct relationship with a large number of end customers. Comcast believes the acquisition of Sky will deliver meaningful benefits for the combined business and its customers.</w:t>
      </w:r>
    </w:p>
    <w:p>
      <w:pPr>
        <w:spacing w:after="0" w:line="143" w:lineRule="exact"/>
        <w:rPr>
          <w:sz w:val="20"/>
          <w:szCs w:val="20"/>
          <w:color w:val="auto"/>
        </w:rPr>
      </w:pPr>
    </w:p>
    <w:p>
      <w:pPr>
        <w:ind w:left="644" w:right="8000" w:hanging="644"/>
        <w:spacing w:after="0" w:line="604" w:lineRule="auto"/>
        <w:tabs>
          <w:tab w:leader="none" w:pos="644" w:val="left"/>
        </w:tabs>
        <w:numPr>
          <w:ilvl w:val="0"/>
          <w:numId w:val="26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Reasons for the Acquisition </w:t>
      </w:r>
      <w:r>
        <w:rPr>
          <w:rFonts w:ascii="Arial" w:cs="Arial" w:eastAsia="Arial" w:hAnsi="Arial"/>
          <w:sz w:val="15"/>
          <w:szCs w:val="15"/>
          <w:i w:val="1"/>
          <w:iCs w:val="1"/>
          <w:color w:val="auto"/>
        </w:rPr>
        <w:t>Stronger content businesses</w:t>
      </w:r>
    </w:p>
    <w:p>
      <w:pPr>
        <w:ind w:left="644" w:right="20"/>
        <w:spacing w:after="0" w:line="308" w:lineRule="auto"/>
        <w:rPr>
          <w:rFonts w:ascii="Arial" w:cs="Arial" w:eastAsia="Arial" w:hAnsi="Arial"/>
          <w:sz w:val="15"/>
          <w:szCs w:val="15"/>
          <w:b w:val="1"/>
          <w:bCs w:val="1"/>
          <w:color w:val="auto"/>
        </w:rPr>
      </w:pPr>
      <w:r>
        <w:rPr>
          <w:rFonts w:ascii="Arial" w:cs="Arial" w:eastAsia="Arial" w:hAnsi="Arial"/>
          <w:sz w:val="17"/>
          <w:szCs w:val="17"/>
          <w:color w:val="auto"/>
        </w:rPr>
        <w:t>The acquisition of Sky will help support the ability of a combined Comcast/Sky to invest more in original and acquired programming and amortise the costs across a larger customer base through direct relationships with approximately 52 million customers.</w:t>
      </w:r>
    </w:p>
    <w:p>
      <w:pPr>
        <w:spacing w:after="0" w:line="147"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Sky has a strong record of acquiring attractive content for distribution in Europe and has begun to invest more in original content. Comcast Cable spends almost $13 billion annually to acquire content for distribution in the United States, and through its portfolio of studios, including Universal Pictures, Focus Features, Dreamworks Animation, Illumination Entertainment and Carnival Films, Comcast is a major creator of original content, producing successful films like</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93" w:name="page294"/>
    <w:bookmarkEnd w:id="293"/>
    <w:p>
      <w:pPr>
        <w:jc w:val="both"/>
        <w:ind w:left="100"/>
        <w:spacing w:after="0" w:line="264" w:lineRule="auto"/>
        <w:rPr>
          <w:sz w:val="20"/>
          <w:szCs w:val="20"/>
          <w:color w:val="auto"/>
        </w:rPr>
      </w:pPr>
      <w:r>
        <w:rPr>
          <w:rFonts w:ascii="Arial" w:cs="Arial" w:eastAsia="Arial" w:hAnsi="Arial"/>
          <w:sz w:val="18"/>
          <w:szCs w:val="18"/>
          <w:i w:val="1"/>
          <w:iCs w:val="1"/>
          <w:color w:val="auto"/>
        </w:rPr>
        <w:t>Darkest Hour</w:t>
      </w:r>
      <w:r>
        <w:rPr>
          <w:rFonts w:ascii="Arial" w:cs="Arial" w:eastAsia="Arial" w:hAnsi="Arial"/>
          <w:sz w:val="18"/>
          <w:szCs w:val="18"/>
          <w:color w:val="auto"/>
        </w:rPr>
        <w:t>,</w:t>
      </w:r>
      <w:r>
        <w:rPr>
          <w:rFonts w:ascii="Arial" w:cs="Arial" w:eastAsia="Arial" w:hAnsi="Arial"/>
          <w:sz w:val="18"/>
          <w:szCs w:val="18"/>
          <w:i w:val="1"/>
          <w:iCs w:val="1"/>
          <w:color w:val="auto"/>
        </w:rPr>
        <w:t xml:space="preserve"> Jurassic World </w:t>
      </w:r>
      <w:r>
        <w:rPr>
          <w:rFonts w:ascii="Arial" w:cs="Arial" w:eastAsia="Arial" w:hAnsi="Arial"/>
          <w:sz w:val="18"/>
          <w:szCs w:val="18"/>
          <w:color w:val="auto"/>
        </w:rPr>
        <w:t>and</w:t>
      </w:r>
      <w:r>
        <w:rPr>
          <w:rFonts w:ascii="Arial" w:cs="Arial" w:eastAsia="Arial" w:hAnsi="Arial"/>
          <w:sz w:val="18"/>
          <w:szCs w:val="18"/>
          <w:i w:val="1"/>
          <w:iCs w:val="1"/>
          <w:color w:val="auto"/>
        </w:rPr>
        <w:t xml:space="preserve"> Minions </w:t>
      </w:r>
      <w:r>
        <w:rPr>
          <w:rFonts w:ascii="Arial" w:cs="Arial" w:eastAsia="Arial" w:hAnsi="Arial"/>
          <w:sz w:val="18"/>
          <w:szCs w:val="18"/>
          <w:color w:val="auto"/>
        </w:rPr>
        <w:t>and popular television series like</w:t>
      </w:r>
      <w:r>
        <w:rPr>
          <w:rFonts w:ascii="Arial" w:cs="Arial" w:eastAsia="Arial" w:hAnsi="Arial"/>
          <w:sz w:val="18"/>
          <w:szCs w:val="18"/>
          <w:i w:val="1"/>
          <w:iCs w:val="1"/>
          <w:color w:val="auto"/>
        </w:rPr>
        <w:t xml:space="preserve"> Downton Abbey</w:t>
      </w:r>
      <w:r>
        <w:rPr>
          <w:rFonts w:ascii="Arial" w:cs="Arial" w:eastAsia="Arial" w:hAnsi="Arial"/>
          <w:sz w:val="18"/>
          <w:szCs w:val="18"/>
          <w:color w:val="auto"/>
        </w:rPr>
        <w:t>. Sky offers popular sports such as the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League and Bundesliga, and Comcast offers, among others, the NFL and the Premier League. Sky News delivers high quality news with journalistic integrity, much like NBC News, MSNBC and CNBC.</w:t>
      </w:r>
    </w:p>
    <w:p>
      <w:pPr>
        <w:spacing w:after="0" w:line="181"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color w:val="auto"/>
        </w:rPr>
        <w:t>The acquisition of Sky will enable Comcast to combine the complementary content production capacity and programming spend of the two companies to create a business equipped to compete more effectively in the rapidly changing and intensely competitive entertainment landscape.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Increased ability to innovate</w:t>
      </w:r>
    </w:p>
    <w:p>
      <w:pPr>
        <w:spacing w:after="0" w:line="225" w:lineRule="exact"/>
        <w:rPr>
          <w:sz w:val="20"/>
          <w:szCs w:val="20"/>
          <w:color w:val="auto"/>
        </w:rPr>
      </w:pPr>
    </w:p>
    <w:p>
      <w:pPr>
        <w:jc w:val="both"/>
        <w:ind w:left="100"/>
        <w:spacing w:after="0" w:line="273" w:lineRule="auto"/>
        <w:rPr>
          <w:sz w:val="20"/>
          <w:szCs w:val="20"/>
          <w:color w:val="auto"/>
        </w:rPr>
      </w:pPr>
      <w:r>
        <w:rPr>
          <w:rFonts w:ascii="Arial" w:cs="Arial" w:eastAsia="Arial" w:hAnsi="Arial"/>
          <w:sz w:val="17"/>
          <w:szCs w:val="17"/>
          <w:color w:val="auto"/>
        </w:rPr>
        <w:t>Direct relationships with approximately 52 million customers will also give a combined Comcast/Sky the increased ability to invest in innovation to the benefit of consumers and to seek more attractive financial returns on those investments. Innovation is at the core of both companies’ cultures with products like Sky Q from Sky and the highly regarded X1 platform from Comcast. Both companies strive to deliver a differentiated product experience in areas that include video guides and voice control as well as wireless gateways and Wi-Fi technology. Comcast believes the ability to combine areas of common investment and deliver new products and features to a much larger customer base will drive accelerated innovation for consumers and attractive financial returns.</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Benefits of increased European presence</w:t>
      </w:r>
    </w:p>
    <w:p>
      <w:pPr>
        <w:spacing w:after="0" w:line="225"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acquisition of Sky will significantly expand Comcast’s international footprint in the UK and Continental Europe in businesses that are highly complementary. Sky has leading positions in the UK, Germany and Italy and offers the opportunity to grow through digital direct-to-consumer offerings in other European countries. The acquisition of Sky would expand Comcast’s international footprint from 9 per cent. of global 2017 revenues to approximately 25 per cent. (on a pro forma basis) and give Comcast a platform to grow its businesses in new markets.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Attractive financial returns and consumer benefits</w:t>
      </w:r>
    </w:p>
    <w:p>
      <w:pPr>
        <w:spacing w:after="0" w:line="225"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Comcast believes that combined, Comcast and Sky would be well positioned to drive growth to provide attractive returns to Comcast shareholders and to benefit the employees and customers of both organisations.</w:t>
      </w:r>
    </w:p>
    <w:p>
      <w:pPr>
        <w:spacing w:after="0" w:line="170"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color w:val="auto"/>
        </w:rPr>
        <w:t>Comcast expects the Acquisition to generate annual run-rate synergies of around $500 million. Of these, Comcast expects to realise approximately $300 million in currently identified recurring pre-tax cost savings. Preliminary integration work carried out to date has confirmed that there is likely to be overlap between the two businesses with the potential to generate cost savings for the Enlarged Group through corporate and administrative efficiencies, however, it expects there to be only limited impact on headcount. In addition to the elimination of certain duplicative corporate costs, examples of other areas of potential savings include optimisation of NBCUniversal and Sky’s office locations and production efficiencies with respect to live coverage of sports and associated programing. Comcast believes it will need to incur approximately $225 million in cumulative one-time pre-tax costs to achieve these savings. The balance of around $200 million represents currently identified pre-tax recurring revenue benefits. These additional revenue benefits are expected to be achieved principally from better realisation of the value of Sky content by NBCUniversal’s sales platform, the availability of Sky’s platforms from which to derive even greater “Symphony”</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94" w:name="page295"/>
    <w:bookmarkEnd w:id="294"/>
    <w:p>
      <w:pPr>
        <w:jc w:val="both"/>
        <w:ind w:left="1300" w:right="20"/>
        <w:spacing w:after="0" w:line="277" w:lineRule="auto"/>
        <w:rPr>
          <w:sz w:val="20"/>
          <w:szCs w:val="20"/>
          <w:color w:val="auto"/>
        </w:rPr>
      </w:pPr>
      <w:r>
        <w:rPr>
          <w:rFonts w:ascii="Arial" w:cs="Arial" w:eastAsia="Arial" w:hAnsi="Arial"/>
          <w:sz w:val="18"/>
          <w:szCs w:val="18"/>
          <w:color w:val="auto"/>
        </w:rPr>
        <w:t>benefits from NBCUniversal content and increased advertising sales by building on NBCUniversal’s global advertising sales client base and expertise.</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combination with Sky is expected to be accretive to Comcast’s free cash flow per share in year one, excluding one-time transaction-related expenses. Additionally, Comcast believes that the return on invested capital of the Acquisition will exceed the weighted average cost of capital within a reasonable period of time.</w:t>
      </w:r>
    </w:p>
    <w:p>
      <w:pPr>
        <w:spacing w:after="0" w:line="177"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Intention to enter into post-offer commitments in relation to Sky and the UK</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Comcast is strongly committed to the UK and investing and growing the Sky business for the benefit of its customers, employees, and consumers.</w:t>
      </w:r>
    </w:p>
    <w:p>
      <w:pPr>
        <w:spacing w:after="0" w:line="24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emphasise the value and importance Comcast attaches to Sky, and Sky News in particular, Comcast voluntarily intends to put in place a series of commitments that would guarantee the long-term future of Sky News and its ongoing editorial independence, as well as support the growth of Sky in the UK.</w:t>
      </w:r>
    </w:p>
    <w:p>
      <w:pPr>
        <w:spacing w:after="0" w:line="181"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Firstly, Comcast intends to commit that the annual expenditure in Sky News for the next 10 years will be at least an amount equal to the level of Sky News expenditure for the period from 1 July 2016 to 30 June 2017. Comcast also intends to ensure that Sky News will operate as an impartial provider of news free from interference in its editorial decisions for that period. To do so, Comcast intends to commit to set up an editorial board of Sky News no later than three months after the Effective Date which will remain in place for 10 years following the Effective Date. Comcast also intends to commit not to acquire any majority interest in any UK newspaper for five years from the Effective Date.</w:t>
      </w:r>
    </w:p>
    <w:p>
      <w:pPr>
        <w:spacing w:after="0" w:line="172"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Secondly, Comcast intends to commit to maintain the Sky Group UK headquarters in Osterley in support of Sky’s continued position as a leader in content creation, arts and culture based in the UK, during the period of five years from the Effective Date.</w:t>
      </w:r>
    </w:p>
    <w:p>
      <w:pPr>
        <w:spacing w:after="0" w:line="17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set out in paragraphs A) and B) below, Comcast intends that these legally binding commitments will be entered into through two separate mechanisms: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Post-Offer Undertakings (for the purposes of Rule 19.5 of the City Code) as defined below;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deed poll in favour of the Sky News Board (and, if appropriate in due course, other regulatory bodies).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Sky also intends to give the same Post-Offer Undertakings given by Comcast, conditional upon the occurrence of the Effective Date.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Comcast intends to increase investment in UK content creation and continue to support technology innovation, local communities and young people in the UK, as set out in paragraph C) below.</w:t>
      </w:r>
    </w:p>
    <w:p>
      <w:pPr>
        <w:spacing w:after="0" w:line="166"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Intention to enter into commitments with respect to Sky News, Sky’s UK Headquarters and UK Newspaper Ownership</w:t>
      </w:r>
    </w:p>
    <w:p>
      <w:pPr>
        <w:spacing w:after="0" w:line="229" w:lineRule="exact"/>
        <w:rPr>
          <w:rFonts w:ascii="Arial" w:cs="Arial" w:eastAsia="Arial" w:hAnsi="Arial"/>
          <w:sz w:val="18"/>
          <w:szCs w:val="18"/>
          <w:b w:val="1"/>
          <w:bCs w:val="1"/>
          <w:color w:val="auto"/>
        </w:rPr>
      </w:pPr>
    </w:p>
    <w:p>
      <w:pPr>
        <w:jc w:val="both"/>
        <w:ind w:left="1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Comcast included six specific statements of intent in its Rule 2.4 announcement released on 27 February 2018, demonstrating its commitment to growth in the UK. In particular, Comcast confirmed its intention to maintain Sky News’ strong track record for high-quality impartial news and adherence to broadcasting standards.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5" w:name="page296"/>
    <w:bookmarkEnd w:id="295"/>
    <w:p>
      <w:pPr>
        <w:ind w:left="644"/>
        <w:spacing w:after="0"/>
        <w:rPr>
          <w:sz w:val="20"/>
          <w:szCs w:val="20"/>
          <w:color w:val="auto"/>
        </w:rPr>
      </w:pPr>
      <w:r>
        <w:rPr>
          <w:rFonts w:ascii="Arial" w:cs="Arial" w:eastAsia="Arial" w:hAnsi="Arial"/>
          <w:sz w:val="18"/>
          <w:szCs w:val="18"/>
          <w:color w:val="auto"/>
        </w:rPr>
        <w:t>In support of these statements, Comcast intends to commit to the following:</w:t>
      </w:r>
    </w:p>
    <w:p>
      <w:pPr>
        <w:spacing w:after="0" w:line="225" w:lineRule="exact"/>
        <w:rPr>
          <w:sz w:val="20"/>
          <w:szCs w:val="20"/>
          <w:color w:val="auto"/>
        </w:rPr>
      </w:pPr>
    </w:p>
    <w:p>
      <w:pPr>
        <w:jc w:val="both"/>
        <w:ind w:left="1304" w:hanging="655"/>
        <w:spacing w:after="0" w:line="259"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member of the Sky Group shall have ownership of, or the right to use, all assets and rights (including licences) necessary to carry on a Sky-branded news service and the annual expenditure on the Sky-branded news service will be at least an amount equal to the level of expenditure incurred during the period from 1 July 2016 to 30 June 2017, increased annually for inflation for a period of five years from 1 July 2018;</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maintain the Sky Group’s UK headquarters in Osterley for a period of five years from the Effective Date;</w:t>
      </w:r>
    </w:p>
    <w:p>
      <w:pPr>
        <w:spacing w:after="0" w:line="225" w:lineRule="exact"/>
        <w:rPr>
          <w:rFonts w:ascii="Arial" w:cs="Arial" w:eastAsia="Arial" w:hAnsi="Arial"/>
          <w:sz w:val="18"/>
          <w:szCs w:val="18"/>
          <w:color w:val="auto"/>
        </w:rPr>
      </w:pPr>
    </w:p>
    <w:p>
      <w:pPr>
        <w:ind w:left="1304" w:right="20" w:hanging="655"/>
        <w:spacing w:after="0" w:line="277"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not acquire any majority interest in any daily, Sunday or local UK newspaper for a period of five years from the Effective Date; and</w:t>
      </w:r>
    </w:p>
    <w:p>
      <w:pPr>
        <w:spacing w:after="0" w:line="166" w:lineRule="exact"/>
        <w:rPr>
          <w:rFonts w:ascii="Arial" w:cs="Arial" w:eastAsia="Arial" w:hAnsi="Arial"/>
          <w:sz w:val="18"/>
          <w:szCs w:val="18"/>
          <w:color w:val="auto"/>
        </w:rPr>
      </w:pPr>
    </w:p>
    <w:p>
      <w:pPr>
        <w:jc w:val="both"/>
        <w:ind w:left="1304" w:hanging="655"/>
        <w:spacing w:after="0" w:line="266" w:lineRule="auto"/>
        <w:tabs>
          <w:tab w:leader="none" w:pos="13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establish an editorial board (the “</w:t>
      </w:r>
      <w:r>
        <w:rPr>
          <w:rFonts w:ascii="Arial" w:cs="Arial" w:eastAsia="Arial" w:hAnsi="Arial"/>
          <w:sz w:val="18"/>
          <w:szCs w:val="18"/>
          <w:b w:val="1"/>
          <w:bCs w:val="1"/>
          <w:color w:val="auto"/>
        </w:rPr>
        <w:t>Sky News Board</w:t>
      </w:r>
      <w:r>
        <w:rPr>
          <w:rFonts w:ascii="Arial" w:cs="Arial" w:eastAsia="Arial" w:hAnsi="Arial"/>
          <w:sz w:val="18"/>
          <w:szCs w:val="18"/>
          <w:color w:val="auto"/>
        </w:rPr>
        <w:t>”), no later than three months after the Effective Date. This is to ensure that there is an appropriate beneficiary in place to monitor compliance with the terms of the Sky News Binding Commitment (defined in paragraph B) below).</w:t>
      </w:r>
    </w:p>
    <w:p>
      <w:pPr>
        <w:spacing w:after="0" w:line="180" w:lineRule="exact"/>
        <w:rPr>
          <w:sz w:val="20"/>
          <w:szCs w:val="20"/>
          <w:color w:val="auto"/>
        </w:rPr>
      </w:pPr>
    </w:p>
    <w:p>
      <w:pPr>
        <w:jc w:val="both"/>
        <w:ind w:left="644"/>
        <w:spacing w:after="0" w:line="255" w:lineRule="auto"/>
        <w:rPr>
          <w:sz w:val="20"/>
          <w:szCs w:val="20"/>
          <w:color w:val="auto"/>
        </w:rPr>
      </w:pPr>
      <w:r>
        <w:rPr>
          <w:rFonts w:ascii="Arial" w:cs="Arial" w:eastAsia="Arial" w:hAnsi="Arial"/>
          <w:sz w:val="18"/>
          <w:szCs w:val="18"/>
          <w:color w:val="auto"/>
        </w:rPr>
        <w:t>Comcast intends (subject to the consent of the Panel) as soon as practicable, and in any event by no later than the date of the Offer Document, to make post-offer undertakings in respect of paragraphs (a) – (d) above in accordance with Rule 19.5 of the City Code in all material respects in the terms set out above (“</w:t>
      </w:r>
      <w:r>
        <w:rPr>
          <w:rFonts w:ascii="Arial" w:cs="Arial" w:eastAsia="Arial" w:hAnsi="Arial"/>
          <w:sz w:val="18"/>
          <w:szCs w:val="18"/>
          <w:b w:val="1"/>
          <w:bCs w:val="1"/>
          <w:color w:val="auto"/>
        </w:rPr>
        <w:t>Post-Offer Undertakings</w:t>
      </w:r>
      <w:r>
        <w:rPr>
          <w:rFonts w:ascii="Arial" w:cs="Arial" w:eastAsia="Arial" w:hAnsi="Arial"/>
          <w:sz w:val="18"/>
          <w:szCs w:val="18"/>
          <w:color w:val="auto"/>
        </w:rPr>
        <w:t>”). Sky also intends to give the same Post-Offer Undertakings given by Comcast, conditional upon the occurrence of the Effective Date. Comcast and Sky will need to comply with the terms of the Post-Offer Undertakings, for the periods of time specified in their respective undertakings (with approximately five years being the maximum period permitted by the Panel for such undertakings) and complete any courses of action committed to by the dates specified in their respective undertakings.</w:t>
      </w:r>
    </w:p>
    <w:p>
      <w:pPr>
        <w:spacing w:after="0" w:line="185" w:lineRule="exact"/>
        <w:rPr>
          <w:sz w:val="20"/>
          <w:szCs w:val="20"/>
          <w:color w:val="auto"/>
        </w:rPr>
      </w:pPr>
    </w:p>
    <w:p>
      <w:pPr>
        <w:ind w:left="644" w:hanging="644"/>
        <w:spacing w:after="0"/>
        <w:tabs>
          <w:tab w:leader="none" w:pos="644"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Intention to enter into commitments by way of deed poll to the Sky News Board and other appropriate regulatory bodies</w:t>
      </w:r>
    </w:p>
    <w:p>
      <w:pPr>
        <w:spacing w:after="0" w:line="240" w:lineRule="exact"/>
        <w:rPr>
          <w:rFonts w:ascii="Arial" w:cs="Arial" w:eastAsia="Arial" w:hAnsi="Arial"/>
          <w:sz w:val="17"/>
          <w:szCs w:val="17"/>
          <w:b w:val="1"/>
          <w:bCs w:val="1"/>
          <w:color w:val="auto"/>
        </w:rPr>
      </w:pPr>
    </w:p>
    <w:p>
      <w:pPr>
        <w:ind w:left="644"/>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Upon the Effective Date, Comcast intends to enter into (and to procure that upon the Effective Date Sky enters into) a legally binding deed poll (the “</w:t>
      </w:r>
      <w:r>
        <w:rPr>
          <w:rFonts w:ascii="Arial" w:cs="Arial" w:eastAsia="Arial" w:hAnsi="Arial"/>
          <w:sz w:val="18"/>
          <w:szCs w:val="18"/>
          <w:b w:val="1"/>
          <w:bCs w:val="1"/>
          <w:color w:val="auto"/>
        </w:rPr>
        <w:t>Sky News Binding Commitments</w:t>
      </w:r>
      <w:r>
        <w:rPr>
          <w:rFonts w:ascii="Arial" w:cs="Arial" w:eastAsia="Arial" w:hAnsi="Arial"/>
          <w:sz w:val="18"/>
          <w:szCs w:val="18"/>
          <w:color w:val="auto"/>
        </w:rPr>
        <w:t>”) in favour of the Sky News Board, which will:</w:t>
      </w:r>
    </w:p>
    <w:p>
      <w:pPr>
        <w:spacing w:after="0" w:line="170" w:lineRule="exact"/>
        <w:rPr>
          <w:rFonts w:ascii="Arial" w:cs="Arial" w:eastAsia="Arial" w:hAnsi="Arial"/>
          <w:sz w:val="17"/>
          <w:szCs w:val="17"/>
          <w:b w:val="1"/>
          <w:bCs w:val="1"/>
          <w:color w:val="auto"/>
        </w:rPr>
      </w:pPr>
    </w:p>
    <w:p>
      <w:pPr>
        <w:ind w:left="1304" w:hanging="655"/>
        <w:spacing w:after="0"/>
        <w:tabs>
          <w:tab w:leader="none" w:pos="130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provide for the continued establishment of the Sky News Board for a period of 10 years following the Effective Date;</w:t>
      </w:r>
    </w:p>
    <w:p>
      <w:pPr>
        <w:spacing w:after="0" w:line="225"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provide the Sky News Board with oversight of the Sky News operations in relation to ensuring the editorial independence of Sky News for a period of 10 years following the Effective Date; and</w:t>
      </w:r>
    </w:p>
    <w:p>
      <w:pPr>
        <w:spacing w:after="0" w:line="170"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provide the same investment commitment to Sky News as is set out in paragraph A(a) above for a further period of five years following the expiry of the post-offer undertaking intended to be given under paragraph A(a) above.</w:t>
      </w:r>
    </w:p>
    <w:p>
      <w:pPr>
        <w:spacing w:after="0" w:line="170" w:lineRule="exact"/>
        <w:rPr>
          <w:sz w:val="20"/>
          <w:szCs w:val="20"/>
          <w:color w:val="auto"/>
        </w:rPr>
      </w:pPr>
    </w:p>
    <w:p>
      <w:pPr>
        <w:jc w:val="both"/>
        <w:ind w:left="644"/>
        <w:spacing w:after="0" w:line="264" w:lineRule="auto"/>
        <w:rPr>
          <w:sz w:val="20"/>
          <w:szCs w:val="20"/>
          <w:color w:val="auto"/>
        </w:rPr>
      </w:pPr>
      <w:r>
        <w:rPr>
          <w:rFonts w:ascii="Arial" w:cs="Arial" w:eastAsia="Arial" w:hAnsi="Arial"/>
          <w:sz w:val="18"/>
          <w:szCs w:val="18"/>
          <w:color w:val="auto"/>
        </w:rPr>
        <w:t>The Sky News Binding Commitments will constitute legally binding commitments on Comcast and Sky which will be enforceable by the Sky News Board. They will not constitute “post-offer undertakings” for the purposes of Rule 19.5 of the City Code and would therefore not be enforceable by the Panel as post-offer undertakings.</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296" w:name="page297"/>
    <w:bookmarkEnd w:id="296"/>
    <w:p>
      <w:pPr>
        <w:ind w:left="644" w:right="20"/>
        <w:spacing w:after="0" w:line="277" w:lineRule="auto"/>
        <w:rPr>
          <w:sz w:val="20"/>
          <w:szCs w:val="20"/>
          <w:color w:val="auto"/>
        </w:rPr>
      </w:pPr>
      <w:r>
        <w:rPr>
          <w:rFonts w:ascii="Arial" w:cs="Arial" w:eastAsia="Arial" w:hAnsi="Arial"/>
          <w:sz w:val="18"/>
          <w:szCs w:val="18"/>
          <w:color w:val="auto"/>
        </w:rPr>
        <w:t>Comcast also confirms its willingness to provide for a relevant regulator to be a beneficiary of the Sky News Binding Commitments in the same way as the Sky News Board, if this is considered to be appropriate.</w:t>
      </w:r>
    </w:p>
    <w:p>
      <w:pPr>
        <w:spacing w:after="0" w:line="166" w:lineRule="exact"/>
        <w:rPr>
          <w:sz w:val="20"/>
          <w:szCs w:val="20"/>
          <w:color w:val="auto"/>
        </w:rPr>
      </w:pPr>
    </w:p>
    <w:p>
      <w:pPr>
        <w:ind w:left="644" w:right="400" w:hanging="644"/>
        <w:spacing w:after="0" w:line="533" w:lineRule="auto"/>
        <w:tabs>
          <w:tab w:leader="none" w:pos="644"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Intentions in relation to Sky’s role in supporting creative industries, innovation, young people and local communities in the UK </w:t>
      </w:r>
      <w:r>
        <w:rPr>
          <w:rFonts w:ascii="Arial" w:cs="Arial" w:eastAsia="Arial" w:hAnsi="Arial"/>
          <w:sz w:val="17"/>
          <w:szCs w:val="17"/>
          <w:color w:val="auto"/>
        </w:rPr>
        <w:t>Comcast reaffirms the following specific statements of intent with regard to Sky’s business in the UK:</w:t>
      </w:r>
    </w:p>
    <w:p>
      <w:pPr>
        <w:ind w:left="644"/>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Supporting the creative industries in the UK</w:t>
      </w:r>
    </w:p>
    <w:p>
      <w:pPr>
        <w:spacing w:after="0" w:line="225" w:lineRule="exact"/>
        <w:rPr>
          <w:rFonts w:ascii="Arial" w:cs="Arial" w:eastAsia="Arial" w:hAnsi="Arial"/>
          <w:sz w:val="17"/>
          <w:szCs w:val="17"/>
          <w:b w:val="1"/>
          <w:bCs w:val="1"/>
          <w:color w:val="auto"/>
        </w:rPr>
      </w:pPr>
    </w:p>
    <w:p>
      <w:pPr>
        <w:jc w:val="both"/>
        <w:ind w:left="644"/>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 xml:space="preserve">Comcast intends to continue to support Sky as a leader in content creation, arts, culture, and entertainment. Comcast intends to increase Sky’s investment in UK TV and film production. Comcast currently invests in UK TV and film production, including in Carnival Films, the makers of </w:t>
      </w:r>
      <w:r>
        <w:rPr>
          <w:rFonts w:ascii="Arial" w:cs="Arial" w:eastAsia="Arial" w:hAnsi="Arial"/>
          <w:sz w:val="17"/>
          <w:szCs w:val="17"/>
          <w:i w:val="1"/>
          <w:iCs w:val="1"/>
          <w:color w:val="auto"/>
        </w:rPr>
        <w:t>Downton Abbey</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Last Kingdom</w:t>
      </w:r>
      <w:r>
        <w:rPr>
          <w:rFonts w:ascii="Arial" w:cs="Arial" w:eastAsia="Arial" w:hAnsi="Arial"/>
          <w:sz w:val="17"/>
          <w:szCs w:val="17"/>
          <w:color w:val="auto"/>
        </w:rPr>
        <w:t>. Comcast is a global media and technology company, bringing entertainment and communications experiences to millions of people. Comcast has a proven track record of investing in the creative sector, including through Universal Pictures, Illumination Entertainment and DreamWorks Animation. As a producer, NBCUniversal has invested over $1 billion in film and TV productions in the UK over the past three years in a wide variety of content.</w:t>
      </w:r>
    </w:p>
    <w:p>
      <w:pPr>
        <w:spacing w:after="0" w:line="178" w:lineRule="exact"/>
        <w:rPr>
          <w:rFonts w:ascii="Arial" w:cs="Arial" w:eastAsia="Arial" w:hAnsi="Arial"/>
          <w:sz w:val="17"/>
          <w:szCs w:val="17"/>
          <w:b w:val="1"/>
          <w:bCs w:val="1"/>
          <w:color w:val="auto"/>
        </w:rPr>
      </w:pPr>
    </w:p>
    <w:p>
      <w:pPr>
        <w:ind w:left="644"/>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Supporting innovation in the UK</w:t>
      </w:r>
    </w:p>
    <w:p>
      <w:pPr>
        <w:spacing w:after="0" w:line="225" w:lineRule="exact"/>
        <w:rPr>
          <w:rFonts w:ascii="Arial" w:cs="Arial" w:eastAsia="Arial" w:hAnsi="Arial"/>
          <w:sz w:val="17"/>
          <w:szCs w:val="17"/>
          <w:b w:val="1"/>
          <w:bCs w:val="1"/>
          <w:color w:val="auto"/>
        </w:rPr>
      </w:pPr>
    </w:p>
    <w:p>
      <w:pPr>
        <w:jc w:val="both"/>
        <w:ind w:left="644"/>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Comcast intends to continue to support Sky’s technology hub in Leeds and its Software Engineering Academy scheme. In the U.S., Comcast and NBCUniversal have been innovators in creating and delivering award-winning content and technologies to consumers. The combined company will create compelling opportunities for growth and innovation.</w:t>
      </w:r>
    </w:p>
    <w:p>
      <w:pPr>
        <w:spacing w:after="0" w:line="181" w:lineRule="exact"/>
        <w:rPr>
          <w:rFonts w:ascii="Arial" w:cs="Arial" w:eastAsia="Arial" w:hAnsi="Arial"/>
          <w:sz w:val="17"/>
          <w:szCs w:val="17"/>
          <w:b w:val="1"/>
          <w:bCs w:val="1"/>
          <w:color w:val="auto"/>
        </w:rPr>
      </w:pPr>
    </w:p>
    <w:p>
      <w:pPr>
        <w:ind w:left="644"/>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Supporting young people in the UK</w:t>
      </w:r>
    </w:p>
    <w:p>
      <w:pPr>
        <w:spacing w:after="0" w:line="225" w:lineRule="exact"/>
        <w:rPr>
          <w:rFonts w:ascii="Arial" w:cs="Arial" w:eastAsia="Arial" w:hAnsi="Arial"/>
          <w:sz w:val="17"/>
          <w:szCs w:val="17"/>
          <w:b w:val="1"/>
          <w:bCs w:val="1"/>
          <w:color w:val="auto"/>
        </w:rPr>
      </w:pPr>
    </w:p>
    <w:p>
      <w:pPr>
        <w:jc w:val="both"/>
        <w:ind w:left="644"/>
        <w:spacing w:after="0" w:line="291" w:lineRule="auto"/>
        <w:rPr>
          <w:rFonts w:ascii="Arial" w:cs="Arial" w:eastAsia="Arial" w:hAnsi="Arial"/>
          <w:sz w:val="17"/>
          <w:szCs w:val="17"/>
          <w:b w:val="1"/>
          <w:bCs w:val="1"/>
          <w:color w:val="auto"/>
        </w:rPr>
      </w:pPr>
      <w:r>
        <w:rPr>
          <w:rFonts w:ascii="Arial" w:cs="Arial" w:eastAsia="Arial" w:hAnsi="Arial"/>
          <w:sz w:val="16"/>
          <w:szCs w:val="16"/>
          <w:color w:val="auto"/>
        </w:rPr>
        <w:t>Comcast intends to continue to maintain Sky’s Software Engineering Academy scheme, which offers technology apprenticeships and graduate opportunities to young people across the north of England. Comcast intends to continue investment in employees’ professional development across the UK. Comcast was founded as a start-up 55 years ago and that entrepreneurial spirit is still at the heart of everything we do. Comcast believes that to thrive as a company, we must invest in our people, giving them opportunities to flourish. Comcast provides many opportunities for employees to showcase their creativity and talents, including: programmes for all employees to share original ideas; opportunities for employees to partner, explore, and develop projects not core to their responsibilities; leadership and development programmes for employees of all levels; and internships and apprentice programmes for hundreds of young people annually.</w:t>
      </w:r>
    </w:p>
    <w:p>
      <w:pPr>
        <w:spacing w:after="0" w:line="167" w:lineRule="exact"/>
        <w:rPr>
          <w:rFonts w:ascii="Arial" w:cs="Arial" w:eastAsia="Arial" w:hAnsi="Arial"/>
          <w:sz w:val="17"/>
          <w:szCs w:val="17"/>
          <w:b w:val="1"/>
          <w:bCs w:val="1"/>
          <w:color w:val="auto"/>
        </w:rPr>
      </w:pPr>
    </w:p>
    <w:p>
      <w:pPr>
        <w:ind w:left="644"/>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Supporting communities in the UK</w:t>
      </w:r>
    </w:p>
    <w:p>
      <w:pPr>
        <w:spacing w:after="0" w:line="225" w:lineRule="exact"/>
        <w:rPr>
          <w:rFonts w:ascii="Arial" w:cs="Arial" w:eastAsia="Arial" w:hAnsi="Arial"/>
          <w:sz w:val="17"/>
          <w:szCs w:val="17"/>
          <w:b w:val="1"/>
          <w:bCs w:val="1"/>
          <w:color w:val="auto"/>
        </w:rPr>
      </w:pPr>
    </w:p>
    <w:p>
      <w:pPr>
        <w:jc w:val="both"/>
        <w:ind w:left="644"/>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Comcast intends to continue to Sky’s local community programmes to inspire more people to get involved in sports. Comcast intends to support Sky’s Bigger Picture Programme to create new opportunities for young people to develop themselves, including Sky Sports Scholarships, which support promising young athletes. Comcast knows the power of sports and how it brings communities together, as well as the importance of corporate social responsibility programmes to building the communities where Comcast’s employees and customers live and work.</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5" w:right="239" w:bottom="1440" w:gutter="0" w:footer="0" w:header="0"/>
        </w:sectPr>
      </w:pPr>
    </w:p>
    <w:bookmarkStart w:id="297" w:name="page298"/>
    <w:bookmarkEnd w:id="297"/>
    <w:p>
      <w:pPr>
        <w:ind w:left="1300"/>
        <w:spacing w:after="0"/>
        <w:rPr>
          <w:sz w:val="20"/>
          <w:szCs w:val="20"/>
          <w:color w:val="auto"/>
        </w:rPr>
      </w:pPr>
      <w:r>
        <w:rPr>
          <w:rFonts w:ascii="Arial" w:cs="Arial" w:eastAsia="Arial" w:hAnsi="Arial"/>
          <w:sz w:val="17"/>
          <w:szCs w:val="17"/>
          <w:color w:val="auto"/>
        </w:rPr>
        <w:t>The above statements of intent in relation to Sky are not “post-offer undertakings” for the purposes of Rule 19.5 of the City Code.</w:t>
      </w:r>
    </w:p>
    <w:p>
      <w:pPr>
        <w:spacing w:after="0" w:line="233" w:lineRule="exact"/>
        <w:rPr>
          <w:sz w:val="20"/>
          <w:szCs w:val="20"/>
          <w:color w:val="auto"/>
        </w:rPr>
      </w:pPr>
    </w:p>
    <w:p>
      <w:pPr>
        <w:ind w:left="660" w:right="5220" w:hanging="652"/>
        <w:spacing w:after="0" w:line="503" w:lineRule="auto"/>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management, employees, research and development, locations </w:t>
      </w:r>
      <w:r>
        <w:rPr>
          <w:rFonts w:ascii="Arial" w:cs="Arial" w:eastAsia="Arial" w:hAnsi="Arial"/>
          <w:sz w:val="18"/>
          <w:szCs w:val="18"/>
          <w:i w:val="1"/>
          <w:iCs w:val="1"/>
          <w:color w:val="auto"/>
        </w:rPr>
        <w:t>Employees and management</w:t>
      </w: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Comcast attaches great importance to the skills and experience of the existing managers and employees of Sky and believes that they will benefit from greater opportunities as a result of being part of the Enlarged Group.</w:t>
      </w:r>
    </w:p>
    <w:p>
      <w:pPr>
        <w:spacing w:after="0" w:line="170"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Comcast recognises, however, that in order to achieve the expected benefits of the Acquisition, some operational and administrative restructuring will be required across both Comcast and Sky following completion of the Acquisition. Preliminary integration work carried out to date has confirmed that there is likely to be overlap between the two businesses and that there is the potential to generate cost savings for the Enlarged Group through corporate and administrative efficiencies, however, it expects there to be limited impact on headcount. In particular, in the event of a delisting of the Sky Shares and re-registration of Sky as a private limited company (as further described in paragraph 14 below), a number of corporate and support functions, including certain functions related to Sky’s status as a public listed company, will potentially require reduced headcount.</w:t>
      </w:r>
    </w:p>
    <w:p>
      <w:pPr>
        <w:spacing w:after="0" w:line="18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Comcast does not expect this integration review to have a material impact on the continued employment of the employees and management of Sky or the Enlarged Group or on the balance of skills and functions.</w:t>
      </w:r>
    </w:p>
    <w:p>
      <w:pPr>
        <w:spacing w:after="0" w:line="170"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Comcast would approach any integration in an open and transparent manner with the aim of maintaining operational momentum and retaining and motivating the best talent across the Enlarged Group. The finalisation and implementation of any restructuring, integration and workforce reductions will be subject to detailed and comprehensive planning, and to appropriate engagement with stakeholders, including affected employees and any appropriate employee representative bodies in accordance with the legal obligations of the Enlarged Group. Comcast would commence this engagement process long enough before any final decision is taken to implement any job reductions so as to ensure that relevant legal obligations are complied with.</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Existing rights and pensions</w:t>
      </w:r>
    </w:p>
    <w:p>
      <w:pPr>
        <w:spacing w:after="0" w:line="225"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Comcast confirms that, upon and following completion of the Acquisition, the existing contractual and statutory employment rights, including in relation to pensions, of all of Sky’s management and employees will be safeguarded, in accordance with applicable law. Comcast does not intend to make any material change to the conditions of employment of the employees of the Sky Group.</w:t>
      </w:r>
    </w:p>
    <w:p>
      <w:pPr>
        <w:spacing w:after="0" w:line="181"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Sky’s defined benefit pension schemes will remain closed to the admission of new members and to future accrual, and will continue to be funded in accordance with existing arrangements. The accrued benefits for existing members of Sky’s defined benefit pension schemes will not be affected.</w:t>
      </w:r>
    </w:p>
    <w:p>
      <w:pPr>
        <w:spacing w:after="0" w:line="1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Incentivisation arrangements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Comcast has not entered into, and has not had discussion of proposals to enter into, any form of incentivisation arrangements with members of Sky’s management, however it intends to put in place such arrangements for certain members of Sky’s management team following completion of the Acquisition in consultation with Sky’s executive management.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8" w:name="page299"/>
    <w:bookmarkEnd w:id="298"/>
    <w:p>
      <w:pPr>
        <w:jc w:val="both"/>
        <w:ind w:left="652"/>
        <w:spacing w:after="0" w:line="277" w:lineRule="auto"/>
        <w:rPr>
          <w:sz w:val="20"/>
          <w:szCs w:val="20"/>
          <w:color w:val="auto"/>
        </w:rPr>
      </w:pPr>
      <w:r>
        <w:rPr>
          <w:rFonts w:ascii="Arial" w:cs="Arial" w:eastAsia="Arial" w:hAnsi="Arial"/>
          <w:sz w:val="18"/>
          <w:szCs w:val="18"/>
          <w:color w:val="auto"/>
        </w:rPr>
        <w:t>Comcast intends to provide incentive arrangements for Sky employees consistent with its applicable compensation schemes and having regard to Sky’s current incentive arrangements and its desire to attract and retain talent at Sky.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Locations, headquarters and research and development</w:t>
      </w:r>
    </w:p>
    <w:p>
      <w:pPr>
        <w:spacing w:after="0" w:line="225"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Comcast does not currently anticipate any material change in the locations of Sky’s or Comcast’s business. As stated in paragraph 5 above, Comcast intends to maintain Sky’s UK headquarters and intends to maintain headquarters’ functions at the Osterley campus. In addition, Comcast intends to maintain Sky’s Milan and Munich offices as national headquarters. The majority of the senior management of the Enlarged Group will remain based in Philadelphia and London.</w:t>
      </w:r>
    </w:p>
    <w:p>
      <w:pPr>
        <w:spacing w:after="0" w:line="18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No other changes are envisaged by Comcast with respect to the redeployment of Sky’s fixed asset base, or the research and development functions of Sky.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Trading facilities</w:t>
      </w:r>
    </w:p>
    <w:p>
      <w:pPr>
        <w:spacing w:after="0" w:line="225"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Sky is currently listed on the London Stock Exchange. In the event that Comcast reaches the requisite acceptance threshold referred to in paragraph 14 below, Comcast intends to seek the cancellation of the trading of Sky Shares on the London Stock Exchange and de-listing of Sky from the Official List.</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 statements in this paragraph 6 are “post-offer undertakings” for the purposes of Rule 19.5 of the City Code.</w:t>
      </w:r>
    </w:p>
    <w:p>
      <w:pPr>
        <w:spacing w:after="0" w:line="221" w:lineRule="exact"/>
        <w:rPr>
          <w:sz w:val="20"/>
          <w:szCs w:val="20"/>
          <w:color w:val="auto"/>
        </w:rPr>
      </w:pPr>
    </w:p>
    <w:p>
      <w:pPr>
        <w:ind w:left="652" w:right="8560" w:hanging="652"/>
        <w:spacing w:after="0" w:line="566" w:lineRule="auto"/>
        <w:tabs>
          <w:tab w:leader="none" w:pos="652"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on Comcast </w:t>
      </w:r>
      <w:r>
        <w:rPr>
          <w:rFonts w:ascii="Arial" w:cs="Arial" w:eastAsia="Arial" w:hAnsi="Arial"/>
          <w:sz w:val="16"/>
          <w:szCs w:val="16"/>
          <w:i w:val="1"/>
          <w:iCs w:val="1"/>
          <w:color w:val="auto"/>
        </w:rPr>
        <w:t>About Comcast NBCUniversal</w:t>
      </w:r>
    </w:p>
    <w:p>
      <w:pPr>
        <w:jc w:val="both"/>
        <w:ind w:left="652"/>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Fifty-five years ago, Comcast was built on a foundation of respect, integrity, and trust, and those core values remain part of the company and its 164,000 employees’ culture today. Comcast is a global media and technology company with two primary businesses: Comcast Cable and NBCUniversal.</w:t>
      </w:r>
    </w:p>
    <w:p>
      <w:pPr>
        <w:spacing w:after="0" w:line="177" w:lineRule="exact"/>
        <w:rPr>
          <w:rFonts w:ascii="Arial" w:cs="Arial" w:eastAsia="Arial" w:hAnsi="Arial"/>
          <w:sz w:val="16"/>
          <w:szCs w:val="16"/>
          <w:b w:val="1"/>
          <w:bCs w:val="1"/>
          <w:color w:val="auto"/>
        </w:rPr>
      </w:pPr>
    </w:p>
    <w:p>
      <w:pPr>
        <w:jc w:val="both"/>
        <w:ind w:left="1292" w:hanging="644"/>
        <w:spacing w:after="0" w:line="289" w:lineRule="auto"/>
        <w:tabs>
          <w:tab w:leader="none" w:pos="1292" w:val="left"/>
        </w:tabs>
        <w:numPr>
          <w:ilvl w:val="1"/>
          <w:numId w:val="271"/>
        </w:numPr>
        <w:rPr>
          <w:rFonts w:ascii="Arial" w:cs="Arial" w:eastAsia="Arial" w:hAnsi="Arial"/>
          <w:sz w:val="17"/>
          <w:szCs w:val="17"/>
          <w:color w:val="auto"/>
        </w:rPr>
      </w:pPr>
      <w:r>
        <w:rPr>
          <w:rFonts w:ascii="Arial" w:cs="Arial" w:eastAsia="Arial" w:hAnsi="Arial"/>
          <w:sz w:val="17"/>
          <w:szCs w:val="17"/>
          <w:b w:val="1"/>
          <w:bCs w:val="1"/>
          <w:color w:val="auto"/>
        </w:rPr>
        <w:t xml:space="preserve">Comcast Cable </w:t>
      </w:r>
      <w:r>
        <w:rPr>
          <w:rFonts w:ascii="Arial" w:cs="Arial" w:eastAsia="Arial" w:hAnsi="Arial"/>
          <w:sz w:val="17"/>
          <w:szCs w:val="17"/>
          <w:color w:val="auto"/>
        </w:rPr>
        <w:t>is a provider of video, high-speed internet, landline and mobile phone and home security and automation services to</w:t>
      </w:r>
      <w:r>
        <w:rPr>
          <w:rFonts w:ascii="Arial" w:cs="Arial" w:eastAsia="Arial" w:hAnsi="Arial"/>
          <w:sz w:val="17"/>
          <w:szCs w:val="17"/>
          <w:b w:val="1"/>
          <w:bCs w:val="1"/>
          <w:color w:val="auto"/>
        </w:rPr>
        <w:t xml:space="preserve"> </w:t>
      </w:r>
      <w:r>
        <w:rPr>
          <w:rFonts w:ascii="Arial" w:cs="Arial" w:eastAsia="Arial" w:hAnsi="Arial"/>
          <w:sz w:val="17"/>
          <w:szCs w:val="17"/>
          <w:color w:val="auto"/>
        </w:rPr>
        <w:t>residential customers under the XFINITY brand in the United States, and also provides these and other services to business customers in the United States. Comcast has 29 million customer relationships in the United States (39 states and Washington, D.C.).</w:t>
      </w:r>
    </w:p>
    <w:p>
      <w:pPr>
        <w:spacing w:after="0" w:line="158" w:lineRule="exact"/>
        <w:rPr>
          <w:rFonts w:ascii="Arial" w:cs="Arial" w:eastAsia="Arial" w:hAnsi="Arial"/>
          <w:sz w:val="17"/>
          <w:szCs w:val="17"/>
          <w:color w:val="auto"/>
        </w:rPr>
      </w:pPr>
    </w:p>
    <w:p>
      <w:pPr>
        <w:jc w:val="both"/>
        <w:ind w:left="1292" w:hanging="644"/>
        <w:spacing w:after="0" w:line="277" w:lineRule="auto"/>
        <w:tabs>
          <w:tab w:leader="none" w:pos="1292" w:val="left"/>
        </w:tabs>
        <w:numPr>
          <w:ilvl w:val="1"/>
          <w:numId w:val="271"/>
        </w:numPr>
        <w:rPr>
          <w:rFonts w:ascii="Arial" w:cs="Arial" w:eastAsia="Arial" w:hAnsi="Arial"/>
          <w:sz w:val="17"/>
          <w:szCs w:val="17"/>
          <w:color w:val="auto"/>
        </w:rPr>
      </w:pPr>
      <w:r>
        <w:rPr>
          <w:rFonts w:ascii="Arial" w:cs="Arial" w:eastAsia="Arial" w:hAnsi="Arial"/>
          <w:sz w:val="17"/>
          <w:szCs w:val="17"/>
          <w:b w:val="1"/>
          <w:bCs w:val="1"/>
          <w:color w:val="auto"/>
        </w:rPr>
        <w:t>NBCUniversa</w:t>
      </w:r>
      <w:r>
        <w:rPr>
          <w:rFonts w:ascii="Arial" w:cs="Arial" w:eastAsia="Arial" w:hAnsi="Arial"/>
          <w:sz w:val="17"/>
          <w:szCs w:val="17"/>
          <w:color w:val="auto"/>
        </w:rPr>
        <w:t>l is a media and entertainment business with a portfolio of news and entertainment broadcast and cable television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and brands (including NBC, Telemundo, NBC News, CNBC, MSNBC, NBC Sports, USA Network, E!, Bravo, and Syfy), motion picture studios (Universal Pictures, Focus Features, Illumination Entertainment, DreamWorks Animation), television production operations (Universal Cable Productions, Telemundo Studios, Universal Television), two leading television stations groups, renowned theme parks (in the U.S, Japan, and a park in development in China), and a number of Internet-based businesses.</w:t>
      </w:r>
    </w:p>
    <w:p>
      <w:pPr>
        <w:spacing w:after="0" w:line="172" w:lineRule="exact"/>
        <w:rPr>
          <w:sz w:val="20"/>
          <w:szCs w:val="20"/>
          <w:color w:val="auto"/>
        </w:rPr>
      </w:pPr>
    </w:p>
    <w:p>
      <w:pPr>
        <w:jc w:val="both"/>
        <w:ind w:left="652"/>
        <w:spacing w:after="0" w:line="286" w:lineRule="auto"/>
        <w:rPr>
          <w:sz w:val="20"/>
          <w:szCs w:val="20"/>
          <w:color w:val="auto"/>
        </w:rPr>
      </w:pPr>
      <w:r>
        <w:rPr>
          <w:rFonts w:ascii="Arial" w:cs="Arial" w:eastAsia="Arial" w:hAnsi="Arial"/>
          <w:sz w:val="17"/>
          <w:szCs w:val="17"/>
          <w:color w:val="auto"/>
        </w:rPr>
        <w:t>Comcast’s Class A Common Stock is registered on the NASDAQ Global Select Market under symbol CMCSA and its market capitalisation was approximately $183.8 billion as at 26 February 2018, being the last Business Day before the announcement of Comcast’s possible offer for Sky. For the year ended 31 December 2017, Comcast reported revenue of $84.5 billion and net income of $22.7 billion.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85" w:right="239" w:bottom="1440" w:gutter="0" w:footer="0" w:header="0"/>
        </w:sectPr>
      </w:pPr>
    </w:p>
    <w:bookmarkStart w:id="299" w:name="page300"/>
    <w:bookmarkEnd w:id="299"/>
    <w:p>
      <w:pPr>
        <w:ind w:left="660"/>
        <w:spacing w:after="0"/>
        <w:rPr>
          <w:sz w:val="20"/>
          <w:szCs w:val="20"/>
          <w:color w:val="auto"/>
        </w:rPr>
      </w:pPr>
      <w:r>
        <w:rPr>
          <w:rFonts w:ascii="Arial" w:cs="Arial" w:eastAsia="Arial" w:hAnsi="Arial"/>
          <w:sz w:val="18"/>
          <w:szCs w:val="18"/>
          <w:i w:val="1"/>
          <w:iCs w:val="1"/>
          <w:color w:val="auto"/>
        </w:rPr>
        <w:t>Comcast NBCUniversal: A Record of Success</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Comcast knows how to integrate and grow content and distribution companies and has a proven track record of being a strong steward of acquired companies, as evidenced by the growth and success of NBCUniversal. Comcast is proud of its record of success, which includes:</w:t>
      </w:r>
    </w:p>
    <w:p>
      <w:pPr>
        <w:spacing w:after="0" w:line="147" w:lineRule="exact"/>
        <w:rPr>
          <w:sz w:val="20"/>
          <w:szCs w:val="20"/>
          <w:color w:val="auto"/>
        </w:rPr>
      </w:pPr>
    </w:p>
    <w:p>
      <w:pPr>
        <w:ind w:left="1300" w:hanging="644"/>
        <w:spacing w:after="0" w:line="277"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Since the NBCUniversal acquisition, NBCUniversal has been the fastest growing major media company in the U.S. The NBC broadcast network has gone from last to first in the U.S. rankings and it has finished first for four consecutive years.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2017, Telemundo ranked as the #1 Spanish-language television network in weekday primetime and among the top five broadcast networks in the U.S., regardless of language.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Universal Pictures continues to break box office records with hit films like </w:t>
      </w:r>
      <w:r>
        <w:rPr>
          <w:rFonts w:ascii="Arial" w:cs="Arial" w:eastAsia="Arial" w:hAnsi="Arial"/>
          <w:sz w:val="18"/>
          <w:szCs w:val="18"/>
          <w:i w:val="1"/>
          <w:iCs w:val="1"/>
          <w:color w:val="auto"/>
        </w:rPr>
        <w:t>Minions, Despicable Me 3, 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Fate of the</w:t>
      </w:r>
      <w:r>
        <w:rPr>
          <w:rFonts w:ascii="Arial" w:cs="Arial" w:eastAsia="Arial" w:hAnsi="Arial"/>
          <w:sz w:val="18"/>
          <w:szCs w:val="18"/>
          <w:color w:val="auto"/>
        </w:rPr>
        <w:t xml:space="preserve"> </w:t>
      </w:r>
      <w:r>
        <w:rPr>
          <w:rFonts w:ascii="Arial" w:cs="Arial" w:eastAsia="Arial" w:hAnsi="Arial"/>
          <w:sz w:val="18"/>
          <w:szCs w:val="18"/>
          <w:i w:val="1"/>
          <w:iCs w:val="1"/>
          <w:color w:val="auto"/>
        </w:rPr>
        <w:t>Furious.</w:t>
      </w:r>
    </w:p>
    <w:p>
      <w:pPr>
        <w:spacing w:after="0" w:line="170"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Comcast NBCUniversal has made historic investments in major sports rights in the U.S., including the Olympic Games (through 2032), World Cup (Telemundo has the Spanish language U.S. media rights in 2018 and 2022), Premier League football, NASCAR, and the NFL and NHL on NBC.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NBCUniversal in the UK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Owned by Comcast Corporation, NBCUniversal is a leading media and entertainment business with more than 1,300 employees in the UK.</w:t>
      </w:r>
    </w:p>
    <w:p>
      <w:pPr>
        <w:spacing w:after="0" w:line="237"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As a producer, NBCUniversal has invested more than $1 billion in film and TV productions in the UK over the past three years in a wide variety of content. This includes films such as </w:t>
      </w:r>
      <w:r>
        <w:rPr>
          <w:rFonts w:ascii="Arial" w:cs="Arial" w:eastAsia="Arial" w:hAnsi="Arial"/>
          <w:sz w:val="17"/>
          <w:szCs w:val="17"/>
          <w:i w:val="1"/>
          <w:iCs w:val="1"/>
          <w:color w:val="auto"/>
        </w:rPr>
        <w:t>Jurassic World: Fallen Kingdom</w:t>
      </w:r>
      <w:r>
        <w:rPr>
          <w:rFonts w:ascii="Arial" w:cs="Arial" w:eastAsia="Arial" w:hAnsi="Arial"/>
          <w:sz w:val="17"/>
          <w:szCs w:val="17"/>
          <w:color w:val="auto"/>
        </w:rPr>
        <w:t xml:space="preserve"> and </w:t>
      </w:r>
      <w:r>
        <w:rPr>
          <w:rFonts w:ascii="Arial" w:cs="Arial" w:eastAsia="Arial" w:hAnsi="Arial"/>
          <w:sz w:val="17"/>
          <w:szCs w:val="17"/>
          <w:i w:val="1"/>
          <w:iCs w:val="1"/>
          <w:color w:val="auto"/>
        </w:rPr>
        <w:t>Jason Bourne</w:t>
      </w:r>
      <w:r>
        <w:rPr>
          <w:rFonts w:ascii="Arial" w:cs="Arial" w:eastAsia="Arial" w:hAnsi="Arial"/>
          <w:sz w:val="17"/>
          <w:szCs w:val="17"/>
          <w:color w:val="auto"/>
        </w:rPr>
        <w:t xml:space="preserve"> as well as TV programmes such as </w:t>
      </w:r>
      <w:r>
        <w:rPr>
          <w:rFonts w:ascii="Arial" w:cs="Arial" w:eastAsia="Arial" w:hAnsi="Arial"/>
          <w:sz w:val="17"/>
          <w:szCs w:val="17"/>
          <w:i w:val="1"/>
          <w:iCs w:val="1"/>
          <w:color w:val="auto"/>
        </w:rPr>
        <w:t>Downton Abbey</w:t>
      </w:r>
      <w:r>
        <w:rPr>
          <w:rFonts w:ascii="Arial" w:cs="Arial" w:eastAsia="Arial" w:hAnsi="Arial"/>
          <w:sz w:val="17"/>
          <w:szCs w:val="17"/>
          <w:color w:val="auto"/>
        </w:rPr>
        <w:t xml:space="preserv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Last Kingdom </w:t>
      </w:r>
      <w:r>
        <w:rPr>
          <w:rFonts w:ascii="Arial" w:cs="Arial" w:eastAsia="Arial" w:hAnsi="Arial"/>
          <w:sz w:val="17"/>
          <w:szCs w:val="17"/>
          <w:color w:val="auto"/>
        </w:rPr>
        <w:t>and</w:t>
      </w:r>
      <w:r>
        <w:rPr>
          <w:rFonts w:ascii="Arial" w:cs="Arial" w:eastAsia="Arial" w:hAnsi="Arial"/>
          <w:sz w:val="17"/>
          <w:szCs w:val="17"/>
          <w:i w:val="1"/>
          <w:iCs w:val="1"/>
          <w:color w:val="auto"/>
        </w:rPr>
        <w:t xml:space="preserve"> Made In Chelsea</w:t>
      </w:r>
      <w:r>
        <w:rPr>
          <w:rFonts w:ascii="Arial" w:cs="Arial" w:eastAsia="Arial" w:hAnsi="Arial"/>
          <w:sz w:val="17"/>
          <w:szCs w:val="17"/>
          <w:color w:val="auto"/>
        </w:rPr>
        <w:t>. In addition to big budget feature films, NBCUniversal has also produced in the UK critically acclaimed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award-winning films such as </w:t>
      </w:r>
      <w:r>
        <w:rPr>
          <w:rFonts w:ascii="Arial" w:cs="Arial" w:eastAsia="Arial" w:hAnsi="Arial"/>
          <w:sz w:val="17"/>
          <w:szCs w:val="17"/>
          <w:i w:val="1"/>
          <w:iCs w:val="1"/>
          <w:color w:val="auto"/>
        </w:rPr>
        <w:t>The Theory of Everything</w:t>
      </w:r>
      <w:r>
        <w:rPr>
          <w:rFonts w:ascii="Arial" w:cs="Arial" w:eastAsia="Arial" w:hAnsi="Arial"/>
          <w:sz w:val="17"/>
          <w:szCs w:val="17"/>
          <w:color w:val="auto"/>
        </w:rPr>
        <w:t xml:space="preserve">, </w:t>
      </w:r>
      <w:r>
        <w:rPr>
          <w:rFonts w:ascii="Arial" w:cs="Arial" w:eastAsia="Arial" w:hAnsi="Arial"/>
          <w:sz w:val="17"/>
          <w:szCs w:val="17"/>
          <w:i w:val="1"/>
          <w:iCs w:val="1"/>
          <w:color w:val="auto"/>
        </w:rPr>
        <w:t>The Danish Girl,</w:t>
      </w:r>
      <w:r>
        <w:rPr>
          <w:rFonts w:ascii="Arial" w:cs="Arial" w:eastAsia="Arial" w:hAnsi="Arial"/>
          <w:sz w:val="17"/>
          <w:szCs w:val="17"/>
          <w:color w:val="auto"/>
        </w:rPr>
        <w:t xml:space="preserve"> and, most recently, </w:t>
      </w:r>
      <w:r>
        <w:rPr>
          <w:rFonts w:ascii="Arial" w:cs="Arial" w:eastAsia="Arial" w:hAnsi="Arial"/>
          <w:sz w:val="17"/>
          <w:szCs w:val="17"/>
          <w:i w:val="1"/>
          <w:iCs w:val="1"/>
          <w:color w:val="auto"/>
        </w:rPr>
        <w:t>Darkest Hour</w:t>
      </w:r>
      <w:r>
        <w:rPr>
          <w:rFonts w:ascii="Arial" w:cs="Arial" w:eastAsia="Arial" w:hAnsi="Arial"/>
          <w:sz w:val="17"/>
          <w:szCs w:val="17"/>
          <w:color w:val="auto"/>
        </w:rPr>
        <w:t>. NBCUniversal’s UK based production businesses include Working Title Films, Focus Features, Carnival Films, and Monkey Kingdom.</w:t>
      </w:r>
    </w:p>
    <w:p>
      <w:pPr>
        <w:spacing w:after="0" w:line="17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Across NBCUniversal’s range of entertainment and business news TV channels, NBCUniversal has Ofcom and other broadcasting licenses, covering linear TV channels with a variety of country-specific feeds broadcasting into different countries.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NBCUniversal also has multiple On-Demand services in the UK for the distribution of on-demand audio-visual services across a variety of outlets and platforms. These services include hayu, E!, Universal Channel, and Syfy. hayu is a standalone all-reality subscription OTT service, launched in the UK, Ireland, and Australia in 2016 which has now been rolled out in the Nordics.</w:t>
      </w:r>
    </w:p>
    <w:p>
      <w:pPr>
        <w:spacing w:after="0" w:line="177"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on Sky</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Sky is a leading entertainment and communications company in Europe. Sky serves approximately 23 million retail customers across seven countries: UK, Ireland, Germany, Austria, Italy, Spain and Switzerland.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majority of the Sky Group’s revenue is derived from retailing pay television services both in the home and on the move. In the UK and Ireland, the Sky Group also offers customers broadband and telephony products, including internet via DSL, fibre and WiFi,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0" w:name="page301"/>
    <w:bookmarkEnd w:id="300"/>
    <w:p>
      <w:pPr>
        <w:jc w:val="both"/>
        <w:ind w:left="660"/>
        <w:spacing w:after="0" w:line="286" w:lineRule="auto"/>
        <w:rPr>
          <w:sz w:val="20"/>
          <w:szCs w:val="20"/>
          <w:color w:val="auto"/>
        </w:rPr>
      </w:pPr>
      <w:r>
        <w:rPr>
          <w:rFonts w:ascii="Arial" w:cs="Arial" w:eastAsia="Arial" w:hAnsi="Arial"/>
          <w:sz w:val="17"/>
          <w:szCs w:val="17"/>
          <w:color w:val="auto"/>
        </w:rPr>
        <w:t>and has recently established a mobile offering. The Sky Group retails TV services to commercial customers and operates adjacent businesses which include wholesaling Sky channels to other providers and selling advertising on the Sky Group’s own and partner channels. The Sky Group also sells both Sky Group originated television programmes and third party television programmes internationally through ‘Sky Vision’.</w:t>
      </w:r>
    </w:p>
    <w:p>
      <w:pPr>
        <w:spacing w:after="0" w:line="16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ordinary shares of Sky are listed on the London Stock Exchange under the symbol SKY. For the financial year ended 30 June 2017, Sky reported adjusted revenue of £12.9 billion, adjusted operating profit of £1,468 million and adjusted profit after tax of £1,048 million.</w:t>
      </w:r>
    </w:p>
    <w:p>
      <w:pPr>
        <w:spacing w:after="0" w:line="143"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Pre-Conditions and Conditions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receipt of competition clearance in the EU, and, if either a European intervention notice or an intervention notice has been issued under Sections 67 or 42 of the Enterprise Act 2002 respectively, approval of the Secretary of State, are Pre-Conditions to the Acquisition. Posting of the Offer Document will not take place until such time as the Pre-Conditions are satisfied or waived.</w:t>
      </w:r>
    </w:p>
    <w:p>
      <w:pPr>
        <w:spacing w:after="0" w:line="1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Pre-Conditions are set out in Appendix I to this Announcement. If any Pre-Condition is waived by Comcast, the relevant clearance will remain as a Condition to the Acquisition and will need to be satisfied (or waived) before the Acquisition becomes unconditional in all respects. Such Conditions are substantially in the form set out in paragraphs 2, 3, 5 and 6 (inclusive) of Part 1 of Appendix II to this Announcement. The waiver of any Pre-Condition by Comcast shall be made at Comcast’s discretion.</w:t>
      </w:r>
    </w:p>
    <w:p>
      <w:pPr>
        <w:spacing w:after="0" w:line="18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It is expected that the Offer Document will be dispatched to Sky Shareholders no later than 28 days after the date on which the last of the Pre-Conditions to be satisfied (or waived) is so satisfied (or waived), unless extended by Comcast with the consent of the Panel.</w:t>
      </w:r>
    </w:p>
    <w:p>
      <w:pPr>
        <w:spacing w:after="0" w:line="170"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the Pre-Conditions, the Acquisition is conditional on, among other things, Comcast securing valid acceptances of the Offer in respect of Sky Shares which, taken together with all other Sky Shares which Comcast (and/or its nominee(s)) has acquired or agreed to acquire (whether pursuant to the Offer or otherwise), carry more than 50 per cent. of the voting rights then normally exercisable at a general meeting of Sky. This acceptance condition is not waivable by Comcast.</w:t>
      </w:r>
    </w:p>
    <w:p>
      <w:pPr>
        <w:spacing w:after="0" w:line="18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Acquisition is also conditional on the receipt of various other antitrust and foreign investment approvals, other regulatory consents and waivers or non-exercise of any termination rights, preemption rights, rights of first refusal or similar rights in a number of jurisdictions, including (where required), Ireland, Austria, Germany, Italy and Jersey. The relevant Conditions are contained in paragraphs 7 to 13 (inclusive) of Part 1 of Appendix II. Comcast has begun the processes to satisfy such Conditions. The Condition contained in paragraph 11 of Part 1 of Appendix II is not waivable by Comcast.</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Acquisition</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financing of the Cash Consideration payable to Sky Shareholders pursuant to the Acquisition, Comcast has entered into the following credit agreements arranged by Merrill Lynch, Pierce, Fenner &amp; Smith Incorporated and Wells Fargo Securities, LLC: (i) an unsecured bridge credit agreement in an aggregate principal amount of up to £16,000,000,000 and (ii) an unsecured term loan credit agreement in an aggregate principal amount of up to £7,000,000,000.</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Under the terms of each credit agreement, Comcast has agreed that it will not amend, treat as satisfied or waive any term or condition without the consent of the lenders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1" w:name="page302"/>
    <w:bookmarkEnd w:id="301"/>
    <w:p>
      <w:pPr>
        <w:jc w:val="both"/>
        <w:ind w:left="660"/>
        <w:spacing w:after="0" w:line="264" w:lineRule="auto"/>
        <w:rPr>
          <w:sz w:val="20"/>
          <w:szCs w:val="20"/>
          <w:color w:val="auto"/>
        </w:rPr>
      </w:pPr>
      <w:r>
        <w:rPr>
          <w:rFonts w:ascii="Arial" w:cs="Arial" w:eastAsia="Arial" w:hAnsi="Arial"/>
          <w:sz w:val="18"/>
          <w:szCs w:val="18"/>
          <w:color w:val="auto"/>
        </w:rPr>
        <w:t>consent not to be unreasonably withheld, conditioned or delayed) if to do so would be materially prejudicial to the interests of the lenders under the relevant credit agreement, save as required pursuant to the City Code, the Panel, any other competent regulatory body or by a court of competent jurisdiction.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 is currently envisaged that the commitments under the bridge credit agreement will be replaced, in whole or in part, by senior unsecured notes issued by Comcast or one of its subsidiaries in a public offering or private placement.</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Robey Warshaw, financial adviser to Comcast, is satisfied that sufficient resources are available to satisfy the full Cash Consideration payable to Sky Shareholders under the terms of the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information on the financing of the Acquisition will be set out in the Offer Document.</w:t>
      </w:r>
    </w:p>
    <w:p>
      <w:pPr>
        <w:spacing w:after="0" w:line="221"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Offer-related arrangements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Sky and Comcast entered into the Confidentiality Agreement dated 6 March 2018 pursuant to which each of Sky and Comcast has undertaken, among other things, to keep certain information confidential and not to disclose it to third parties (other than to permitted persons) unless required by law or regulation. These confidentiality obligations will remain in force for a period of two years from the date of the Confidentiality Agreement with the exception of information concerning the existence and contents of the discussions between the parties about the Acquisition, which will remain in force for as long as such information remains confidential.</w:t>
      </w:r>
    </w:p>
    <w:p>
      <w:pPr>
        <w:spacing w:after="0" w:line="184" w:lineRule="exact"/>
        <w:rPr>
          <w:rFonts w:ascii="Arial" w:cs="Arial" w:eastAsia="Arial" w:hAnsi="Arial"/>
          <w:sz w:val="18"/>
          <w:szCs w:val="18"/>
          <w:b w:val="1"/>
          <w:bCs w:val="1"/>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 in Sky Shares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at the close of business on 24 April 2018, being the last Business Day prior to the date of this Announcement, none of Comcast nor any of its directors, nor, so far as the directors of Comcast are aware, any person acting, or deemed to be acting, in concert (within the meaning of the City Code) with Comcast, had:</w:t>
      </w:r>
    </w:p>
    <w:p>
      <w:pPr>
        <w:spacing w:after="0" w:line="181"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interest in, or right to subscribe for, any relevant securities of Sky;</w:t>
      </w:r>
    </w:p>
    <w:p>
      <w:pPr>
        <w:spacing w:after="0" w:line="225" w:lineRule="exact"/>
        <w:rPr>
          <w:rFonts w:ascii="Arial" w:cs="Arial" w:eastAsia="Arial" w:hAnsi="Arial"/>
          <w:sz w:val="18"/>
          <w:szCs w:val="18"/>
          <w:color w:val="auto"/>
        </w:rPr>
      </w:pPr>
    </w:p>
    <w:p>
      <w:pPr>
        <w:ind w:left="1140" w:hanging="484"/>
        <w:spacing w:after="0" w:line="342" w:lineRule="auto"/>
        <w:tabs>
          <w:tab w:leader="none" w:pos="11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any short position in (whether conditional or absolute and whether in the money or otherwise), including any short position under a derivative, any agreement to sell or any delivery obligation or right to require another person to purchase or take delivery of, relevant securities of Sky;</w:t>
      </w:r>
    </w:p>
    <w:p>
      <w:pPr>
        <w:spacing w:after="0" w:line="123" w:lineRule="exact"/>
        <w:rPr>
          <w:rFonts w:ascii="Arial" w:cs="Arial" w:eastAsia="Arial" w:hAnsi="Arial"/>
          <w:sz w:val="16"/>
          <w:szCs w:val="16"/>
          <w:color w:val="auto"/>
        </w:rPr>
      </w:pPr>
    </w:p>
    <w:p>
      <w:pPr>
        <w:ind w:left="1140" w:hanging="484"/>
        <w:spacing w:after="0"/>
        <w:tabs>
          <w:tab w:leader="none" w:pos="114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procured an irrevocable commitment or letter of intent to accept the terms of the Acquisition in respect of relevant securities of Sky; or</w:t>
      </w:r>
    </w:p>
    <w:p>
      <w:pPr>
        <w:spacing w:after="0" w:line="236" w:lineRule="exact"/>
        <w:rPr>
          <w:rFonts w:ascii="Arial" w:cs="Arial" w:eastAsia="Arial" w:hAnsi="Arial"/>
          <w:sz w:val="17"/>
          <w:szCs w:val="17"/>
          <w:color w:val="auto"/>
        </w:rPr>
      </w:pPr>
    </w:p>
    <w:p>
      <w:pPr>
        <w:ind w:left="1140" w:hanging="484"/>
        <w:spacing w:after="0" w:line="277" w:lineRule="auto"/>
        <w:tabs>
          <w:tab w:leader="none" w:pos="114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borrowed or lent any such securities (including, for these purposes, any financial collateral arrangements of the kind referred to in Note 4 on Rule 2.6 of the City Code).</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Furthermore, no dealing arrangement (of the kind referred to in Note 11 of the definition of “acting in concert” in the City Code) exists between Comcast (or any person acting in concert with it) and Sky in relation to Sky Shares. For these purposes, a dealing arrangement includes any indemnity or option arrangement, any agreement or understanding, formal or informal, of whatever nature, relating to Sky Shares which may be an inducement to deal or refrain from dealing in such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2" w:name="page303"/>
    <w:bookmarkEnd w:id="302"/>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of the Acquisition</w:t>
      </w:r>
    </w:p>
    <w:p>
      <w:pPr>
        <w:spacing w:after="0" w:line="229"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It is intended that the Acquisition will be implemented by way of a takeover offer under Part 28 of the Companies Act and under the City Code. Comcast’s current intention is for a wholly-owned subsidiary of Comcast to acquire the Sky Shares pursuant to the Acquisition.</w:t>
      </w:r>
    </w:p>
    <w:p>
      <w:pPr>
        <w:spacing w:after="0" w:line="14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Sky Shares shall be acquired by Comcast (or its nominee, a wholly-owned subsidiary of Comcast) under the Acquisition fully paid and free from all liens, equities, charges, encumbrances, options, rights of pre-emption and any other third party rights and interests of any nature and together with all rights now or hereafter attaching or accruing to them, including voting rights and the right to receive and retain in full all dividends and other distributions (if any) declared, made or paid on or after the Effective Date.</w:t>
      </w:r>
    </w:p>
    <w:p>
      <w:pPr>
        <w:spacing w:after="0" w:line="18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Offer Document and Form of Acceptance will include full details of the Acquisition and the expected timetable, and will specify the actions to be taken by Sky Shareholders in connection with the Acquisition. It is expected that the Offer Document will be dispatched to Sky Shareholders within 28 days after the date on which the last of the Pre-Conditions to be satisfied (or waived) is so satisfied (or waived), unless extended by Comcast with the consent of the Panel.</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Sky Shareholders are urged to read the Offer Document and the accompanying Form of Acceptance when they are sent to them because they will contain important information. An indicative timetable setting out the expected dates for implementation of the Acquisition will be included in the Offer Document.</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Compulsory acquisition, de-listing and re-registration</w:t>
      </w:r>
    </w:p>
    <w:p>
      <w:pPr>
        <w:spacing w:after="0" w:line="229"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Comcast receives acceptances under the Offer in respect of, and/or otherwise acquires, both 90 per cent. or more in nominal value of the Sky Shares to which the Offer relates and 90 per cent. or more of the voting rights carried by those shares, and assuming that all of the other Conditions of the Acquisition have been satisfied or waived (if capable of being waived), Comcast intends to exercise its rights in accordance with Sections 974 to 991 of the Companies Act to acquire compulsorily the remaining Sky Shares on the same terms as the Acquisition.</w:t>
      </w:r>
    </w:p>
    <w:p>
      <w:pPr>
        <w:spacing w:after="0" w:line="171"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Following the Acquisition becoming or being declared unconditional in all respects, if Comcast receives acceptances under the Offer in respect of, and/or otherwise acquires or agrees to acquire 75 per cent. or more of the voting rights carried by the Sky Shares or the appropriate special resolutions are otherwise passed, and subject to any applicable requirements of the UK Listing Authority, it is intended that Comcast will procure that Sky makes applications to cancel the listing of Sky Shares on the UK Listing Authority’s Official List, to cancel trading in Sky Shares on the London Stock Exchange’s main market for listed securities and to re-register Sky as a private limited company.</w:t>
      </w:r>
    </w:p>
    <w:p>
      <w:pPr>
        <w:spacing w:after="0" w:line="172"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Delisting of the Sky Shares and the re-registration of Sky as a private limited company would significantly reduce the liquidity and marketability of any Sky Shares in respect of which the Offer has not been accepted at that time. Any remaining Sky Shareholders would become minority shareholders in a majority controlled private limited company and may therefore be unable to sell their Sky Shares. There can be no certainty that Sky would pay any further dividends or other distributions or that such minority Sky Shareholders would again be offered an opportunity to sell their Sky Shares on terms which are equivalent to or no less advantageous than those under the Offer.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3" w:name="page304"/>
    <w:bookmarkEnd w:id="303"/>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Sky Share Plans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Subject to applicable confidentiality, legal and regulatory requirements, Comcast intends to request from Sky such details in relation to the Sky Share Plans as Comcast may reasonably require in order to make appropriate proposals to the participants in the Sky Share Plans, as provided for in Rule 15 of the City Code, including the proposals as set out in Appendix III.</w:t>
      </w:r>
    </w:p>
    <w:p>
      <w:pPr>
        <w:spacing w:after="0" w:line="181"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in any of the Sky Share Plans will be contacted in due course regarding the proposals to be made to them and their rights under those plans.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Sky ADRs</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Comcast is offering to purchase all Sky Shares, including those underlying and represented by Sky ADRs. Details of participation by Sky ADR Holders in the Acquisition will be set out in the Offer Document.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Overseas Shareholders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availability of the Offer, and the distribution of this Announcement to persons not resident in the United Kingdom may be affected by the laws of the relevant jurisdictions in which such persons are resident. Such persons should inform themselves about, and observe, any applicable legal and regulatory requirements of their jurisdiction.</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Further details in relation to Overseas Shareholders will be contained in the Offer Document. Sky Shareholders who are in any doubt about such matters should consult an appropriate independent professional adviser in the relevant jurisdiction without delay.</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website</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Copies of the following documents will by no later than 12.00 p.m. on 26 April 2018 be published on Comcast’s website (www.cmcsa.com/proposal-for-sky):</w:t>
      </w:r>
    </w:p>
    <w:p>
      <w:pPr>
        <w:spacing w:after="0" w:line="170"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this Announcement;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Confidentiality Agreement referred to in paragraph 11 above;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Comcast’s financing arrangements in connection with the Acquisition as referred to in paragraph 10 above.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deciding whether or not to accept the Offer in respect of their Sky Shares, Sky Shareholders should rely on the information contained, and follow the procedures described, in the Offer Document and the Form of Acceptance.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Each of Comcast’s financial advisers has given and not withdrawn its consent to the publication of this Announcement with the inclusion herein of the references to its name in the form and context in which it appears.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7580" w:type="dxa"/>
            <w:vAlign w:val="bottom"/>
          </w:tcPr>
          <w:p>
            <w:pPr>
              <w:spacing w:after="0"/>
              <w:rPr>
                <w:sz w:val="20"/>
                <w:szCs w:val="20"/>
                <w:color w:val="auto"/>
              </w:rPr>
            </w:pPr>
          </w:p>
        </w:tc>
      </w:tr>
      <w:tr>
        <w:trPr>
          <w:trHeight w:val="418"/>
        </w:trPr>
        <w:tc>
          <w:tcPr>
            <w:tcW w:w="384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7580" w:type="dxa"/>
            <w:vAlign w:val="bottom"/>
          </w:tcPr>
          <w:p>
            <w:pPr>
              <w:spacing w:after="0"/>
              <w:rPr>
                <w:sz w:val="24"/>
                <w:szCs w:val="24"/>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D’Arcy Rudnay (Media)</w:t>
            </w:r>
          </w:p>
        </w:tc>
        <w:tc>
          <w:tcPr>
            <w:tcW w:w="7580" w:type="dxa"/>
            <w:vAlign w:val="bottom"/>
          </w:tcPr>
          <w:p>
            <w:pPr>
              <w:ind w:left="1880"/>
              <w:spacing w:after="0"/>
              <w:rPr>
                <w:sz w:val="20"/>
                <w:szCs w:val="20"/>
                <w:color w:val="auto"/>
              </w:rPr>
            </w:pPr>
            <w:r>
              <w:rPr>
                <w:rFonts w:ascii="Arial" w:cs="Arial" w:eastAsia="Arial" w:hAnsi="Arial"/>
                <w:sz w:val="18"/>
                <w:szCs w:val="18"/>
                <w:color w:val="auto"/>
              </w:rPr>
              <w:t>Tel: +1 215 286 8582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7580" w:type="dxa"/>
            <w:vAlign w:val="bottom"/>
          </w:tcPr>
          <w:p>
            <w:pPr>
              <w:ind w:left="1880"/>
              <w:spacing w:after="0"/>
              <w:rPr>
                <w:sz w:val="20"/>
                <w:szCs w:val="20"/>
                <w:color w:val="auto"/>
              </w:rPr>
            </w:pPr>
            <w:r>
              <w:rPr>
                <w:rFonts w:ascii="Arial" w:cs="Arial" w:eastAsia="Arial" w:hAnsi="Arial"/>
                <w:sz w:val="18"/>
                <w:szCs w:val="18"/>
                <w:color w:val="auto"/>
              </w:rPr>
              <w:t>Tel: +1 215 286 7972</w:t>
            </w:r>
          </w:p>
        </w:tc>
      </w:tr>
      <w:tr>
        <w:trPr>
          <w:trHeight w:val="230"/>
        </w:trPr>
        <w:tc>
          <w:tcPr>
            <w:tcW w:w="3840" w:type="dxa"/>
            <w:vAlign w:val="bottom"/>
            <w:tcBorders>
              <w:bottom w:val="single" w:sz="8" w:color="auto"/>
            </w:tcBorders>
          </w:tcPr>
          <w:p>
            <w:pPr>
              <w:spacing w:after="0"/>
              <w:rPr>
                <w:sz w:val="20"/>
                <w:szCs w:val="20"/>
                <w:color w:val="auto"/>
              </w:rPr>
            </w:pPr>
          </w:p>
        </w:tc>
        <w:tc>
          <w:tcPr>
            <w:tcW w:w="758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581"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color w:val="auto"/>
        </w:rPr>
        <w:t>Robey Warshaw</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Simon Robey / Simon Warshaw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Tel: +44 20 7317 3900</w:t>
      </w:r>
    </w:p>
    <w:p>
      <w:pPr>
        <w:spacing w:after="0" w:line="214" w:lineRule="exact"/>
        <w:rPr>
          <w:sz w:val="20"/>
          <w:szCs w:val="20"/>
          <w:color w:val="auto"/>
        </w:rPr>
      </w:pPr>
    </w:p>
    <w:p>
      <w:pPr>
        <w:sectPr>
          <w:pgSz w:w="11900" w:h="16838" w:orient="portrait"/>
          <w:cols w:equalWidth="0" w:num="2">
            <w:col w:w="5100" w:space="720"/>
            <w:col w:w="5600"/>
          </w:cols>
          <w:pgMar w:left="240" w:top="796" w:right="2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Roger Altman / Eduardo Mestre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+1 212 857 3100</w:t>
      </w:r>
    </w:p>
    <w:p>
      <w:pPr>
        <w:spacing w:after="0" w:line="214" w:lineRule="exact"/>
        <w:rPr>
          <w:sz w:val="20"/>
          <w:szCs w:val="20"/>
          <w:color w:val="auto"/>
        </w:rPr>
      </w:pPr>
    </w:p>
    <w:p>
      <w:pPr>
        <w:sectPr>
          <w:pgSz w:w="11900" w:h="16838" w:orient="portrait"/>
          <w:cols w:equalWidth="0" w:num="2">
            <w:col w:w="5100" w:space="720"/>
            <w:col w:w="5600"/>
          </w:cols>
          <w:pgMar w:left="240" w:top="796"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BofA Merrill Lynch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Adrian Mee / Tim Waddell (Corporate Broking)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+44 20 7628 1000</w:t>
      </w:r>
    </w:p>
    <w:p>
      <w:pPr>
        <w:spacing w:after="0" w:line="214" w:lineRule="exact"/>
        <w:rPr>
          <w:sz w:val="20"/>
          <w:szCs w:val="20"/>
          <w:color w:val="auto"/>
        </w:rPr>
      </w:pPr>
    </w:p>
    <w:p>
      <w:pPr>
        <w:sectPr>
          <w:pgSz w:w="11900" w:h="16838" w:orient="portrait"/>
          <w:cols w:equalWidth="0" w:num="2">
            <w:col w:w="5100" w:space="720"/>
            <w:col w:w="5600"/>
          </w:cols>
          <w:pgMar w:left="240" w:top="796"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Stephen Locke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Tel: +1 704 410 4766</w:t>
      </w:r>
    </w:p>
    <w:p>
      <w:pPr>
        <w:spacing w:after="0" w:line="214" w:lineRule="exact"/>
        <w:rPr>
          <w:sz w:val="20"/>
          <w:szCs w:val="20"/>
          <w:color w:val="auto"/>
        </w:rPr>
      </w:pPr>
    </w:p>
    <w:p>
      <w:pPr>
        <w:sectPr>
          <w:pgSz w:w="11900" w:h="16838" w:orient="portrait"/>
          <w:cols w:equalWidth="0" w:num="2">
            <w:col w:w="5100" w:space="720"/>
            <w:col w:w="5600"/>
          </w:cols>
          <w:pgMar w:left="240" w:top="796"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Tulchan Communications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Andrew Grant / Tom Murray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3960"/>
        <w:spacing w:after="0"/>
        <w:rPr>
          <w:sz w:val="20"/>
          <w:szCs w:val="20"/>
          <w:color w:val="auto"/>
        </w:rPr>
      </w:pPr>
      <w:r>
        <w:rPr>
          <w:rFonts w:ascii="Arial" w:cs="Arial" w:eastAsia="Arial" w:hAnsi="Arial"/>
          <w:sz w:val="16"/>
          <w:szCs w:val="16"/>
          <w:color w:val="auto"/>
        </w:rPr>
        <w:t>Tel: +44 20 7353 4200</w:t>
      </w:r>
    </w:p>
    <w:p>
      <w:pPr>
        <w:spacing w:after="0" w:line="214" w:lineRule="exact"/>
        <w:rPr>
          <w:sz w:val="20"/>
          <w:szCs w:val="20"/>
          <w:color w:val="auto"/>
        </w:rPr>
      </w:pPr>
    </w:p>
    <w:p>
      <w:pPr>
        <w:sectPr>
          <w:pgSz w:w="11900" w:h="16838" w:orient="portrait"/>
          <w:cols w:equalWidth="0" w:num="2">
            <w:col w:w="5100" w:space="720"/>
            <w:col w:w="5600"/>
          </w:cols>
          <w:pgMar w:left="240" w:top="796" w:right="2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 and Freshfields Bruckhaus Deringer LLP are retained as legal advisers to Comcast.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Robey Warshaw LLP (“</w:t>
      </w:r>
      <w:r>
        <w:rPr>
          <w:rFonts w:ascii="Arial" w:cs="Arial" w:eastAsia="Arial" w:hAnsi="Arial"/>
          <w:sz w:val="18"/>
          <w:szCs w:val="18"/>
          <w:b w:val="1"/>
          <w:bCs w:val="1"/>
          <w:color w:val="auto"/>
        </w:rPr>
        <w:t>Robey Warshaw</w:t>
      </w:r>
      <w:r>
        <w:rPr>
          <w:rFonts w:ascii="Arial" w:cs="Arial" w:eastAsia="Arial" w:hAnsi="Arial"/>
          <w:sz w:val="18"/>
          <w:szCs w:val="18"/>
          <w:color w:val="auto"/>
        </w:rPr>
        <w:t>”), which is authorised and regulated by the FCA in the United Kingdom, is acting exclusively as financial adviser to Comcast and no one else in connection with the matters referred to in this Announcement, and Robey Warshaw will not be responsible to anyone other than Comcast for providing the protections afforded to clients of Robey Warshaw or for providing advice in relation to the matters referred to in this Announcement, the contents of this Announcement or any other matter referred to herein.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Evercore Partners International LLP (“</w:t>
      </w:r>
      <w:r>
        <w:rPr>
          <w:rFonts w:ascii="Arial" w:cs="Arial" w:eastAsia="Arial" w:hAnsi="Arial"/>
          <w:sz w:val="18"/>
          <w:szCs w:val="18"/>
          <w:b w:val="1"/>
          <w:bCs w:val="1"/>
          <w:color w:val="auto"/>
        </w:rPr>
        <w:t>Evercore</w:t>
      </w:r>
      <w:r>
        <w:rPr>
          <w:rFonts w:ascii="Arial" w:cs="Arial" w:eastAsia="Arial" w:hAnsi="Arial"/>
          <w:sz w:val="18"/>
          <w:szCs w:val="18"/>
          <w:color w:val="auto"/>
        </w:rPr>
        <w:t>”), which is authorised and regulated in the United Kingdom by the FCA, is acting as financial adviser exclusively for Comcast and no one else in connection with the matters referred to in this Announcement and will not regard any other person as its client in relation to the matters referred to in this Announcement and will not be responsible to anyone other than Comcast for providing the protections afforded to clients of Evercore, nor for providing advice in relation to the matters referred to in this Announcement.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will not be responsible to anyone other than Comcast for providing the protections afforded to its clients or for providing advice in relation to the matters set out in this Announcement.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Wells Fargo Securities, LLC, a subsidiary of Wells Fargo &amp; Company, which is authorised by the Securities and Exchange Commission (SEC) and regulated by the Financial Industry Regulatory Authority and the SEC in the United States, is acting exclusively as co-financial adviser for Comcast and will not be responsible to anyone other than Comcast for providing the protections afforded to its clients or for providing advice in relation to the matters set out in this Announcement.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05" w:name="page306"/>
    <w:bookmarkEnd w:id="305"/>
    <w:p>
      <w:pPr>
        <w:jc w:val="both"/>
        <w:spacing w:after="0" w:line="276" w:lineRule="auto"/>
        <w:rPr>
          <w:sz w:val="20"/>
          <w:szCs w:val="20"/>
          <w:color w:val="auto"/>
        </w:rPr>
      </w:pPr>
      <w:r>
        <w:rPr>
          <w:rFonts w:ascii="Arial" w:cs="Arial" w:eastAsia="Arial" w:hAnsi="Arial"/>
          <w:sz w:val="17"/>
          <w:szCs w:val="17"/>
          <w:color w:val="auto"/>
        </w:rPr>
        <w:t>law. The Acquisition (if implemented pursuant to an Offer) will be implemented solely pursuant to the terms of the Offer Document and the accompanying Form of Acceptance, which will contain the full terms and conditions of the Acquisition, including details of how to accept the Offer. Any decision in respect of, or other response to, the Acquisition should be made only on the basis of the information contained in the Offer Document and the Form of Acceptance. Sky Shareholders are advised to read the formal documentation in relation to the Acquisition carefully once it has been dispatched. Each Sky Shareholder is urged to consult his or her independent professional adviser regarding the tax consequences of the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 communications from Sky may be provided to Comcast during the Offer Period as required under Section 4 of Appendix 4 of the City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is a public limited company incorporated in England. The Offer will be made to Sky Shareholders in the United States in compliance with the applicable U.S. tender offer rules under the U.S. Securities Exchange Act of 1934, as amended (the “</w:t>
      </w:r>
      <w:r>
        <w:rPr>
          <w:rFonts w:ascii="Arial" w:cs="Arial" w:eastAsia="Arial" w:hAnsi="Arial"/>
          <w:sz w:val="17"/>
          <w:szCs w:val="17"/>
          <w:b w:val="1"/>
          <w:bCs w:val="1"/>
          <w:color w:val="auto"/>
        </w:rPr>
        <w:t>U.S. Exchange Act</w:t>
      </w:r>
      <w:r>
        <w:rPr>
          <w:rFonts w:ascii="Arial" w:cs="Arial" w:eastAsia="Arial" w:hAnsi="Arial"/>
          <w:sz w:val="17"/>
          <w:szCs w:val="17"/>
          <w:color w:val="auto"/>
        </w:rPr>
        <w:t>”), including Regulation 14E thereunder taking into account no action relief granted by the U.S. Securities and Exchange Commission, and otherwise in accordance with the requirements of English law. Accordingly, the Offer will be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Comcast and its affiliates or brokers (acting as agents for Comcast or its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U.S. Securities and Exchange Commission from Rule 14e-5 under the U.S. Exchange Act and in compliance with the City Code.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7"/>
          <w:szCs w:val="17"/>
          <w:u w:val="single" w:color="auto"/>
          <w:color w:val="auto"/>
        </w:rPr>
        <w:t>www.londonstockexchange.com</w:t>
      </w:r>
      <w:r>
        <w:rPr>
          <w:rFonts w:ascii="Arial" w:cs="Arial" w:eastAsia="Arial" w:hAnsi="Arial"/>
          <w:sz w:val="17"/>
          <w:szCs w:val="17"/>
          <w:color w:val="auto"/>
        </w:rPr>
        <w: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Offer.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(a company incorporated in England), or its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its officers or directors, in a non-U.S. court for violations of U.S. law, including the U.S. securities laws. There is also substantial doubt as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6" w:name="page307"/>
    <w:bookmarkEnd w:id="306"/>
    <w:p>
      <w:pPr>
        <w:jc w:val="both"/>
        <w:spacing w:after="0" w:line="277" w:lineRule="auto"/>
        <w:rPr>
          <w:sz w:val="20"/>
          <w:szCs w:val="20"/>
          <w:color w:val="auto"/>
        </w:rPr>
      </w:pPr>
      <w:r>
        <w:rPr>
          <w:rFonts w:ascii="Arial" w:cs="Arial" w:eastAsia="Arial" w:hAnsi="Arial"/>
          <w:sz w:val="18"/>
          <w:szCs w:val="18"/>
          <w:color w:val="auto"/>
        </w:rPr>
        <w:t>enforceability in the United Kingdom in original actions, or in actions for the enforcement of judgments of U.S. courts, based on civil liability provisions of U.S.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City Code and the information disclosed may not be the same as that which would have been disclosed if this Announcement had been prepared in accordance with the laws of jurisdictions outside of England.</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determined by Comcast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any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will be contained in the Offer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Acquisition, and other information published by Comcast contain statements which are, or may be deemed to be, “forward-looking statements”.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07" w:name="page308"/>
    <w:bookmarkEnd w:id="307"/>
    <w:p>
      <w:pPr>
        <w:jc w:val="both"/>
        <w:spacing w:after="0" w:line="253" w:lineRule="auto"/>
        <w:rPr>
          <w:sz w:val="20"/>
          <w:szCs w:val="20"/>
          <w:color w:val="auto"/>
        </w:rPr>
      </w:pPr>
      <w:r>
        <w:rPr>
          <w:rFonts w:ascii="Arial" w:cs="Arial" w:eastAsia="Arial" w:hAnsi="Arial"/>
          <w:sz w:val="18"/>
          <w:szCs w:val="18"/>
          <w:color w:val="auto"/>
        </w:rPr>
        <w:t>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U.S. Securities and Exchange Commission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Neither Comcast nor any of its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Comcast is under no obligation, and Comcast expressly disclaims any intention or obligation to update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or Sky, as appropriate, for the current or future financial years would necessarily match or exceed the historical published cash flow from operations, free cash flow, earnings or earnings per share for Comcast or Sky,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City Code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 8.3(a) of the City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Rule 8.3(b) of the City Code, any person who is, or becomes, interested in one per cent. or more of any class of relevant securities of the offeree company or of any securities exchange offeror must make a dealing disclosure if the person deals in any relevant securities of the offeree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8" w:name="page309"/>
    <w:bookmarkEnd w:id="308"/>
    <w:p>
      <w:pPr>
        <w:jc w:val="both"/>
        <w:spacing w:after="0" w:line="259" w:lineRule="auto"/>
        <w:rPr>
          <w:sz w:val="20"/>
          <w:szCs w:val="20"/>
          <w:color w:val="auto"/>
        </w:rPr>
      </w:pPr>
      <w:r>
        <w:rPr>
          <w:rFonts w:ascii="Arial" w:cs="Arial" w:eastAsia="Arial" w:hAnsi="Arial"/>
          <w:sz w:val="18"/>
          <w:szCs w:val="18"/>
          <w:color w:val="auto"/>
        </w:rPr>
        <w:t>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Details of the offeree and offeror companies in respect of whose relevant securities Opening Position Disclosures and dealing disclosures must be made can be found in the Disclosure Table on the Panel’s website at www.thetakeoverpanel.org.uk,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City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and the documents required to be published pursuant to Rule 26 of the City Code will be available free of charge, subject to certain restrictions in relation to persons resident in Restricted Jurisdictions, on Comcast’s website at www.cmcsa.com/proposal-for-sky by no later than 12.00 noon (London time) on the business day following this Announcement. Neither the content of any website referred to in this Announcement nor the content of any website accessible from hyperlinks is incorporated into, or forms part of, this Announcement.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Sky Shareholders may request a hard copy of this Announcement by contacting Equiniti Limited on 0371 384 2091. Sky Shareholders may also request that all future documents, announcements and information to be sent to them in relation to the Acquisition should be in hard copy form. A hard copy of such documents, announcements (including this Announcement) and information will not be sent unless so requested.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times shown in this Announcement are London times, unless otherwise 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PRE-CONDITIONS TO THE ACQUISITION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posting of the Offer Document or making of an Offer will take place following the satisfaction or waiver of the Pre-Conditions below, and Comcast shall be entitled to waive each of the following PreConditions in whole or in part:</w:t>
      </w:r>
    </w:p>
    <w:p>
      <w:pPr>
        <w:spacing w:after="0" w:line="170" w:lineRule="exact"/>
        <w:rPr>
          <w:sz w:val="20"/>
          <w:szCs w:val="20"/>
          <w:color w:val="auto"/>
        </w:rPr>
      </w:pPr>
    </w:p>
    <w:p>
      <w:pPr>
        <w:jc w:val="both"/>
        <w:ind w:left="660" w:hanging="652"/>
        <w:spacing w:after="0" w:line="259"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European Commission deciding, in terms satisfactory to Comcast, that the Acquisition or any matter arising from or relating to the Acquisition or the Comcast Group’s involvement in the Acquisition does not fall within the scope of application of EU merger control pursuant to Article 6(1)(a) of the EU Merger Regulation or is compatible with the internal market pursuant to Article 6(1)(b), 6(2) or 8(1) or 8(2) of the EU Merger Regulation or having been deemed to have done so under Article 10(6) of the EU Merger Regulation;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the Secretary of State issues a European intervention notice under Section 67 of the Enterprise Act 2002:</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Secretary of State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60" w:hanging="655"/>
        <w:spacing w:after="0" w:line="342" w:lineRule="auto"/>
        <w:tabs>
          <w:tab w:leader="none" w:pos="1960" w:val="left"/>
        </w:tabs>
        <w:numPr>
          <w:ilvl w:val="2"/>
          <w:numId w:val="278"/>
        </w:numPr>
        <w:rPr>
          <w:rFonts w:ascii="Arial" w:cs="Arial" w:eastAsia="Arial" w:hAnsi="Arial"/>
          <w:sz w:val="16"/>
          <w:szCs w:val="16"/>
          <w:color w:val="auto"/>
        </w:rPr>
      </w:pPr>
      <w:r>
        <w:rPr>
          <w:rFonts w:ascii="Arial" w:cs="Arial" w:eastAsia="Arial" w:hAnsi="Arial"/>
          <w:sz w:val="16"/>
          <w:szCs w:val="16"/>
          <w:color w:val="auto"/>
        </w:rPr>
        <w:t>the expiry of the time limit within which an application may be made to the CAT for the setting aside of a decision by the Secretary of State not to make a Phase 2 CMA Reference in relation to the Acquisition without such an application having been made; or</w:t>
      </w:r>
    </w:p>
    <w:p>
      <w:pPr>
        <w:spacing w:after="0" w:line="123"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 established in terms satisfactory to Comcast that no further appeal has been or will be made against any relevant ruling of the CAT;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the Secretary of State decides to make a Phase 2 CMA Reference in relation to the Acquisition: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278"/>
        </w:numPr>
        <w:rPr>
          <w:rFonts w:ascii="Arial" w:cs="Arial" w:eastAsia="Arial" w:hAnsi="Arial"/>
          <w:sz w:val="17"/>
          <w:szCs w:val="17"/>
          <w:color w:val="auto"/>
        </w:rPr>
      </w:pPr>
      <w:r>
        <w:rPr>
          <w:rFonts w:ascii="Arial" w:cs="Arial" w:eastAsia="Arial" w:hAnsi="Arial"/>
          <w:sz w:val="17"/>
          <w:szCs w:val="17"/>
          <w:color w:val="auto"/>
        </w:rPr>
        <w:t>the Secretary of State deciding in terms satisfactory to Comcast that the Acquisition will not result in the creation of a European relevant merger situation that may be expected to operate against the public interest; or</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3"/>
          <w:numId w:val="278"/>
        </w:numPr>
        <w:rPr>
          <w:rFonts w:ascii="Arial" w:cs="Arial" w:eastAsia="Arial" w:hAnsi="Arial"/>
          <w:sz w:val="18"/>
          <w:szCs w:val="18"/>
          <w:color w:val="auto"/>
        </w:rPr>
      </w:pPr>
      <w:r>
        <w:rPr>
          <w:rFonts w:ascii="Arial" w:cs="Arial" w:eastAsia="Arial" w:hAnsi="Arial"/>
          <w:sz w:val="18"/>
          <w:szCs w:val="18"/>
          <w:color w:val="auto"/>
        </w:rPr>
        <w:t>the Secretary of State allowing the Acquisition to proceed on terms satisfactory to Comcast; and</w:t>
      </w:r>
    </w:p>
    <w:p>
      <w:pPr>
        <w:spacing w:after="0" w:line="225"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any such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 request under Article 9(2) of the EU Merger Regulation has been made by the United Kingdom and the European Commission has referred the Acquisition, in whole or in part, to the CMA: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0" w:name="page311"/>
    <w:bookmarkEnd w:id="310"/>
    <w:p>
      <w:pPr>
        <w:jc w:val="both"/>
        <w:ind w:left="1300" w:hanging="644"/>
        <w:spacing w:after="0" w:line="259" w:lineRule="auto"/>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to the extent that the European Commission retains jurisdiction over any part of the Acquisition, the European Commission deciding, in terms satisfactory to Comcast, that the Acquisition or any matter arising from or relating to the Acquisition or the Comcast Group’s involvement in the Acquisition is compatible with the internal market pursuant to Article 6(1)(b), 6(2) or 8(1) or 8(2) of the EU Merger Regulation or having been deemed to have done so under Article 10(6) of the EU Merger Regulation;</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CMA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 established in terms satisfactory to Comcast that no further appeal has been or will be made against any relevant ruling of the CAT;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if the CMA decides to make a Phase 2 CMA Reference in relation to the Acquisition: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3"/>
          <w:numId w:val="279"/>
        </w:numPr>
        <w:rPr>
          <w:rFonts w:ascii="Arial" w:cs="Arial" w:eastAsia="Arial" w:hAnsi="Arial"/>
          <w:sz w:val="18"/>
          <w:szCs w:val="18"/>
          <w:color w:val="auto"/>
        </w:rPr>
      </w:pPr>
      <w:r>
        <w:rPr>
          <w:rFonts w:ascii="Arial" w:cs="Arial" w:eastAsia="Arial" w:hAnsi="Arial"/>
          <w:sz w:val="18"/>
          <w:szCs w:val="18"/>
          <w:color w:val="auto"/>
        </w:rPr>
        <w:t>the CMA concluding that the Acquisition will not result in the creation of a relevant merger situation that may be expected to result in a substantial lessening of competition within any market or markets in the United Kingdom for goods or services;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3"/>
          <w:numId w:val="279"/>
        </w:numPr>
        <w:rPr>
          <w:rFonts w:ascii="Arial" w:cs="Arial" w:eastAsia="Arial" w:hAnsi="Arial"/>
          <w:sz w:val="18"/>
          <w:szCs w:val="18"/>
          <w:color w:val="auto"/>
        </w:rPr>
      </w:pPr>
      <w:r>
        <w:rPr>
          <w:rFonts w:ascii="Arial" w:cs="Arial" w:eastAsia="Arial" w:hAnsi="Arial"/>
          <w:sz w:val="18"/>
          <w:szCs w:val="18"/>
          <w:color w:val="auto"/>
        </w:rPr>
        <w:t>the CMA allowing the Acquisition to proceed on terms satisfactory to Comcast; and</w:t>
      </w:r>
    </w:p>
    <w:p>
      <w:pPr>
        <w:spacing w:after="0" w:line="225"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 and</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the Secretary of State issues an intervention notice under Section 42 of the Enterprise Act 2002:</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Secretary of State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1" w:name="page312"/>
    <w:bookmarkEnd w:id="311"/>
    <w:p>
      <w:pPr>
        <w:ind w:left="1304"/>
        <w:spacing w:after="0" w:line="277" w:lineRule="auto"/>
        <w:rPr>
          <w:sz w:val="20"/>
          <w:szCs w:val="20"/>
          <w:color w:val="auto"/>
        </w:rPr>
      </w:pPr>
      <w:r>
        <w:rPr>
          <w:rFonts w:ascii="Arial" w:cs="Arial" w:eastAsia="Arial" w:hAnsi="Arial"/>
          <w:sz w:val="18"/>
          <w:szCs w:val="18"/>
          <w:color w:val="auto"/>
        </w:rPr>
        <w:t>established in terms satisfactory to Comcast that no further appeal has been or will be made against any relevant ruling of the CAT; or</w:t>
      </w:r>
    </w:p>
    <w:p>
      <w:pPr>
        <w:spacing w:after="0" w:line="170" w:lineRule="exact"/>
        <w:rPr>
          <w:sz w:val="20"/>
          <w:szCs w:val="20"/>
          <w:color w:val="auto"/>
        </w:rPr>
      </w:pPr>
    </w:p>
    <w:p>
      <w:pPr>
        <w:ind w:left="644" w:hanging="644"/>
        <w:spacing w:after="0"/>
        <w:tabs>
          <w:tab w:leader="none" w:pos="64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Secretary of State decides to make a Phase 2 CMA Reference in relation to the Acquisition:</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281"/>
        </w:numPr>
        <w:rPr>
          <w:rFonts w:ascii="Arial" w:cs="Arial" w:eastAsia="Arial" w:hAnsi="Arial"/>
          <w:sz w:val="18"/>
          <w:szCs w:val="18"/>
          <w:color w:val="auto"/>
        </w:rPr>
      </w:pPr>
      <w:r>
        <w:rPr>
          <w:rFonts w:ascii="Arial" w:cs="Arial" w:eastAsia="Arial" w:hAnsi="Arial"/>
          <w:sz w:val="18"/>
          <w:szCs w:val="18"/>
          <w:color w:val="auto"/>
        </w:rPr>
        <w:t>the Secretary of State deciding in terms satisfactory to Comcast that the Acquisition will not result in the creation of a relevant merger situation that may be expected to operate against the public interest;</w:t>
      </w:r>
    </w:p>
    <w:p>
      <w:pPr>
        <w:spacing w:after="0" w:line="170" w:lineRule="exact"/>
        <w:rPr>
          <w:rFonts w:ascii="Arial" w:cs="Arial" w:eastAsia="Arial" w:hAnsi="Arial"/>
          <w:sz w:val="18"/>
          <w:szCs w:val="18"/>
          <w:color w:val="auto"/>
        </w:rPr>
      </w:pPr>
    </w:p>
    <w:p>
      <w:pPr>
        <w:ind w:left="1944" w:hanging="647"/>
        <w:spacing w:after="0"/>
        <w:tabs>
          <w:tab w:leader="none" w:pos="1944" w:val="left"/>
        </w:tabs>
        <w:numPr>
          <w:ilvl w:val="2"/>
          <w:numId w:val="281"/>
        </w:numPr>
        <w:rPr>
          <w:rFonts w:ascii="Arial" w:cs="Arial" w:eastAsia="Arial" w:hAnsi="Arial"/>
          <w:sz w:val="18"/>
          <w:szCs w:val="18"/>
          <w:color w:val="auto"/>
        </w:rPr>
      </w:pPr>
      <w:r>
        <w:rPr>
          <w:rFonts w:ascii="Arial" w:cs="Arial" w:eastAsia="Arial" w:hAnsi="Arial"/>
          <w:sz w:val="18"/>
          <w:szCs w:val="18"/>
          <w:color w:val="auto"/>
        </w:rPr>
        <w:t>the Secretary of State allowing the Acquisition to proceed on terms satisfactory to Comcast; or</w:t>
      </w:r>
    </w:p>
    <w:p>
      <w:pPr>
        <w:spacing w:after="0" w:line="225" w:lineRule="exact"/>
        <w:rPr>
          <w:rFonts w:ascii="Arial" w:cs="Arial" w:eastAsia="Arial" w:hAnsi="Arial"/>
          <w:sz w:val="18"/>
          <w:szCs w:val="18"/>
          <w:color w:val="auto"/>
        </w:rPr>
      </w:pPr>
    </w:p>
    <w:p>
      <w:pPr>
        <w:ind w:left="1944" w:hanging="647"/>
        <w:spacing w:after="0" w:line="308" w:lineRule="auto"/>
        <w:tabs>
          <w:tab w:leader="none" w:pos="1944" w:val="left"/>
        </w:tabs>
        <w:numPr>
          <w:ilvl w:val="2"/>
          <w:numId w:val="281"/>
        </w:numPr>
        <w:rPr>
          <w:rFonts w:ascii="Arial" w:cs="Arial" w:eastAsia="Arial" w:hAnsi="Arial"/>
          <w:sz w:val="17"/>
          <w:szCs w:val="17"/>
          <w:color w:val="auto"/>
        </w:rPr>
      </w:pPr>
      <w:r>
        <w:rPr>
          <w:rFonts w:ascii="Arial" w:cs="Arial" w:eastAsia="Arial" w:hAnsi="Arial"/>
          <w:sz w:val="17"/>
          <w:szCs w:val="17"/>
          <w:color w:val="auto"/>
        </w:rPr>
        <w:t>in the event the Secretary of State decides to make no finding at all in relation to the Acquisition (pursuant to Section 54(2) of the Enterprise Act 2002), the CMA allowing the Acquisition to proceed on terms satisfactory to Comcast; and</w:t>
      </w:r>
    </w:p>
    <w:p>
      <w:pPr>
        <w:spacing w:after="0" w:line="146" w:lineRule="exact"/>
        <w:rPr>
          <w:rFonts w:ascii="Arial" w:cs="Arial" w:eastAsia="Arial" w:hAnsi="Arial"/>
          <w:sz w:val="17"/>
          <w:szCs w:val="17"/>
          <w:color w:val="auto"/>
        </w:rPr>
      </w:pPr>
    </w:p>
    <w:p>
      <w:pPr>
        <w:jc w:val="both"/>
        <w:ind w:left="1304" w:hanging="655"/>
        <w:spacing w:after="0" w:line="259" w:lineRule="auto"/>
        <w:tabs>
          <w:tab w:leader="none" w:pos="130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5" w:right="2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AND CERTAIN FURTHER TERMS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1</w:t>
      </w:r>
      <w:r>
        <w:rPr>
          <w:sz w:val="20"/>
          <w:szCs w:val="20"/>
          <w:color w:val="auto"/>
        </w:rPr>
        <w:tab/>
      </w:r>
      <w:r>
        <w:rPr>
          <w:rFonts w:ascii="Arial" w:cs="Arial" w:eastAsia="Arial" w:hAnsi="Arial"/>
          <w:sz w:val="16"/>
          <w:szCs w:val="16"/>
          <w:b w:val="1"/>
          <w:bCs w:val="1"/>
          <w:color w:val="auto"/>
        </w:rPr>
        <w:t>Conditions to the Acquisition</w:t>
      </w:r>
    </w:p>
    <w:p>
      <w:pPr>
        <w:spacing w:after="0" w:line="229" w:lineRule="exact"/>
        <w:rPr>
          <w:sz w:val="20"/>
          <w:szCs w:val="20"/>
          <w:color w:val="auto"/>
        </w:rPr>
      </w:pPr>
    </w:p>
    <w:p>
      <w:pPr>
        <w:jc w:val="center"/>
        <w:ind w:right="8400"/>
        <w:spacing w:after="0"/>
        <w:rPr>
          <w:sz w:val="20"/>
          <w:szCs w:val="20"/>
          <w:color w:val="auto"/>
        </w:rPr>
      </w:pPr>
      <w:r>
        <w:rPr>
          <w:rFonts w:ascii="Arial" w:cs="Arial" w:eastAsia="Arial" w:hAnsi="Arial"/>
          <w:sz w:val="17"/>
          <w:szCs w:val="17"/>
          <w:color w:val="auto"/>
        </w:rPr>
        <w:t>The Acquisition will be conditional upon: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Acceptance Condition</w:t>
      </w:r>
    </w:p>
    <w:p>
      <w:pPr>
        <w:spacing w:after="0" w:line="229" w:lineRule="exact"/>
        <w:rPr>
          <w:sz w:val="20"/>
          <w:szCs w:val="20"/>
          <w:color w:val="auto"/>
        </w:rPr>
      </w:pPr>
    </w:p>
    <w:p>
      <w:pPr>
        <w:jc w:val="both"/>
        <w:ind w:left="660" w:hanging="652"/>
        <w:spacing w:after="0" w:line="257"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valid acceptances of the Offer having been received (and not, where permitted, withdrawn) by no later than 1.00 p.m. on the first closing date of the Offer as specified in the Offer Document (or such later times and/or dates as Comcast may, subject to the rules of the City Code or with the consent of the Panel, decide) in respect of Sky Shares which, taken together with all other Sky Shares which Comcast (and/or its nominee(s)) has acquired or agreed to acquire (whether pursuant to the Offer or otherwise), carry in aggregate more than 50 per cent. of the voting rights then normally exercisable at a general meeting of Sky;</w:t>
      </w:r>
    </w:p>
    <w:p>
      <w:pPr>
        <w:spacing w:after="0" w:line="1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the purposes of this Condition 1:</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Sky Shares which have been unconditionally allotted but not issued before the Offer becomes or is declared unconditional as to acceptances, whether pursuant to the exercise of any outstanding subscription or conversion rights or otherwise, shall be deemed to carry the voting rights they will carry upon issue;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valid acceptances shall be deemed to have been received in respect of Sky Shares which are treated for the purposes of Part 28 of the Companies Act as having been acquired or contracted to be acquired by Comcast, whether by virtue of acceptance of the Offer or otherwise;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all percentages of voting rights and share capital are to be calculated by reference to the percentage held and in issue outside treasury;</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Acquisition will be conditional upon the following Conditions and, accordingly, the Offer will not become or be declared wholly unconditional unless the following Conditions (as amended if appropriate) have been satisfied or, where relevant, waived: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European Commission deciding, in terms satisfactory to Comcast, that the Acquisition or any matter arising from or relating to the Acquisition or the Comcast Group’s involvement in the Acquisition does not fall within the scope of application of EU merger control pursuant to Article 6(1)(a) of the EU Merger Regulation or is compatible with the internal market pursuant to Article 6(1)(b), 6(2) or 8(1) or 8(2) of the EU Merger Regulation or having been deemed to have done so under Article 10(6) of the EU Merger Regulation;</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the event that the European Commission has issued a decision (or is deemed to have done so) that the whole or part of the Acquisition is to be referred to a competent authority of one or more Member States under Article 9 of the EU Merger Regulation:</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to the extent that the European Commission retains jurisdiction over any part of the Acquisition or any matter arising from or relating to the Acquisition or the Comcast Group’s involvement in the Acquisition, the European Commission deciding, in terms satisfactory to Comcast, that the Acquisition or any matter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3" w:name="page314"/>
    <w:bookmarkEnd w:id="313"/>
    <w:p>
      <w:pPr>
        <w:jc w:val="both"/>
        <w:ind w:left="644"/>
        <w:spacing w:after="0" w:line="264" w:lineRule="auto"/>
        <w:rPr>
          <w:sz w:val="20"/>
          <w:szCs w:val="20"/>
          <w:color w:val="auto"/>
        </w:rPr>
      </w:pPr>
      <w:r>
        <w:rPr>
          <w:rFonts w:ascii="Arial" w:cs="Arial" w:eastAsia="Arial" w:hAnsi="Arial"/>
          <w:sz w:val="18"/>
          <w:szCs w:val="18"/>
          <w:color w:val="auto"/>
        </w:rPr>
        <w:t>arising from or relating to the Acquisition or the Comcast Group’s involvement in the Acquisition is compatible with the internal market pursuant to Article 6(1)(b), 6(2) or 8(1) or 8(2) of the EU Merger Regulation or having been deemed to have done so under Article 10(6) of the EU Merger Regulation;</w:t>
      </w:r>
    </w:p>
    <w:p>
      <w:pPr>
        <w:spacing w:after="0" w:line="181" w:lineRule="exact"/>
        <w:rPr>
          <w:sz w:val="20"/>
          <w:szCs w:val="20"/>
          <w:color w:val="auto"/>
        </w:rPr>
      </w:pPr>
    </w:p>
    <w:p>
      <w:pPr>
        <w:ind w:left="644" w:hanging="644"/>
        <w:spacing w:after="0"/>
        <w:tabs>
          <w:tab w:leader="none" w:pos="64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the extent that the whole or part of the Acquisition is referred under Article 9 of the EU Merger Regulation to the CMA:</w:t>
      </w:r>
    </w:p>
    <w:p>
      <w:pPr>
        <w:spacing w:after="0" w:line="225"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CMA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284"/>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w:t>
      </w:r>
    </w:p>
    <w:p>
      <w:pPr>
        <w:spacing w:after="0" w:line="170" w:lineRule="exact"/>
        <w:rPr>
          <w:rFonts w:ascii="Arial" w:cs="Arial" w:eastAsia="Arial" w:hAnsi="Arial"/>
          <w:sz w:val="18"/>
          <w:szCs w:val="18"/>
          <w:color w:val="auto"/>
        </w:rPr>
      </w:pPr>
    </w:p>
    <w:p>
      <w:pPr>
        <w:jc w:val="both"/>
        <w:ind w:left="1944" w:hanging="647"/>
        <w:spacing w:after="0" w:line="264" w:lineRule="auto"/>
        <w:tabs>
          <w:tab w:leader="none" w:pos="1944" w:val="left"/>
        </w:tabs>
        <w:numPr>
          <w:ilvl w:val="2"/>
          <w:numId w:val="284"/>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 established in terms satisfactory to Comcast that no further appeal has been or will be made against any relevant ruling of the CAT; or</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the CMA decides to make a Phase 2 CMA Reference in relation to the Acquisition:</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2"/>
          <w:numId w:val="28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2584" w:hanging="639"/>
        <w:spacing w:after="0" w:line="264" w:lineRule="auto"/>
        <w:tabs>
          <w:tab w:leader="none" w:pos="2584" w:val="left"/>
        </w:tabs>
        <w:numPr>
          <w:ilvl w:val="3"/>
          <w:numId w:val="284"/>
        </w:numPr>
        <w:rPr>
          <w:rFonts w:ascii="Arial" w:cs="Arial" w:eastAsia="Arial" w:hAnsi="Arial"/>
          <w:sz w:val="18"/>
          <w:szCs w:val="18"/>
          <w:color w:val="auto"/>
        </w:rPr>
      </w:pPr>
      <w:r>
        <w:rPr>
          <w:rFonts w:ascii="Arial" w:cs="Arial" w:eastAsia="Arial" w:hAnsi="Arial"/>
          <w:sz w:val="18"/>
          <w:szCs w:val="18"/>
          <w:color w:val="auto"/>
        </w:rPr>
        <w:t>the CMA concluding that the Acquisition will not result in the creation of a relevant merger situation that may be expected to result in a substantial lessening of competition within any market or markets in the United Kingdom for goods or services; or</w:t>
      </w:r>
    </w:p>
    <w:p>
      <w:pPr>
        <w:spacing w:after="0" w:line="181" w:lineRule="exact"/>
        <w:rPr>
          <w:sz w:val="20"/>
          <w:szCs w:val="20"/>
          <w:color w:val="auto"/>
        </w:rPr>
      </w:pPr>
    </w:p>
    <w:p>
      <w:pPr>
        <w:ind w:left="1944"/>
        <w:spacing w:after="0"/>
        <w:rPr>
          <w:sz w:val="20"/>
          <w:szCs w:val="20"/>
          <w:color w:val="auto"/>
        </w:rPr>
      </w:pPr>
      <w:r>
        <w:rPr>
          <w:rFonts w:ascii="Arial" w:cs="Arial" w:eastAsia="Arial" w:hAnsi="Arial"/>
          <w:sz w:val="18"/>
          <w:szCs w:val="18"/>
          <w:color w:val="auto"/>
        </w:rPr>
        <w:t>II.</w:t>
      </w:r>
      <w:r>
        <w:rPr>
          <w:rFonts w:ascii="Arial" w:cs="Arial" w:eastAsia="Arial" w:hAnsi="Arial"/>
          <w:sz w:val="16"/>
          <w:szCs w:val="16"/>
          <w:color w:val="auto"/>
        </w:rPr>
        <w:t>the CMA allowing the Acquisition to proceed on terms satisfactory to Comcast; and</w:t>
      </w:r>
    </w:p>
    <w:p>
      <w:pPr>
        <w:spacing w:after="0" w:line="225" w:lineRule="exact"/>
        <w:rPr>
          <w:sz w:val="20"/>
          <w:szCs w:val="20"/>
          <w:color w:val="auto"/>
        </w:rPr>
      </w:pPr>
    </w:p>
    <w:p>
      <w:pPr>
        <w:jc w:val="both"/>
        <w:ind w:left="1944" w:hanging="647"/>
        <w:spacing w:after="0" w:line="259" w:lineRule="auto"/>
        <w:tabs>
          <w:tab w:leader="none" w:pos="1944" w:val="left"/>
        </w:tabs>
        <w:numPr>
          <w:ilvl w:val="2"/>
          <w:numId w:val="285"/>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the extent that the whole or part of the Acquisition is referred under Article 9 of the EU Merger Regulation to the Italian Competition Authority:</w:t>
      </w:r>
    </w:p>
    <w:p>
      <w:pPr>
        <w:spacing w:after="0" w:line="170"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Italian Competition Authority serving, according to Section 16(4) of Law No. 287/1990, a written notice to Comcast that it does not intend to commence a formal investigation in relation to the Acquisition or the 30 days period provided by Article 16(4) of Law No. 287/1990 is expired without the commencement of a formal investigation; or</w:t>
      </w:r>
    </w:p>
    <w:p>
      <w:pPr>
        <w:spacing w:after="0" w:line="181"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the event that a formal investigation is commenced by the Italian Competition Authority, it serving according to Article 6(2) or Article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14" w:name="page315"/>
    <w:bookmarkEnd w:id="314"/>
    <w:p>
      <w:pPr>
        <w:jc w:val="center"/>
        <w:ind w:right="56"/>
        <w:spacing w:after="0"/>
        <w:rPr>
          <w:sz w:val="20"/>
          <w:szCs w:val="20"/>
          <w:color w:val="auto"/>
        </w:rPr>
      </w:pPr>
      <w:r>
        <w:rPr>
          <w:rFonts w:ascii="Arial" w:cs="Arial" w:eastAsia="Arial" w:hAnsi="Arial"/>
          <w:sz w:val="18"/>
          <w:szCs w:val="18"/>
          <w:color w:val="auto"/>
        </w:rPr>
        <w:t>18(2) of Law No. 287/1990 a decision to Comcast clearing the Acquisition in terms satisfactory to Comcast; and</w:t>
      </w:r>
    </w:p>
    <w:p>
      <w:pPr>
        <w:spacing w:after="0" w:line="225" w:lineRule="exact"/>
        <w:rPr>
          <w:sz w:val="20"/>
          <w:szCs w:val="20"/>
          <w:color w:val="auto"/>
        </w:rPr>
      </w:pPr>
    </w:p>
    <w:p>
      <w:pPr>
        <w:jc w:val="both"/>
        <w:ind w:left="1304" w:hanging="655"/>
        <w:spacing w:after="0" w:line="286" w:lineRule="auto"/>
        <w:tabs>
          <w:tab w:leader="none" w:pos="130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time allowed for an application for review of any decision referred to in (i) and (ii) above having expired without any such application for review having been made to the Tribunale Amministrativo Regionale del Lazio (the “</w:t>
      </w:r>
      <w:r>
        <w:rPr>
          <w:rFonts w:ascii="Arial" w:cs="Arial" w:eastAsia="Arial" w:hAnsi="Arial"/>
          <w:sz w:val="17"/>
          <w:szCs w:val="17"/>
          <w:b w:val="1"/>
          <w:bCs w:val="1"/>
          <w:color w:val="auto"/>
        </w:rPr>
        <w:t>Italian First Instance</w:t>
      </w:r>
      <w:r>
        <w:rPr>
          <w:rFonts w:ascii="Arial" w:cs="Arial" w:eastAsia="Arial" w:hAnsi="Arial"/>
          <w:sz w:val="17"/>
          <w:szCs w:val="17"/>
          <w:color w:val="auto"/>
        </w:rPr>
        <w:t xml:space="preserve"> </w:t>
      </w:r>
      <w:r>
        <w:rPr>
          <w:rFonts w:ascii="Arial" w:cs="Arial" w:eastAsia="Arial" w:hAnsi="Arial"/>
          <w:sz w:val="17"/>
          <w:szCs w:val="17"/>
          <w:b w:val="1"/>
          <w:bCs w:val="1"/>
          <w:color w:val="auto"/>
        </w:rPr>
        <w:t>Administrative Court</w:t>
      </w:r>
      <w:r>
        <w:rPr>
          <w:rFonts w:ascii="Arial" w:cs="Arial" w:eastAsia="Arial" w:hAnsi="Arial"/>
          <w:sz w:val="17"/>
          <w:szCs w:val="17"/>
          <w:color w:val="auto"/>
        </w:rPr>
        <w:t>”) or to the President of the Italian Republic (through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Ricorso Straordinario al Capo dello Stato</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the extent that the whole or part of the Acquisition is referred under Article 9 of the EU Merger Regulation to the German Competition Authority (</w:t>
      </w:r>
      <w:r>
        <w:rPr>
          <w:rFonts w:ascii="Arial" w:cs="Arial" w:eastAsia="Arial" w:hAnsi="Arial"/>
          <w:sz w:val="18"/>
          <w:szCs w:val="18"/>
          <w:i w:val="1"/>
          <w:iCs w:val="1"/>
          <w:color w:val="auto"/>
        </w:rPr>
        <w:t>Bundeskartellamt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it either being established in terms satisfactory to Comcast:</w:t>
      </w:r>
    </w:p>
    <w:p>
      <w:pPr>
        <w:spacing w:after="0" w:line="225" w:lineRule="exact"/>
        <w:rPr>
          <w:rFonts w:ascii="Arial" w:cs="Arial" w:eastAsia="Arial" w:hAnsi="Arial"/>
          <w:sz w:val="18"/>
          <w:szCs w:val="18"/>
          <w:color w:val="auto"/>
        </w:rPr>
      </w:pPr>
    </w:p>
    <w:p>
      <w:pPr>
        <w:ind w:left="1944" w:right="20" w:hanging="647"/>
        <w:spacing w:after="0" w:line="342" w:lineRule="auto"/>
        <w:tabs>
          <w:tab w:leader="none" w:pos="1944" w:val="left"/>
        </w:tabs>
        <w:numPr>
          <w:ilvl w:val="2"/>
          <w:numId w:val="288"/>
        </w:numPr>
        <w:rPr>
          <w:rFonts w:ascii="Arial" w:cs="Arial" w:eastAsia="Arial" w:hAnsi="Arial"/>
          <w:sz w:val="16"/>
          <w:szCs w:val="16"/>
          <w:color w:val="auto"/>
        </w:rPr>
      </w:pPr>
      <w:r>
        <w:rPr>
          <w:rFonts w:ascii="Arial" w:cs="Arial" w:eastAsia="Arial" w:hAnsi="Arial"/>
          <w:sz w:val="16"/>
          <w:szCs w:val="16"/>
          <w:color w:val="auto"/>
        </w:rPr>
        <w:t>that the German Competition Authority has decided not to open second phase proceedings (</w:t>
      </w:r>
      <w:r>
        <w:rPr>
          <w:rFonts w:ascii="Arial" w:cs="Arial" w:eastAsia="Arial" w:hAnsi="Arial"/>
          <w:sz w:val="16"/>
          <w:szCs w:val="16"/>
          <w:i w:val="1"/>
          <w:iCs w:val="1"/>
          <w:color w:val="auto"/>
        </w:rPr>
        <w:t>Hauptprüfverfahren</w:t>
      </w:r>
      <w:r>
        <w:rPr>
          <w:rFonts w:ascii="Arial" w:cs="Arial" w:eastAsia="Arial" w:hAnsi="Arial"/>
          <w:sz w:val="16"/>
          <w:szCs w:val="16"/>
          <w:color w:val="auto"/>
        </w:rPr>
        <w:t>) pursuant to Section 40 (1) of the German Act against Restraints of Competition (</w:t>
      </w:r>
      <w:r>
        <w:rPr>
          <w:rFonts w:ascii="Arial" w:cs="Arial" w:eastAsia="Arial" w:hAnsi="Arial"/>
          <w:sz w:val="16"/>
          <w:szCs w:val="16"/>
          <w:i w:val="1"/>
          <w:iCs w:val="1"/>
          <w:color w:val="auto"/>
        </w:rPr>
        <w:t>Gesetz gegen Wettbewerbsbeschränkungen</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jc w:val="both"/>
        <w:ind w:left="1944" w:hanging="647"/>
        <w:spacing w:after="0" w:line="264" w:lineRule="auto"/>
        <w:tabs>
          <w:tab w:leader="none" w:pos="1944"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that the statutory time period for opening second phase proceedings pursuant to Section 40 (1) of the German Act against Restraints of Competition has expired without the German Competition Authority having timely informed the notifying undertakings that it has opened second phase proceedings;</w:t>
      </w:r>
    </w:p>
    <w:p>
      <w:pPr>
        <w:spacing w:after="0" w:line="181" w:lineRule="exact"/>
        <w:rPr>
          <w:sz w:val="20"/>
          <w:szCs w:val="20"/>
          <w:color w:val="auto"/>
        </w:rPr>
      </w:pPr>
    </w:p>
    <w:p>
      <w:pPr>
        <w:ind w:left="1304" w:hanging="655"/>
        <w:spacing w:after="0"/>
        <w:tabs>
          <w:tab w:leader="none" w:pos="130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or in the event the German Competition Authority having made a decision to open second phase proceedings pursuant to Section</w:t>
      </w:r>
    </w:p>
    <w:p>
      <w:pPr>
        <w:spacing w:after="0" w:line="46"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18"/>
          <w:szCs w:val="18"/>
          <w:color w:val="auto"/>
        </w:rPr>
        <w:t>40 (1) of the German Act against Restraints of Competition, the German Competition Authority has:</w:t>
      </w:r>
    </w:p>
    <w:p>
      <w:pPr>
        <w:spacing w:after="0" w:line="210" w:lineRule="exact"/>
        <w:rPr>
          <w:rFonts w:ascii="Arial" w:cs="Arial" w:eastAsia="Arial" w:hAnsi="Arial"/>
          <w:sz w:val="16"/>
          <w:szCs w:val="16"/>
          <w:color w:val="auto"/>
        </w:rPr>
      </w:pPr>
    </w:p>
    <w:p>
      <w:pPr>
        <w:ind w:left="1944" w:hanging="647"/>
        <w:spacing w:after="0"/>
        <w:tabs>
          <w:tab w:leader="none" w:pos="194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jc w:val="both"/>
        <w:ind w:left="2584" w:hanging="639"/>
        <w:spacing w:after="0" w:line="264" w:lineRule="auto"/>
        <w:tabs>
          <w:tab w:leader="none" w:pos="258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issued a clearance decision without conditions and/or obligations under Section 40 (2) of the German Act against Restraints of Competition, or is deemed to have done so after the expiry of the statutory time period pursuant to Section 40 (2) of the German Act against Restraints of Competition; or</w:t>
      </w:r>
    </w:p>
    <w:p>
      <w:pPr>
        <w:spacing w:after="0" w:line="181" w:lineRule="exact"/>
        <w:rPr>
          <w:sz w:val="20"/>
          <w:szCs w:val="20"/>
          <w:color w:val="auto"/>
        </w:rPr>
      </w:pPr>
    </w:p>
    <w:p>
      <w:pPr>
        <w:ind w:left="2584" w:right="20" w:hanging="639"/>
        <w:spacing w:after="0" w:line="277" w:lineRule="auto"/>
        <w:tabs>
          <w:tab w:leader="none" w:pos="2584" w:val="left"/>
        </w:tabs>
        <w:numPr>
          <w:ilvl w:val="3"/>
          <w:numId w:val="291"/>
        </w:numPr>
        <w:rPr>
          <w:rFonts w:ascii="Arial" w:cs="Arial" w:eastAsia="Arial" w:hAnsi="Arial"/>
          <w:sz w:val="18"/>
          <w:szCs w:val="18"/>
          <w:color w:val="auto"/>
        </w:rPr>
      </w:pPr>
      <w:r>
        <w:rPr>
          <w:rFonts w:ascii="Arial" w:cs="Arial" w:eastAsia="Arial" w:hAnsi="Arial"/>
          <w:sz w:val="18"/>
          <w:szCs w:val="18"/>
          <w:color w:val="auto"/>
        </w:rPr>
        <w:t>issued a clearance decision subject to conditions and/or obligations pursuant to Section 40 (2)(3) of the German Act against Restraints of Competition on terms satisfactory to Comcast; and</w:t>
      </w:r>
    </w:p>
    <w:p>
      <w:pPr>
        <w:spacing w:after="0" w:line="170" w:lineRule="exact"/>
        <w:rPr>
          <w:rFonts w:ascii="Arial" w:cs="Arial" w:eastAsia="Arial" w:hAnsi="Arial"/>
          <w:sz w:val="18"/>
          <w:szCs w:val="18"/>
          <w:color w:val="auto"/>
        </w:rPr>
      </w:pPr>
    </w:p>
    <w:p>
      <w:pPr>
        <w:ind w:left="1944" w:right="20" w:hanging="647"/>
        <w:spacing w:after="0" w:line="277" w:lineRule="auto"/>
        <w:tabs>
          <w:tab w:leader="none" w:pos="194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the limitation period for an appeal of such clearance decision pursuant to Section 66 (1) of the German Act against Restraints of Competition has expired without an appeal having been filed;</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the extent that the whole or part of the Acquisition is referred under Article 9 of the EU Merger Regulation to the Irish Competition and Consumer Protection Commission (the “</w:t>
      </w:r>
      <w:r>
        <w:rPr>
          <w:rFonts w:ascii="Arial" w:cs="Arial" w:eastAsia="Arial" w:hAnsi="Arial"/>
          <w:sz w:val="18"/>
          <w:szCs w:val="18"/>
          <w:b w:val="1"/>
          <w:bCs w:val="1"/>
          <w:color w:val="auto"/>
        </w:rPr>
        <w:t>CCPC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964" w:right="120" w:hanging="4315"/>
        <w:spacing w:after="0" w:line="528" w:lineRule="auto"/>
        <w:tabs>
          <w:tab w:leader="none" w:pos="129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CCPC having informed the notifying parties pursuant to Section 21(2)(a) of the Irish Competition Act 2002 (as amended) (the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-156845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15" w:name="page316"/>
    <w:bookmarkEnd w:id="315"/>
    <w:p>
      <w:pPr>
        <w:ind w:left="130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Act</w:t>
      </w:r>
      <w:r>
        <w:rPr>
          <w:rFonts w:ascii="Arial" w:cs="Arial" w:eastAsia="Arial" w:hAnsi="Arial"/>
          <w:sz w:val="18"/>
          <w:szCs w:val="18"/>
          <w:color w:val="auto"/>
        </w:rPr>
        <w:t>”) that it has made a determination that the Acquisition may be put into effect or put into effect subject to commitments that are satisfactory to Comcast; or</w:t>
      </w:r>
    </w:p>
    <w:p>
      <w:pPr>
        <w:spacing w:after="0" w:line="166" w:lineRule="exact"/>
        <w:rPr>
          <w:sz w:val="20"/>
          <w:szCs w:val="20"/>
          <w:color w:val="auto"/>
        </w:rPr>
      </w:pPr>
    </w:p>
    <w:p>
      <w:pPr>
        <w:ind w:left="1304" w:hanging="655"/>
        <w:spacing w:after="0" w:line="277" w:lineRule="auto"/>
        <w:tabs>
          <w:tab w:leader="none" w:pos="130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period specified in Section 21(2) of the Competition Act having elapsed without the CCPC having informed the notifying parties of the determination (if any) which it has made under Section 21(2) of the Competition Act; or</w:t>
      </w:r>
    </w:p>
    <w:p>
      <w:pPr>
        <w:spacing w:after="0" w:line="170"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 CCPC informing the notifying parties that it has determined under Section 22(3) of the Competition Act that the Acquisition may be put into effect or put into effect subject to commitments that are satisfactory to Comcast; or</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120 working days after the “appropriate date” (as defined in Section 19(6) of the Competition Act) having elapsed, or, where a requirement is made under Section 20(2) of the Competition Act, 120 working days and any period of suspension that applied pursuant to Section 22(4A) after the “appropriate date” having elapsed, without the CCPC having made a determination under Section 22(3) of the Competition Act; or</w:t>
      </w:r>
    </w:p>
    <w:p>
      <w:pPr>
        <w:spacing w:after="0" w:line="186"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40 working days having passed from the date the notifying parties are informed of the CCPC’s determination pursuant to Section 22(3) and no appeal having been made to the Irish High Court under Section 24 of the Competition Act; and</w:t>
      </w:r>
    </w:p>
    <w:p>
      <w:pPr>
        <w:spacing w:after="0" w:line="170" w:lineRule="exact"/>
        <w:rPr>
          <w:rFonts w:ascii="Arial" w:cs="Arial" w:eastAsia="Arial" w:hAnsi="Arial"/>
          <w:sz w:val="18"/>
          <w:szCs w:val="18"/>
          <w:color w:val="auto"/>
        </w:rPr>
      </w:pPr>
    </w:p>
    <w:p>
      <w:pPr>
        <w:ind w:left="1304" w:hanging="655"/>
        <w:spacing w:after="0" w:line="308" w:lineRule="auto"/>
        <w:tabs>
          <w:tab w:leader="none" w:pos="1304" w:val="left"/>
        </w:tabs>
        <w:numPr>
          <w:ilvl w:val="1"/>
          <w:numId w:val="294"/>
        </w:numPr>
        <w:rPr>
          <w:rFonts w:ascii="Arial" w:cs="Arial" w:eastAsia="Arial" w:hAnsi="Arial"/>
          <w:sz w:val="17"/>
          <w:szCs w:val="17"/>
          <w:color w:val="auto"/>
        </w:rPr>
      </w:pPr>
      <w:r>
        <w:rPr>
          <w:rFonts w:ascii="Arial" w:cs="Arial" w:eastAsia="Arial" w:hAnsi="Arial"/>
          <w:sz w:val="17"/>
          <w:szCs w:val="17"/>
          <w:color w:val="auto"/>
        </w:rPr>
        <w:t>3 months having passed from the date of the CCPC’s determination under Sections 21(2) or 22(3) and judicial review proceedings have not been filed with the Irish High Court in accordance with Order 84 of the Rules of the Superior Courts.</w:t>
      </w:r>
    </w:p>
    <w:p>
      <w:pPr>
        <w:spacing w:after="0" w:line="146"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the extent that the whole or part of the Acquisition is referred under Article 9 of the EU Merger Regulation to the Austrian antitrust authorities (</w:t>
      </w:r>
      <w:r>
        <w:rPr>
          <w:rFonts w:ascii="Arial" w:cs="Arial" w:eastAsia="Arial" w:hAnsi="Arial"/>
          <w:sz w:val="18"/>
          <w:szCs w:val="18"/>
          <w:i w:val="1"/>
          <w:iCs w:val="1"/>
          <w:color w:val="auto"/>
        </w:rPr>
        <w:t>Amtsparteien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4" w:hanging="655"/>
        <w:spacing w:after="0" w:line="257" w:lineRule="auto"/>
        <w:tabs>
          <w:tab w:leader="none" w:pos="130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both of the competent Austrian antitrust authorities (</w:t>
      </w:r>
      <w:r>
        <w:rPr>
          <w:rFonts w:ascii="Arial" w:cs="Arial" w:eastAsia="Arial" w:hAnsi="Arial"/>
          <w:sz w:val="18"/>
          <w:szCs w:val="18"/>
          <w:i w:val="1"/>
          <w:iCs w:val="1"/>
          <w:color w:val="auto"/>
        </w:rPr>
        <w:t>Amtsparteien</w:t>
      </w:r>
      <w:r>
        <w:rPr>
          <w:rFonts w:ascii="Arial" w:cs="Arial" w:eastAsia="Arial" w:hAnsi="Arial"/>
          <w:sz w:val="18"/>
          <w:szCs w:val="18"/>
          <w:color w:val="auto"/>
        </w:rPr>
        <w:t>) having waived their right to file for an application for examination (</w:t>
      </w:r>
      <w:r>
        <w:rPr>
          <w:rFonts w:ascii="Arial" w:cs="Arial" w:eastAsia="Arial" w:hAnsi="Arial"/>
          <w:sz w:val="18"/>
          <w:szCs w:val="18"/>
          <w:i w:val="1"/>
          <w:iCs w:val="1"/>
          <w:color w:val="auto"/>
        </w:rPr>
        <w:t>Verzicht auf Stellung eines Prüfantrags</w:t>
      </w:r>
      <w:r>
        <w:rPr>
          <w:rFonts w:ascii="Arial" w:cs="Arial" w:eastAsia="Arial" w:hAnsi="Arial"/>
          <w:sz w:val="18"/>
          <w:szCs w:val="18"/>
          <w:color w:val="auto"/>
        </w:rPr>
        <w:t>) of the Acquisition pursuant to Section 11 (4) of the Austrian Cartel Act; or the standstill period (</w:t>
      </w:r>
      <w:r>
        <w:rPr>
          <w:rFonts w:ascii="Arial" w:cs="Arial" w:eastAsia="Arial" w:hAnsi="Arial"/>
          <w:sz w:val="18"/>
          <w:szCs w:val="18"/>
          <w:i w:val="1"/>
          <w:iCs w:val="1"/>
          <w:color w:val="auto"/>
        </w:rPr>
        <w:t>Antragsfrist</w:t>
      </w:r>
      <w:r>
        <w:rPr>
          <w:rFonts w:ascii="Arial" w:cs="Arial" w:eastAsia="Arial" w:hAnsi="Arial"/>
          <w:sz w:val="18"/>
          <w:szCs w:val="18"/>
          <w:color w:val="auto"/>
        </w:rPr>
        <w:t>) of 4 weeks (or 6 weeks upon request of the notifying party) provided for in Section 11 (1) or (1a) of the Austrian Cartel Act having lapsed and no application for examination having been made (</w:t>
      </w:r>
      <w:r>
        <w:rPr>
          <w:rFonts w:ascii="Arial" w:cs="Arial" w:eastAsia="Arial" w:hAnsi="Arial"/>
          <w:sz w:val="18"/>
          <w:szCs w:val="18"/>
          <w:i w:val="1"/>
          <w:iCs w:val="1"/>
          <w:color w:val="auto"/>
        </w:rPr>
        <w:t>keine Stellung eines</w:t>
      </w:r>
      <w:r>
        <w:rPr>
          <w:rFonts w:ascii="Arial" w:cs="Arial" w:eastAsia="Arial" w:hAnsi="Arial"/>
          <w:sz w:val="18"/>
          <w:szCs w:val="18"/>
          <w:color w:val="auto"/>
        </w:rPr>
        <w:t xml:space="preserve"> </w:t>
      </w:r>
      <w:r>
        <w:rPr>
          <w:rFonts w:ascii="Arial" w:cs="Arial" w:eastAsia="Arial" w:hAnsi="Arial"/>
          <w:sz w:val="18"/>
          <w:szCs w:val="18"/>
          <w:i w:val="1"/>
          <w:iCs w:val="1"/>
          <w:color w:val="auto"/>
        </w:rPr>
        <w:t>Prüfungsantrags</w:t>
      </w:r>
      <w:r>
        <w:rPr>
          <w:rFonts w:ascii="Arial" w:cs="Arial" w:eastAsia="Arial" w:hAnsi="Arial"/>
          <w:sz w:val="18"/>
          <w:szCs w:val="18"/>
          <w:color w:val="auto"/>
        </w:rPr>
        <w:t>) by any of the Austrian antitrust authorities; or</w:t>
      </w:r>
    </w:p>
    <w:p>
      <w:pPr>
        <w:spacing w:after="0" w:line="188"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 the event that one or both of the competent Austrian antitrust authorities has made a request for an application for examination of the Acquisition pursuant to Section 11 (1) of the Austrian Cartel Act:</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295"/>
        </w:numPr>
        <w:rPr>
          <w:rFonts w:ascii="Arial" w:cs="Arial" w:eastAsia="Arial" w:hAnsi="Arial"/>
          <w:sz w:val="18"/>
          <w:szCs w:val="18"/>
          <w:color w:val="auto"/>
        </w:rPr>
      </w:pPr>
      <w:r>
        <w:rPr>
          <w:rFonts w:ascii="Arial" w:cs="Arial" w:eastAsia="Arial" w:hAnsi="Arial"/>
          <w:sz w:val="18"/>
          <w:szCs w:val="18"/>
          <w:color w:val="auto"/>
        </w:rPr>
        <w:t>the respective competent Austrian antitrust authorit(y/ies) (</w:t>
      </w:r>
      <w:r>
        <w:rPr>
          <w:rFonts w:ascii="Arial" w:cs="Arial" w:eastAsia="Arial" w:hAnsi="Arial"/>
          <w:sz w:val="18"/>
          <w:szCs w:val="18"/>
          <w:i w:val="1"/>
          <w:iCs w:val="1"/>
          <w:color w:val="auto"/>
        </w:rPr>
        <w:t>Amtspartei(en)</w:t>
      </w:r>
      <w:r>
        <w:rPr>
          <w:rFonts w:ascii="Arial" w:cs="Arial" w:eastAsia="Arial" w:hAnsi="Arial"/>
          <w:sz w:val="18"/>
          <w:szCs w:val="18"/>
          <w:color w:val="auto"/>
        </w:rPr>
        <w:t>) having withdrawn their respective application(s) for examination;</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2"/>
          <w:numId w:val="295"/>
        </w:numPr>
        <w:rPr>
          <w:rFonts w:ascii="Arial" w:cs="Arial" w:eastAsia="Arial" w:hAnsi="Arial"/>
          <w:sz w:val="18"/>
          <w:szCs w:val="18"/>
          <w:color w:val="auto"/>
        </w:rPr>
      </w:pPr>
      <w:r>
        <w:rPr>
          <w:rFonts w:ascii="Arial" w:cs="Arial" w:eastAsia="Arial" w:hAnsi="Arial"/>
          <w:sz w:val="18"/>
          <w:szCs w:val="18"/>
          <w:color w:val="auto"/>
        </w:rPr>
        <w:t>the Austrian Cartel Court (</w:t>
      </w:r>
      <w:r>
        <w:rPr>
          <w:rFonts w:ascii="Arial" w:cs="Arial" w:eastAsia="Arial" w:hAnsi="Arial"/>
          <w:sz w:val="18"/>
          <w:szCs w:val="18"/>
          <w:i w:val="1"/>
          <w:iCs w:val="1"/>
          <w:color w:val="auto"/>
        </w:rPr>
        <w:t>Kartellgericht</w:t>
      </w:r>
      <w:r>
        <w:rPr>
          <w:rFonts w:ascii="Arial" w:cs="Arial" w:eastAsia="Arial" w:hAnsi="Arial"/>
          <w:sz w:val="18"/>
          <w:szCs w:val="18"/>
          <w:color w:val="auto"/>
        </w:rPr>
        <w:t>) or Austrian Supreme Cartel Court (</w:t>
      </w:r>
      <w:r>
        <w:rPr>
          <w:rFonts w:ascii="Arial" w:cs="Arial" w:eastAsia="Arial" w:hAnsi="Arial"/>
          <w:sz w:val="18"/>
          <w:szCs w:val="18"/>
          <w:i w:val="1"/>
          <w:iCs w:val="1"/>
          <w:color w:val="auto"/>
        </w:rPr>
        <w:t>Kartellobergericht</w:t>
      </w:r>
      <w:r>
        <w:rPr>
          <w:rFonts w:ascii="Arial" w:cs="Arial" w:eastAsia="Arial" w:hAnsi="Arial"/>
          <w:sz w:val="18"/>
          <w:szCs w:val="18"/>
          <w:color w:val="auto"/>
        </w:rPr>
        <w:t>) having issued a binding clearance decision (</w:t>
      </w:r>
      <w:r>
        <w:rPr>
          <w:rFonts w:ascii="Arial" w:cs="Arial" w:eastAsia="Arial" w:hAnsi="Arial"/>
          <w:sz w:val="18"/>
          <w:szCs w:val="18"/>
          <w:i w:val="1"/>
          <w:iCs w:val="1"/>
          <w:color w:val="auto"/>
        </w:rPr>
        <w:t>rechtskräftige Freigabeentscheidung</w:t>
      </w:r>
      <w:r>
        <w:rPr>
          <w:rFonts w:ascii="Arial" w:cs="Arial" w:eastAsia="Arial" w:hAnsi="Arial"/>
          <w:sz w:val="18"/>
          <w:szCs w:val="18"/>
          <w:color w:val="auto"/>
        </w:rPr>
        <w:t>);</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0" w:right="239" w:bottom="1440" w:gutter="0" w:footer="0" w:header="0"/>
        </w:sectPr>
      </w:pPr>
    </w:p>
    <w:bookmarkStart w:id="316" w:name="page317"/>
    <w:bookmarkEnd w:id="316"/>
    <w:p>
      <w:pPr>
        <w:ind w:left="2600" w:hanging="647"/>
        <w:spacing w:after="0" w:line="277" w:lineRule="auto"/>
        <w:tabs>
          <w:tab w:leader="none" w:pos="2600" w:val="left"/>
        </w:tabs>
        <w:numPr>
          <w:ilvl w:val="3"/>
          <w:numId w:val="296"/>
        </w:numPr>
        <w:rPr>
          <w:rFonts w:ascii="Arial" w:cs="Arial" w:eastAsia="Arial" w:hAnsi="Arial"/>
          <w:sz w:val="18"/>
          <w:szCs w:val="18"/>
          <w:color w:val="auto"/>
        </w:rPr>
      </w:pPr>
      <w:r>
        <w:rPr>
          <w:rFonts w:ascii="Arial" w:cs="Arial" w:eastAsia="Arial" w:hAnsi="Arial"/>
          <w:sz w:val="18"/>
          <w:szCs w:val="18"/>
          <w:color w:val="auto"/>
        </w:rPr>
        <w:t xml:space="preserve">the Austrian Cartel Court or Austrian Supreme Cartel Court having issued a binding decision (rechtskräftige </w:t>
      </w:r>
      <w:r>
        <w:rPr>
          <w:rFonts w:ascii="Arial" w:cs="Arial" w:eastAsia="Arial" w:hAnsi="Arial"/>
          <w:sz w:val="18"/>
          <w:szCs w:val="18"/>
          <w:i w:val="1"/>
          <w:iCs w:val="1"/>
          <w:color w:val="auto"/>
        </w:rPr>
        <w:t>Entscheidung</w:t>
      </w:r>
      <w:r>
        <w:rPr>
          <w:rFonts w:ascii="Arial" w:cs="Arial" w:eastAsia="Arial" w:hAnsi="Arial"/>
          <w:sz w:val="18"/>
          <w:szCs w:val="18"/>
          <w:color w:val="auto"/>
        </w:rPr>
        <w:t>) that no notifiable event (</w:t>
      </w:r>
      <w:r>
        <w:rPr>
          <w:rFonts w:ascii="Arial" w:cs="Arial" w:eastAsia="Arial" w:hAnsi="Arial"/>
          <w:sz w:val="18"/>
          <w:szCs w:val="18"/>
          <w:i w:val="1"/>
          <w:iCs w:val="1"/>
          <w:color w:val="auto"/>
        </w:rPr>
        <w:t>kein anmeldepflichtiger Zusammenschluss</w:t>
      </w:r>
      <w:r>
        <w:rPr>
          <w:rFonts w:ascii="Arial" w:cs="Arial" w:eastAsia="Arial" w:hAnsi="Arial"/>
          <w:sz w:val="18"/>
          <w:szCs w:val="18"/>
          <w:color w:val="auto"/>
        </w:rPr>
        <w:t>) arises from the Acquisition;</w:t>
      </w:r>
    </w:p>
    <w:p>
      <w:pPr>
        <w:spacing w:after="0" w:line="170"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3"/>
          <w:numId w:val="296"/>
        </w:numPr>
        <w:rPr>
          <w:rFonts w:ascii="Arial" w:cs="Arial" w:eastAsia="Arial" w:hAnsi="Arial"/>
          <w:sz w:val="18"/>
          <w:szCs w:val="18"/>
          <w:color w:val="auto"/>
        </w:rPr>
      </w:pPr>
      <w:r>
        <w:rPr>
          <w:rFonts w:ascii="Arial" w:cs="Arial" w:eastAsia="Arial" w:hAnsi="Arial"/>
          <w:sz w:val="18"/>
          <w:szCs w:val="18"/>
          <w:color w:val="auto"/>
        </w:rPr>
        <w:t>the Austrian Cartel Court or Austrian Supreme Cartel Court having issued a binding decision providing for the termination of the proceedings based on the expiry of the waiting period of 5 months (or 6 months upon request of the notifying party) set out in Section 14 (1) of the Austrian Cartel Act; or</w:t>
      </w:r>
    </w:p>
    <w:p>
      <w:pPr>
        <w:spacing w:after="0" w:line="181"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296"/>
        </w:numPr>
        <w:rPr>
          <w:rFonts w:ascii="Arial" w:cs="Arial" w:eastAsia="Arial" w:hAnsi="Arial"/>
          <w:sz w:val="17"/>
          <w:szCs w:val="17"/>
          <w:color w:val="auto"/>
        </w:rPr>
      </w:pPr>
      <w:r>
        <w:rPr>
          <w:rFonts w:ascii="Arial" w:cs="Arial" w:eastAsia="Arial" w:hAnsi="Arial"/>
          <w:sz w:val="17"/>
          <w:szCs w:val="17"/>
          <w:color w:val="auto"/>
        </w:rPr>
        <w:t>the Austrian Supreme Cartel Court having issued a binding decision providing for the termination of the proceedings based on the expiry of the waiting period of 2 months set out in Section 14 (2) of the Austrian Cartel Act;</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to the extent the whole or part of the Acquisition is referred under Article 9 of the EU Merger Regulation to a competent authority of one or more other Member States, clearance having been obtained from the relevant competent authority;</w:t>
      </w:r>
    </w:p>
    <w:p>
      <w:pPr>
        <w:spacing w:after="0" w:line="170"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Jersey Competition Regulatory Authority having issued its decision in writing in terms satisfactory to Comcast, to approve the Acquisition on completion of its first detailed review (as that term is used in the guidance issued by the Channel Islands Competition and Regulatory Authorities) under Article 22 of the Competition (Jersey) Law 2005; or, in the event of the Jersey Competition Regulatory Authority having notified Comcast and Sky in writing of its having made a decision to commence a second detailed review (as that term is used in the guidance issued by the Channel Islands Competition and Regulatory Authorities), the Jersey Competition Regulatory Authority having issued its decision in writing to approve the Acquisition on completion of its second detailed review in terms satisfactory to Comcast under Article 22 of the Competition (Jersey) Law 2005;</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if the Secretary of State issues a European intervention notice under Section 67 of the Enterprise Act 2002:</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Secretary of State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60" w:hanging="655"/>
        <w:spacing w:after="0" w:line="342" w:lineRule="auto"/>
        <w:tabs>
          <w:tab w:leader="none" w:pos="1960" w:val="left"/>
        </w:tabs>
        <w:numPr>
          <w:ilvl w:val="2"/>
          <w:numId w:val="298"/>
        </w:numPr>
        <w:rPr>
          <w:rFonts w:ascii="Arial" w:cs="Arial" w:eastAsia="Arial" w:hAnsi="Arial"/>
          <w:sz w:val="16"/>
          <w:szCs w:val="16"/>
          <w:color w:val="auto"/>
        </w:rPr>
      </w:pPr>
      <w:r>
        <w:rPr>
          <w:rFonts w:ascii="Arial" w:cs="Arial" w:eastAsia="Arial" w:hAnsi="Arial"/>
          <w:sz w:val="16"/>
          <w:szCs w:val="16"/>
          <w:color w:val="auto"/>
        </w:rPr>
        <w:t>the expiry of the time limit within which an application may be made to the CAT for the setting aside of a decision by the Secretary of State not to make a Phase 2 CMA Reference in relation to the Acquisition without such an application having been made; or</w:t>
      </w:r>
    </w:p>
    <w:p>
      <w:pPr>
        <w:spacing w:after="0" w:line="123"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 established in terms satisfactory to Comcast that no further appeal has been or will be made against any relevant ruling of the CAT;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the Secretary of State decides to make a Phase 2 CMA Reference in relation to the Acquisition: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3"/>
          <w:numId w:val="298"/>
        </w:numPr>
        <w:rPr>
          <w:rFonts w:ascii="Arial" w:cs="Arial" w:eastAsia="Arial" w:hAnsi="Arial"/>
          <w:sz w:val="18"/>
          <w:szCs w:val="18"/>
          <w:color w:val="auto"/>
        </w:rPr>
      </w:pPr>
      <w:r>
        <w:rPr>
          <w:rFonts w:ascii="Arial" w:cs="Arial" w:eastAsia="Arial" w:hAnsi="Arial"/>
          <w:sz w:val="18"/>
          <w:szCs w:val="18"/>
          <w:color w:val="auto"/>
        </w:rPr>
        <w:t>the Secretary of State deciding in terms satisfactory to Comcast that the Acquisition will not result in the creation of a European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17" w:name="page318"/>
    <w:bookmarkEnd w:id="317"/>
    <w:p>
      <w:pPr>
        <w:jc w:val="center"/>
        <w:ind w:right="-39"/>
        <w:spacing w:after="0"/>
        <w:rPr>
          <w:sz w:val="20"/>
          <w:szCs w:val="20"/>
          <w:color w:val="auto"/>
        </w:rPr>
      </w:pPr>
      <w:r>
        <w:rPr>
          <w:rFonts w:ascii="Arial" w:cs="Arial" w:eastAsia="Arial" w:hAnsi="Arial"/>
          <w:sz w:val="18"/>
          <w:szCs w:val="18"/>
          <w:color w:val="auto"/>
        </w:rPr>
        <w:t>relevant merger situation that may be expected to operate against the public interest; or</w:t>
      </w:r>
    </w:p>
    <w:p>
      <w:pPr>
        <w:spacing w:after="0" w:line="225" w:lineRule="exact"/>
        <w:rPr>
          <w:sz w:val="20"/>
          <w:szCs w:val="20"/>
          <w:color w:val="auto"/>
        </w:rPr>
      </w:pPr>
    </w:p>
    <w:p>
      <w:pPr>
        <w:ind w:left="2600" w:hanging="647"/>
        <w:spacing w:after="0"/>
        <w:tabs>
          <w:tab w:leader="none" w:pos="2600" w:val="left"/>
        </w:tabs>
        <w:numPr>
          <w:ilvl w:val="3"/>
          <w:numId w:val="299"/>
        </w:numPr>
        <w:rPr>
          <w:rFonts w:ascii="Arial" w:cs="Arial" w:eastAsia="Arial" w:hAnsi="Arial"/>
          <w:sz w:val="18"/>
          <w:szCs w:val="18"/>
          <w:color w:val="auto"/>
        </w:rPr>
      </w:pPr>
      <w:r>
        <w:rPr>
          <w:rFonts w:ascii="Arial" w:cs="Arial" w:eastAsia="Arial" w:hAnsi="Arial"/>
          <w:sz w:val="18"/>
          <w:szCs w:val="18"/>
          <w:color w:val="auto"/>
        </w:rPr>
        <w:t>the Secretary of State allowing the Acquisition to proceed on terms satisfactory to Comcast; and</w:t>
      </w:r>
    </w:p>
    <w:p>
      <w:pPr>
        <w:spacing w:after="0" w:line="225"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2"/>
          <w:numId w:val="300"/>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any such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the Secretary of State issues an intervention notice under Section 42 of the Enterprise Act 2002:</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the Secretary of State does not intend to make a Phase 2 CMA Reference in relation to the Acquisition; and either: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w:t>
      </w:r>
    </w:p>
    <w:p>
      <w:pPr>
        <w:spacing w:after="0" w:line="170" w:lineRule="exact"/>
        <w:rPr>
          <w:sz w:val="20"/>
          <w:szCs w:val="20"/>
          <w:color w:val="auto"/>
        </w:rPr>
      </w:pPr>
    </w:p>
    <w:p>
      <w:pPr>
        <w:jc w:val="both"/>
        <w:ind w:left="1960" w:hanging="655"/>
        <w:spacing w:after="0" w:line="264" w:lineRule="auto"/>
        <w:tabs>
          <w:tab w:leader="none" w:pos="196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any such application or applications has or have been made, the dismissal of such application or applications by the CAT and it being established in terms satisfactory to Comcast that no further appeal has been or will be made against any relevant ruling of the CAT;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the Secretary of State decides to make a Phase 2 CMA Reference in relation to the Acquisition: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Secretary of State deciding in terms satisfactory to Comcast that the Acquisition will not result in the creation of a relevant merger situation that may be expected to operate against the public interest;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Secretary of State allowing the Acquisition to proceed on terms satisfactory to Comcast; or</w:t>
      </w:r>
    </w:p>
    <w:p>
      <w:pPr>
        <w:spacing w:after="0" w:line="225" w:lineRule="exact"/>
        <w:rPr>
          <w:rFonts w:ascii="Arial" w:cs="Arial" w:eastAsia="Arial" w:hAnsi="Arial"/>
          <w:sz w:val="18"/>
          <w:szCs w:val="18"/>
          <w:color w:val="auto"/>
        </w:rPr>
      </w:pPr>
    </w:p>
    <w:p>
      <w:pPr>
        <w:ind w:left="2600" w:hanging="647"/>
        <w:spacing w:after="0" w:line="308" w:lineRule="auto"/>
        <w:tabs>
          <w:tab w:leader="none" w:pos="2600" w:val="left"/>
        </w:tabs>
        <w:numPr>
          <w:ilvl w:val="2"/>
          <w:numId w:val="303"/>
        </w:numPr>
        <w:rPr>
          <w:rFonts w:ascii="Arial" w:cs="Arial" w:eastAsia="Arial" w:hAnsi="Arial"/>
          <w:sz w:val="17"/>
          <w:szCs w:val="17"/>
          <w:color w:val="auto"/>
        </w:rPr>
      </w:pPr>
      <w:r>
        <w:rPr>
          <w:rFonts w:ascii="Arial" w:cs="Arial" w:eastAsia="Arial" w:hAnsi="Arial"/>
          <w:sz w:val="17"/>
          <w:szCs w:val="17"/>
          <w:color w:val="auto"/>
        </w:rPr>
        <w:t>in the event the Secretary of State decides to make no finding at all in relation to the Acquisition (pursuant to Section 54(2) of the Enterprise Act 2002), the CMA allowing the Acquisition to proceed on terms satisfactory to Comcast; and</w:t>
      </w:r>
    </w:p>
    <w:p>
      <w:pPr>
        <w:spacing w:after="0" w:line="147" w:lineRule="exact"/>
        <w:rPr>
          <w:sz w:val="20"/>
          <w:szCs w:val="20"/>
          <w:color w:val="auto"/>
        </w:rPr>
      </w:pPr>
    </w:p>
    <w:p>
      <w:pPr>
        <w:jc w:val="both"/>
        <w:ind w:left="1960" w:hanging="655"/>
        <w:spacing w:after="0" w:line="259" w:lineRule="auto"/>
        <w:tabs>
          <w:tab w:leader="none" w:pos="19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expiry of the time limit within which an application may be made to the CAT for the setting aside of such a decision without such an application having been made; or, if any such application or applications has or have been made, the dismissal of such application or applications by the CAT and it being established in terms satisfactory to Comcast that no further appeal has been or will be made against any relevant ruling of the CAT;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8" w:name="page319"/>
    <w:bookmarkEnd w:id="318"/>
    <w:p>
      <w:pPr>
        <w:jc w:val="both"/>
        <w:ind w:left="660" w:hanging="652"/>
        <w:spacing w:after="0" w:line="264"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Italian Communications Authority having granted on terms satisfactory to Comcast the authorisation concerning the acquisition of a company operating in the Radio/TV sector, pursuant to Article 1(6), lett. C), no. 13 of Law no. 249/1997 and Article 3, Annex A of Agcom resolution 368/14/CONS;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Italian Communications Authority having granted (or being deemed to have done so) the authorisation concerning the potential acquisition of a dominant position in the media and telecommunication sectors and the control of pluralism, pursuant to Article 43 of Legislative Decree no. 177/2005, through a decision in terms satisfactory to Comcast not to open an investigation under Article 4(8), Annex A of Agcom resolution 368/14/CONS; or</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(i) the Italian Communications Authority having made a decision (or being deemed to have made) to initiate an investigation under Article 16, Annex A of the Agcom resolution 368/14/CONS; and (ii) the Italian Communications Authority having issued a decision under Article 24, Annex A of the Agcom resolution 368/14/CONS in terms satisfactory to Comcast pursuant to Article 43 of Legislative Decree no. 177/2005 (or being deemed to have done so); and</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time allowed for an application for review of any decision referred to in Conditions 7, 7(a) and 7(b), having expired without any such application for review having been made to the Italian First Instance Administrative Court or to the President of the Italian Republic (through a </w:t>
      </w:r>
      <w:r>
        <w:rPr>
          <w:rFonts w:ascii="Arial" w:cs="Arial" w:eastAsia="Arial" w:hAnsi="Arial"/>
          <w:sz w:val="18"/>
          <w:szCs w:val="18"/>
          <w:i w:val="1"/>
          <w:iCs w:val="1"/>
          <w:color w:val="auto"/>
        </w:rPr>
        <w:t>Ricorso Straordinario al Capo dello Stato</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state media authorities in Bavaria (</w:t>
      </w:r>
      <w:r>
        <w:rPr>
          <w:rFonts w:ascii="Arial" w:cs="Arial" w:eastAsia="Arial" w:hAnsi="Arial"/>
          <w:sz w:val="18"/>
          <w:szCs w:val="18"/>
          <w:i w:val="1"/>
          <w:iCs w:val="1"/>
          <w:color w:val="auto"/>
        </w:rPr>
        <w:t>Bayerische Landeszentrale für neue Medien</w:t>
      </w:r>
      <w:r>
        <w:rPr>
          <w:rFonts w:ascii="Arial" w:cs="Arial" w:eastAsia="Arial" w:hAnsi="Arial"/>
          <w:sz w:val="18"/>
          <w:szCs w:val="18"/>
          <w:color w:val="auto"/>
        </w:rPr>
        <w:t xml:space="preserve"> (BLM)), and in Hamburg and Schleswig-Holstein (</w:t>
      </w:r>
      <w:r>
        <w:rPr>
          <w:rFonts w:ascii="Arial" w:cs="Arial" w:eastAsia="Arial" w:hAnsi="Arial"/>
          <w:sz w:val="18"/>
          <w:szCs w:val="18"/>
          <w:i w:val="1"/>
          <w:iCs w:val="1"/>
          <w:color w:val="auto"/>
        </w:rPr>
        <w:t>Medienanstalt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Hamburg / Schleswig-Holstein </w:t>
      </w:r>
      <w:r>
        <w:rPr>
          <w:rFonts w:ascii="Arial" w:cs="Arial" w:eastAsia="Arial" w:hAnsi="Arial"/>
          <w:sz w:val="18"/>
          <w:szCs w:val="18"/>
          <w:color w:val="auto"/>
        </w:rPr>
        <w:t>(MA HSH)) having, issued statements of non-objection in relation to the Acquisition;</w:t>
      </w:r>
    </w:p>
    <w:p>
      <w:pPr>
        <w:spacing w:after="0" w:line="166"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Acquisition having been notified to the Irish Minister for Communications, Climate Action and Environment (the “</w:t>
      </w:r>
      <w:r>
        <w:rPr>
          <w:rFonts w:ascii="Arial" w:cs="Arial" w:eastAsia="Arial" w:hAnsi="Arial"/>
          <w:sz w:val="18"/>
          <w:szCs w:val="18"/>
          <w:b w:val="1"/>
          <w:bCs w:val="1"/>
          <w:color w:val="auto"/>
        </w:rPr>
        <w:t>Minister</w:t>
      </w:r>
      <w:r>
        <w:rPr>
          <w:rFonts w:ascii="Arial" w:cs="Arial" w:eastAsia="Arial" w:hAnsi="Arial"/>
          <w:sz w:val="18"/>
          <w:szCs w:val="18"/>
          <w:color w:val="auto"/>
        </w:rPr>
        <w:t>”) pursuant to Section 28B(1) of the Competition Act and:</w:t>
      </w:r>
    </w:p>
    <w:p>
      <w:pPr>
        <w:spacing w:after="0" w:line="165"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Minister having informed the notifying parties pursuant to Section 28D(1)(a) of the Competition Act that he has made a determination that the Acquisition will not be contrary to the public interest in protecting plurality of media in Ireland and may be put into effect; or</w:t>
      </w:r>
    </w:p>
    <w:p>
      <w:pPr>
        <w:spacing w:after="0" w:line="123" w:lineRule="exact"/>
        <w:rPr>
          <w:rFonts w:ascii="Arial" w:cs="Arial" w:eastAsia="Arial" w:hAnsi="Arial"/>
          <w:sz w:val="16"/>
          <w:szCs w:val="16"/>
          <w:color w:val="auto"/>
        </w:rPr>
      </w:pPr>
    </w:p>
    <w:p>
      <w:pPr>
        <w:jc w:val="both"/>
        <w:ind w:left="1300" w:hanging="644"/>
        <w:spacing w:after="0" w:line="286" w:lineRule="auto"/>
        <w:tabs>
          <w:tab w:leader="none" w:pos="13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Minister having informed the notifying parties pursuant to Section 28D(1)(b) of the Competition Act that, in light of proposed commitments offered by the parties and satisfactory to Comcast, he has made a determination that the Acquisition will not be contrary to the public interest in protecting plurality of media in Ireland and may be put into effect subject to those commitments; or</w:t>
      </w:r>
    </w:p>
    <w:p>
      <w:pPr>
        <w:spacing w:after="0" w:line="165" w:lineRule="exact"/>
        <w:rPr>
          <w:rFonts w:ascii="Arial" w:cs="Arial" w:eastAsia="Arial" w:hAnsi="Arial"/>
          <w:sz w:val="17"/>
          <w:szCs w:val="17"/>
          <w:color w:val="auto"/>
        </w:rPr>
      </w:pPr>
    </w:p>
    <w:p>
      <w:pPr>
        <w:ind w:left="1300" w:right="20" w:hanging="644"/>
        <w:spacing w:after="0" w:line="308" w:lineRule="auto"/>
        <w:tabs>
          <w:tab w:leader="none" w:pos="13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Minister having informed the notifying parties pursuant to Section 28G(1)(a) of the Competition Act that he has determined that the Acquisition will not be contrary to the public interest in protecting plurality of media in Ireland and may be put into effect; or</w:t>
      </w:r>
    </w:p>
    <w:p>
      <w:pPr>
        <w:spacing w:after="0" w:line="146"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Minister having informed the notifying parties pursuant to Section 28G(1)(c) of the Competition Act that, in light of proposed commitments offered by the parties and satisfactory to Comcast, he has made a determination that the Acquisition will not be contrary to the public interest in protecting plurality of media in Ireland and may be put into effect subject to those commitments;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9" w:name="page320"/>
    <w:bookmarkEnd w:id="319"/>
    <w:p>
      <w:pPr>
        <w:ind w:left="1300" w:hanging="644"/>
        <w:spacing w:after="0" w:line="308" w:lineRule="auto"/>
        <w:tabs>
          <w:tab w:leader="none" w:pos="130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40 working days having passed from the date the notifying parties are informed of the Minister’s decision under either of paragraphs (a), (b), (c) or (d) above and no appeal having been made to the High Court under Section 24 of the Competition Act;</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under the Austrian media merger control regime of the Austrian Cartel Act (</w:t>
      </w:r>
      <w:r>
        <w:rPr>
          <w:rFonts w:ascii="Arial" w:cs="Arial" w:eastAsia="Arial" w:hAnsi="Arial"/>
          <w:sz w:val="18"/>
          <w:szCs w:val="18"/>
          <w:i w:val="1"/>
          <w:iCs w:val="1"/>
          <w:color w:val="auto"/>
        </w:rPr>
        <w:t>Kartellgesetz</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both of the competent Austrian antitrust authorities (</w:t>
      </w:r>
      <w:r>
        <w:rPr>
          <w:rFonts w:ascii="Arial" w:cs="Arial" w:eastAsia="Arial" w:hAnsi="Arial"/>
          <w:sz w:val="18"/>
          <w:szCs w:val="18"/>
          <w:i w:val="1"/>
          <w:iCs w:val="1"/>
          <w:color w:val="auto"/>
        </w:rPr>
        <w:t>Amtsparteien</w:t>
      </w:r>
      <w:r>
        <w:rPr>
          <w:rFonts w:ascii="Arial" w:cs="Arial" w:eastAsia="Arial" w:hAnsi="Arial"/>
          <w:sz w:val="18"/>
          <w:szCs w:val="18"/>
          <w:color w:val="auto"/>
        </w:rPr>
        <w:t>) having waived their right to file for an application for examination (</w:t>
      </w:r>
      <w:r>
        <w:rPr>
          <w:rFonts w:ascii="Arial" w:cs="Arial" w:eastAsia="Arial" w:hAnsi="Arial"/>
          <w:sz w:val="18"/>
          <w:szCs w:val="18"/>
          <w:i w:val="1"/>
          <w:iCs w:val="1"/>
          <w:color w:val="auto"/>
        </w:rPr>
        <w:t>Verzicht auf Stellung eines Prüfantrags</w:t>
      </w:r>
      <w:r>
        <w:rPr>
          <w:rFonts w:ascii="Arial" w:cs="Arial" w:eastAsia="Arial" w:hAnsi="Arial"/>
          <w:sz w:val="18"/>
          <w:szCs w:val="18"/>
          <w:color w:val="auto"/>
        </w:rPr>
        <w:t>) of the Acquisition pursuant to Section 11 (4) of the Austrian Cartel Act; or the standstill period (</w:t>
      </w:r>
      <w:r>
        <w:rPr>
          <w:rFonts w:ascii="Arial" w:cs="Arial" w:eastAsia="Arial" w:hAnsi="Arial"/>
          <w:sz w:val="18"/>
          <w:szCs w:val="18"/>
          <w:i w:val="1"/>
          <w:iCs w:val="1"/>
          <w:color w:val="auto"/>
        </w:rPr>
        <w:t>Antragsfrist</w:t>
      </w:r>
      <w:r>
        <w:rPr>
          <w:rFonts w:ascii="Arial" w:cs="Arial" w:eastAsia="Arial" w:hAnsi="Arial"/>
          <w:sz w:val="18"/>
          <w:szCs w:val="18"/>
          <w:color w:val="auto"/>
        </w:rPr>
        <w:t>) of 4 weeks (or 6 weeks upon request of the notifying party) provided for in Section 11 (1) or (1a) of the Austrian Cartel Act having lapsed and no application for examination having been made (</w:t>
      </w:r>
      <w:r>
        <w:rPr>
          <w:rFonts w:ascii="Arial" w:cs="Arial" w:eastAsia="Arial" w:hAnsi="Arial"/>
          <w:sz w:val="18"/>
          <w:szCs w:val="18"/>
          <w:i w:val="1"/>
          <w:iCs w:val="1"/>
          <w:color w:val="auto"/>
        </w:rPr>
        <w:t>keine Stellung eines Prüfungsantrags</w:t>
      </w:r>
      <w:r>
        <w:rPr>
          <w:rFonts w:ascii="Arial" w:cs="Arial" w:eastAsia="Arial" w:hAnsi="Arial"/>
          <w:sz w:val="18"/>
          <w:szCs w:val="18"/>
          <w:color w:val="auto"/>
        </w:rPr>
        <w:t>) by any of the Austrian antitrust authorities; or</w:t>
      </w:r>
    </w:p>
    <w:p>
      <w:pPr>
        <w:spacing w:after="0" w:line="188"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the event that one or both of the competent Austrian antitrust authorities has made a request for an application for examination of the Acquisition pursuant to Section 11 (1) of the Austrian Cartel Act:</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respective competent Austrian antitrust authorit(y/ies) (</w:t>
      </w:r>
      <w:r>
        <w:rPr>
          <w:rFonts w:ascii="Arial" w:cs="Arial" w:eastAsia="Arial" w:hAnsi="Arial"/>
          <w:sz w:val="18"/>
          <w:szCs w:val="18"/>
          <w:i w:val="1"/>
          <w:iCs w:val="1"/>
          <w:color w:val="auto"/>
        </w:rPr>
        <w:t>Amtspartei(en)</w:t>
      </w:r>
      <w:r>
        <w:rPr>
          <w:rFonts w:ascii="Arial" w:cs="Arial" w:eastAsia="Arial" w:hAnsi="Arial"/>
          <w:sz w:val="18"/>
          <w:szCs w:val="18"/>
          <w:color w:val="auto"/>
        </w:rPr>
        <w:t>) having withdrawn their respective application(s) for examination;</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Austrian Cartel Court (</w:t>
      </w:r>
      <w:r>
        <w:rPr>
          <w:rFonts w:ascii="Arial" w:cs="Arial" w:eastAsia="Arial" w:hAnsi="Arial"/>
          <w:sz w:val="18"/>
          <w:szCs w:val="18"/>
          <w:i w:val="1"/>
          <w:iCs w:val="1"/>
          <w:color w:val="auto"/>
        </w:rPr>
        <w:t>Kartellgericht</w:t>
      </w:r>
      <w:r>
        <w:rPr>
          <w:rFonts w:ascii="Arial" w:cs="Arial" w:eastAsia="Arial" w:hAnsi="Arial"/>
          <w:sz w:val="18"/>
          <w:szCs w:val="18"/>
          <w:color w:val="auto"/>
        </w:rPr>
        <w:t>) or Austrian Supreme Cartel Court (</w:t>
      </w:r>
      <w:r>
        <w:rPr>
          <w:rFonts w:ascii="Arial" w:cs="Arial" w:eastAsia="Arial" w:hAnsi="Arial"/>
          <w:sz w:val="18"/>
          <w:szCs w:val="18"/>
          <w:i w:val="1"/>
          <w:iCs w:val="1"/>
          <w:color w:val="auto"/>
        </w:rPr>
        <w:t>Kartellobergericht</w:t>
      </w:r>
      <w:r>
        <w:rPr>
          <w:rFonts w:ascii="Arial" w:cs="Arial" w:eastAsia="Arial" w:hAnsi="Arial"/>
          <w:sz w:val="18"/>
          <w:szCs w:val="18"/>
          <w:color w:val="auto"/>
        </w:rPr>
        <w:t>) having issued a binding clearance decision (</w:t>
      </w:r>
      <w:r>
        <w:rPr>
          <w:rFonts w:ascii="Arial" w:cs="Arial" w:eastAsia="Arial" w:hAnsi="Arial"/>
          <w:sz w:val="18"/>
          <w:szCs w:val="18"/>
          <w:i w:val="1"/>
          <w:iCs w:val="1"/>
          <w:color w:val="auto"/>
        </w:rPr>
        <w:t>rechtskräftige Freigabeentscheidung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Austrian Cartel Court or Austrian Supreme Cartel Court having issued a binding decision (</w:t>
      </w:r>
      <w:r>
        <w:rPr>
          <w:rFonts w:ascii="Arial" w:cs="Arial" w:eastAsia="Arial" w:hAnsi="Arial"/>
          <w:sz w:val="18"/>
          <w:szCs w:val="18"/>
          <w:i w:val="1"/>
          <w:iCs w:val="1"/>
          <w:color w:val="auto"/>
        </w:rPr>
        <w:t>rechtskräftige Entscheidung</w:t>
      </w:r>
      <w:r>
        <w:rPr>
          <w:rFonts w:ascii="Arial" w:cs="Arial" w:eastAsia="Arial" w:hAnsi="Arial"/>
          <w:sz w:val="18"/>
          <w:szCs w:val="18"/>
          <w:color w:val="auto"/>
        </w:rPr>
        <w:t>) that no notifiable event (</w:t>
      </w:r>
      <w:r>
        <w:rPr>
          <w:rFonts w:ascii="Arial" w:cs="Arial" w:eastAsia="Arial" w:hAnsi="Arial"/>
          <w:sz w:val="18"/>
          <w:szCs w:val="18"/>
          <w:i w:val="1"/>
          <w:iCs w:val="1"/>
          <w:color w:val="auto"/>
        </w:rPr>
        <w:t>kein anmeldepflichtiger Zusammenschluss</w:t>
      </w:r>
      <w:r>
        <w:rPr>
          <w:rFonts w:ascii="Arial" w:cs="Arial" w:eastAsia="Arial" w:hAnsi="Arial"/>
          <w:sz w:val="18"/>
          <w:szCs w:val="18"/>
          <w:color w:val="auto"/>
        </w:rPr>
        <w:t>) arises from the Acquisition;</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Austrian Cartel Court or Austrian Supreme Cartel Court having issued a binding decision providing for the termination of the proceedings based on the expiry of the waiting period of 5 months (or 6 months upon request of the notifying party) set out in Section 14 (1) of the Austrian Cartel Act; or</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the Austrian Supreme Cartel Court having issued a binding decision providing for the termination of the proceedings based on the expiry of the waiting period of 2 months set out in Section 14 (2) of the Austrian Cartel Act;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respect of the acquisition by Comcast of, or increase in control by Comcast with respect to, Sky UK Limited, the FCA:</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having given notice for the purposes of Section 189(4)(a) of FSMA that it has determined to approve such acquisition or increase in control on terms reasonably satisfactory to Comcast; or</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being treated, by virtue of Section 189(6) of FSMA, as having approved such acquisition of or increase in control, where references to FSMA are read, where applicable, with the Financial Services and Markets Act 2000 (Controllers) (Exemptions) Order 2009;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0" w:name="page321"/>
    <w:bookmarkEnd w:id="320"/>
    <w:p>
      <w:pPr>
        <w:ind w:left="660" w:right="20" w:hanging="652"/>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approval from a Relevant Authority is required for, or a Relevant Authority decides to review, the Acquisition or any matter arising from or related to the Acquisition other than as specifically addressed by paragraphs 2 to 11 above: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it being established in terms satisfactory to Comcast that such Relevant Authority approves or will permit the Acquisition to proceed on terms satisfactory to Comcast; and</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all relevant time periods for appeals or applications for review of such decision by the Relevant Authority having expired or, if any such appeals or applications are made, the dismissal of the appeals or applications in terms satisfactory to Comcast and it being established in terms satisfactory to Comcast that no further appeal has been or will be made against any relevant ruling.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Third Party Clearances</w:t>
      </w:r>
    </w:p>
    <w:p>
      <w:pPr>
        <w:spacing w:after="0" w:line="229" w:lineRule="exact"/>
        <w:rPr>
          <w:sz w:val="20"/>
          <w:szCs w:val="20"/>
          <w:color w:val="auto"/>
        </w:rPr>
      </w:pPr>
    </w:p>
    <w:p>
      <w:pPr>
        <w:jc w:val="both"/>
        <w:ind w:left="660" w:hanging="652"/>
        <w:spacing w:after="0" w:line="273" w:lineRule="auto"/>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waiver (or non-exercise within any applicable time limits) by any relevant government or governmental, quasi-governmental, supranational, statutory, regulatory, environmental or investigative body, court, trade agency, association, institution, any entity owned or controlled by any relevant government or state, or any other body or person whatsoever in any jurisdiction (each a “</w:t>
      </w:r>
      <w:r>
        <w:rPr>
          <w:rFonts w:ascii="Arial" w:cs="Arial" w:eastAsia="Arial" w:hAnsi="Arial"/>
          <w:sz w:val="17"/>
          <w:szCs w:val="17"/>
          <w:b w:val="1"/>
          <w:bCs w:val="1"/>
          <w:color w:val="auto"/>
        </w:rPr>
        <w:t>Third Party</w:t>
      </w:r>
      <w:r>
        <w:rPr>
          <w:rFonts w:ascii="Arial" w:cs="Arial" w:eastAsia="Arial" w:hAnsi="Arial"/>
          <w:sz w:val="17"/>
          <w:szCs w:val="17"/>
          <w:color w:val="auto"/>
        </w:rPr>
        <w:t>”) of any termination right, right of pre-emption, first refusal or similar right (which is material in the context of the Wider Sky Group taken as a whole) arising as a result of or in connection with the Acquisition including, without limitation, its implementation and financing or the proposed direct or indirect acquisition of any shares or other securities in, or control of, Sky by Comcast or any member of the Comcast Group.</w:t>
      </w:r>
    </w:p>
    <w:p>
      <w:pPr>
        <w:spacing w:after="0" w:line="178"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Other than in relation to the competition law and regulatory approvals referred to in paragraphs 2 to 12 above, no Third Party having decided to take, institute, implement or threaten any action, proceeding, suit, investigation, enquiry or reference, or enacted, made or proposed any statute, regulation, decision or order, or having taken any other steps which would or might reasonably be expected to:</w:t>
      </w:r>
    </w:p>
    <w:p>
      <w:pPr>
        <w:spacing w:after="0" w:line="181"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require, prevent or delay the divestiture, or alter the terms envisaged for any proposed divestiture by any member of the Wider Comcast Group or any member of the Wider Sky Group of all or any portion of their respective businesses, assets or property or impose any limitation on the ability of any of them to conduct their respective businesses (or any of them) or to own any of their respective assets or properties or any part thereof which in any such case would be material in the context of the Wider Sky Group taken as a whole;</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require, prevent or delay the divestiture by any member of the Wider Comcast Group of any shares or other securities in Sky;</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impose any limitation on, or result in a delay in, the ability of any member of the Wider Comcast Group directly or indirectly to acquire or to hold or to exercise effectively any rights of ownership in respect of shares or loans or securities convertible into shares or any other securities (or the equivalent) in any member of the Wider Sky Group or the Wider Comcast Group or to exercise management control over any such member, in each case, to an extent which is material;</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otherwise adversely affect the business, assets, profits or prospects of any member of the Wider Comcast Group or of any member of the Wider Sky Group;</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make the Acquisition or its implementation or the acquisition or proposed acquisition by Comcast or any member of the Wider Comcast Group of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1" w:name="page322"/>
    <w:bookmarkEnd w:id="321"/>
    <w:p>
      <w:pPr>
        <w:jc w:val="both"/>
        <w:ind w:left="1300"/>
        <w:spacing w:after="0" w:line="264" w:lineRule="auto"/>
        <w:rPr>
          <w:sz w:val="20"/>
          <w:szCs w:val="20"/>
          <w:color w:val="auto"/>
        </w:rPr>
      </w:pPr>
      <w:r>
        <w:rPr>
          <w:rFonts w:ascii="Arial" w:cs="Arial" w:eastAsia="Arial" w:hAnsi="Arial"/>
          <w:sz w:val="18"/>
          <w:szCs w:val="18"/>
          <w:color w:val="auto"/>
        </w:rPr>
        <w:t>shares or other securities in, or control of Sky void, illegal, and/or unenforceable under the laws of any jurisdiction, or otherwise, directly or indirectly, restrain, restrict, prohibit, delay or otherwise interfere with the same, or impose material additional conditions or obligations with respect thereto, or otherwise challenge or interfere therewith;</w:t>
      </w:r>
    </w:p>
    <w:p>
      <w:pPr>
        <w:spacing w:after="0" w:line="181" w:lineRule="exact"/>
        <w:rPr>
          <w:sz w:val="20"/>
          <w:szCs w:val="20"/>
          <w:color w:val="auto"/>
        </w:rPr>
      </w:pPr>
    </w:p>
    <w:p>
      <w:pPr>
        <w:jc w:val="both"/>
        <w:ind w:left="1300" w:hanging="644"/>
        <w:spacing w:after="0" w:line="259" w:lineRule="auto"/>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require any member of the Wider Comcast Group or the Wider Sky Group to offer to acquire any shares or other securities (or the equivalent) or interest in any member of the Wider Sky Group or the Wider Comcast Group owned by any third party where such acquisition would be material in the context of the Wider Sky Group taken as a whole or, as the case may be, the Wider Comcast Group taken as a whole;</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impose any limitation on the ability of any member of the Wider Sky Group to co-ordinate its business, or any part of it, with the businesses of any other members;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result in any member of the Wider Sky Group ceasing to be able to carry on business under any name under which it presently does so,</w:t>
      </w:r>
    </w:p>
    <w:p>
      <w:pPr>
        <w:spacing w:after="0" w:line="24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and all applicable waiting and other time periods during which any such Third Party could institute, implement or threaten any action, proceeding, suit, investigation, enquiry or reference or any other step under the laws of any jurisdiction in respect of the Acquisition or the acquisition or proposed acquisition of any Sky Shares having expired, lapsed or been terminated.</w:t>
      </w:r>
    </w:p>
    <w:p>
      <w:pPr>
        <w:spacing w:after="0" w:line="181" w:lineRule="exact"/>
        <w:rPr>
          <w:sz w:val="20"/>
          <w:szCs w:val="20"/>
          <w:color w:val="auto"/>
        </w:rPr>
      </w:pPr>
    </w:p>
    <w:p>
      <w:pPr>
        <w:jc w:val="both"/>
        <w:ind w:left="660" w:hanging="652"/>
        <w:spacing w:after="0" w:line="287" w:lineRule="auto"/>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In addition to the competition law and regulatory approvals referred to in paragraphs 2 to 12 above, all necessary filings or applications having been made in connection with the Acquisition and all statutory or regulatory obligations in any jurisdiction having been complied with in connection with the Acquisition or the acquisition by any member of the Wider Comcast Group of any shares or other securities in, or control of, Sky and all authorisations, orders, recognitions, grants, consents, licences, confirmations, clearances, permissions and approvals for the proposed acquisition of any shares or other securities in, or control of, Sky by any member of the Wider Comcast Group having been obtained in terms and in a form satisfactory to Comcast from all appropriate Third Parties or persons with whom any member of the Wider Sky Group has entered into contractual arrangements and all such authorisations, orders, recognitions, grants, consents, licences, confirmations, clearances, permissions and approvals together with all authorisations orders, recognitions, grants, licences, confirmations, clearances, permissions and approvals necessary or appropriate to carry on the business of any member of the Wider Sky Group remaining in full force and effect and all filings necessary for such purpose have been made and there being no notice or intimation of any intention to revoke or not to renew any of the same at the time at which the Acquisition becomes otherwise unconditional and all necessary statutory or regulatory obligations in any jurisdiction having been complied with.</w:t>
      </w:r>
    </w:p>
    <w:p>
      <w:pPr>
        <w:spacing w:after="0" w:line="16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Certain matters arising as a result of any arrangement, agreement etc.</w:t>
      </w:r>
    </w:p>
    <w:p>
      <w:pPr>
        <w:spacing w:after="0" w:line="229" w:lineRule="exact"/>
        <w:rPr>
          <w:rFonts w:ascii="Arial" w:cs="Arial" w:eastAsia="Arial" w:hAnsi="Arial"/>
          <w:sz w:val="16"/>
          <w:szCs w:val="16"/>
          <w:color w:val="auto"/>
        </w:rPr>
      </w:pPr>
    </w:p>
    <w:p>
      <w:pPr>
        <w:jc w:val="both"/>
        <w:ind w:left="660" w:hanging="652"/>
        <w:spacing w:after="0" w:line="25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Except as Disclosed, there being no provision of any agreement, arrangement, licence, permit or other instrument to which any member of the Wider Sky Group is a party or by or to which any such member or any of its assets may be bound, entitled or subject, which in consequence of the Acquisition or the proposed acquisition of any shares or other securities in Sky or because of a change in the control or management of Sky or otherwise, could or might reasonably be expected to result in to an extent which is material in the context of the Wider Sky Group as a whole, or in the context of the Acquisition: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22" w:name="page323"/>
    <w:bookmarkEnd w:id="322"/>
    <w:p>
      <w:pPr>
        <w:jc w:val="both"/>
        <w:ind w:left="1300" w:hanging="644"/>
        <w:spacing w:after="0" w:line="259" w:lineRule="auto"/>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moneys borrowed by or any other indebtedness (actual or contingent) of, or grant available to any such member, being or becoming repayable or capable of being declared repayable immediately or earlier than their or its stated maturity date or repayment date or the ability of any such member to borrow moneys or incur any indebtedness being withdrawn or inhibited or being capable of becoming or being withdrawn or inhibited;</w:t>
      </w:r>
    </w:p>
    <w:p>
      <w:pPr>
        <w:spacing w:after="0" w:line="186"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any such agreement, arrangement, licence, permit or instrument or the rights, liabilities, obligations or interests of any such member thereunder being terminated or modified or affected or any obligation or liability arising or any action being taken or arising thereunder;</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assets or interests of any such member being or falling to be disposed of or charged or any right arising under which any such asset or interest could be required to be disposed of or charged other than in the ordinary course of business;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creation or enforcement of any mortgage, charge or other security interest over the whole or any part of the business, property or assets of any such member;</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rights, liabilities, obligations or interests of any such member in, or the business of any such member with, any person, firm or body (or any arrangement or arrangements relating to any such interest or business) being terminated, adversely modified or affected;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value of any such member or its financial or trading position or prospects being prejudiced or adversely affected;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such member ceasing to be able to carry on business under any name under which it presently does so;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creation of any liability, actual or contingent, by any such member,</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and no event having occurred which, under any provision of any agreement, arrangement, licence, permit or other instrument to which any member of the Wider Sky Group is a party or by or to which any such member or any of its assets may be bound, entitled or subject, would or might reasonably be expected to result in any of the events or circumstances as are referred to in sub-paragraphs (a) to (h) of this condition.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 material transactions, claims or changes in the conduct of the business of the Sky Group</w:t>
      </w:r>
    </w:p>
    <w:p>
      <w:pPr>
        <w:spacing w:after="0" w:line="229"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Except as Disclosed, no member of the Wider Sky Group having, since 30 June 2017:</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313"/>
        </w:numPr>
        <w:rPr>
          <w:rFonts w:ascii="Arial" w:cs="Arial" w:eastAsia="Arial" w:hAnsi="Arial"/>
          <w:sz w:val="17"/>
          <w:szCs w:val="17"/>
          <w:color w:val="auto"/>
        </w:rPr>
      </w:pPr>
      <w:r>
        <w:rPr>
          <w:rFonts w:ascii="Arial" w:cs="Arial" w:eastAsia="Arial" w:hAnsi="Arial"/>
          <w:sz w:val="17"/>
          <w:szCs w:val="17"/>
          <w:color w:val="auto"/>
        </w:rPr>
        <w:t>save as between Sky and wholly-owned subsidiaries of Sky or for Sky Shares issued pursuant to the exercise of options or vesting of awards granted under the Sky Share Plans, issued, authorised or proposed the issue of additional shares of any class;</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save as between Sky and wholly-owned subsidiaries of Sky or for the grant of options and awards under the Sky Share Plans, issued or agreed to issue, authorised or proposed the issue of securities convertible into shares of any class or rights, warrants or options to subscribe for, or acquire, any such shares or convertible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3" w:name="page324"/>
    <w:bookmarkEnd w:id="323"/>
    <w:p>
      <w:pPr>
        <w:ind w:left="644" w:hanging="644"/>
        <w:spacing w:after="0" w:line="27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other than to another member of the Sky Group, recommended, declared, paid or made or proposed to recommend, declare, pay or make any bonus, dividend or other distribution whether payable in cash or otherwise;</w:t>
      </w:r>
    </w:p>
    <w:p>
      <w:pPr>
        <w:spacing w:after="0" w:line="170"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save for intra-Sky Group transactions, merged or demerged with any body corporate or acquired or disposed of or transferred, mortgaged or charged or created any security interest over any assets or any right, title or interest in any asset (including shares and trade investments) or authorised or proposed or announced any intention to propose any merger, demerger, acquisition or disposal, transfer, mortgage, charge or security interest, in each case, other than in the ordinary course of business;</w:t>
      </w:r>
    </w:p>
    <w:p>
      <w:pPr>
        <w:spacing w:after="0" w:line="171" w:lineRule="exact"/>
        <w:rPr>
          <w:rFonts w:ascii="Arial" w:cs="Arial" w:eastAsia="Arial" w:hAnsi="Arial"/>
          <w:sz w:val="17"/>
          <w:szCs w:val="17"/>
          <w:color w:val="auto"/>
        </w:rPr>
      </w:pPr>
    </w:p>
    <w:p>
      <w:pPr>
        <w:ind w:left="644" w:right="20" w:hanging="644"/>
        <w:spacing w:after="0" w:line="27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save for intra-Sky Group transactions, made or authorised or proposed or announced an intention to propose any material change in its loan capital;</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issued, authorised or proposed the issue of any debentures or (save for intra-Sky Group transactions), save in the ordinary course of business, incurred or increased any indebtedness or become subject to any contingent liability;</w:t>
      </w:r>
    </w:p>
    <w:p>
      <w:pPr>
        <w:spacing w:after="0" w:line="170" w:lineRule="exact"/>
        <w:rPr>
          <w:rFonts w:ascii="Arial" w:cs="Arial" w:eastAsia="Arial" w:hAnsi="Arial"/>
          <w:sz w:val="18"/>
          <w:szCs w:val="18"/>
          <w:color w:val="auto"/>
        </w:rPr>
      </w:pPr>
    </w:p>
    <w:p>
      <w:pPr>
        <w:ind w:left="644" w:right="20" w:hanging="644"/>
        <w:spacing w:after="0" w:line="342" w:lineRule="auto"/>
        <w:tabs>
          <w:tab w:leader="none" w:pos="64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purchased, redeemed or repaid or announced any proposal to purchase, redeem or repay any of its own shares or other securities or reduced or, save in respect to the matters mentioned in sub-paragraph (a) above, made any other change to any part of its share capital;</w:t>
      </w:r>
    </w:p>
    <w:p>
      <w:pPr>
        <w:spacing w:after="0" w:line="123" w:lineRule="exact"/>
        <w:rPr>
          <w:rFonts w:ascii="Arial" w:cs="Arial" w:eastAsia="Arial" w:hAnsi="Arial"/>
          <w:sz w:val="16"/>
          <w:szCs w:val="16"/>
          <w:color w:val="auto"/>
        </w:rPr>
      </w:pPr>
    </w:p>
    <w:p>
      <w:pPr>
        <w:jc w:val="both"/>
        <w:ind w:left="644" w:hanging="644"/>
        <w:spacing w:after="0" w:line="264"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implemented, or authorised, proposed or announced its intention to implement, any reconstruction, amalgamation, scheme, commitment or other transaction or arrangement otherwise than in the ordinary course of business or entered into or changed the terms of any contract with any director or senior executive;</w:t>
      </w:r>
    </w:p>
    <w:p>
      <w:pPr>
        <w:spacing w:after="0" w:line="181"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entered into or varied or authorised, proposed or announced its intention to enter into or vary any contract, transaction or commitment (whether in respect of capital expenditure or otherwise) which is of a long term, onerous or unusual nature or magnitude or which is or could be restrictive on the businesses of any member of the Wider Sky Group or the Wider Comcast Group or which involves or could involve an obligation of such a nature or magnitude or which is other than in the ordinary course of business and which, in any such case, is material in the context of the Wider Sky Group taken as a whole;</w:t>
      </w:r>
    </w:p>
    <w:p>
      <w:pPr>
        <w:spacing w:after="0" w:line="188"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(other than in respect of a member which is dormant and was solvent at the relevant time) taken any corporate action or had any legal proceedings started or threatened against it for its winding-up, dissolution or reorganisation or for the appointment of a receiver, administrative receiver, administrator, trustee or similar officer of all or any of its assets or revenues or any analogous proceedings in any jurisdiction or had any such person appointed;</w:t>
      </w:r>
    </w:p>
    <w:p>
      <w:pPr>
        <w:spacing w:after="0" w:line="186" w:lineRule="exact"/>
        <w:rPr>
          <w:rFonts w:ascii="Arial" w:cs="Arial" w:eastAsia="Arial" w:hAnsi="Arial"/>
          <w:sz w:val="18"/>
          <w:szCs w:val="18"/>
          <w:color w:val="auto"/>
        </w:rPr>
      </w:pPr>
    </w:p>
    <w:p>
      <w:pPr>
        <w:ind w:left="644" w:hanging="644"/>
        <w:spacing w:after="0" w:line="308" w:lineRule="auto"/>
        <w:tabs>
          <w:tab w:leader="none" w:pos="64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entered into any contract, transaction or arrangement which would be restrictive on the business of any member of the Wider Sky Group or the Wider Comcast Group other than to a nature and extent which is normal in the context of the business concerned;</w:t>
      </w:r>
    </w:p>
    <w:p>
      <w:pPr>
        <w:spacing w:after="0" w:line="146"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waived or compromised any claim otherwise than in the ordinary course of business and which is material in the context of the Wider Sky Group taken as a whole;</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entered into any contract, commitment, arrangement or agreement otherwise than in the ordinary course of business or passed any resolution or made any offer (which remains open for acceptance) with respect to or announced any intention</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24" w:name="page325"/>
    <w:bookmarkEnd w:id="324"/>
    <w:p>
      <w:pPr>
        <w:ind w:left="1300"/>
        <w:spacing w:after="0" w:line="277" w:lineRule="auto"/>
        <w:rPr>
          <w:sz w:val="20"/>
          <w:szCs w:val="20"/>
          <w:color w:val="auto"/>
        </w:rPr>
      </w:pPr>
      <w:r>
        <w:rPr>
          <w:rFonts w:ascii="Arial" w:cs="Arial" w:eastAsia="Arial" w:hAnsi="Arial"/>
          <w:sz w:val="18"/>
          <w:szCs w:val="18"/>
          <w:color w:val="auto"/>
        </w:rPr>
        <w:t>to, or to propose to, effect any of the transactions, matters or events referred to in this condition and which is material in the context of the Wider Sky Group;</w:t>
      </w:r>
    </w:p>
    <w:p>
      <w:pPr>
        <w:spacing w:after="0" w:line="170" w:lineRule="exact"/>
        <w:rPr>
          <w:sz w:val="20"/>
          <w:szCs w:val="20"/>
          <w:color w:val="auto"/>
        </w:rPr>
      </w:pPr>
    </w:p>
    <w:p>
      <w:pPr>
        <w:ind w:left="1300" w:hanging="644"/>
        <w:spacing w:after="0"/>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having made or agreed or consented to any change to:</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terms of the trust deeds constituting the pension scheme(s) established by any member of the Wider Sky Group for its directors, employees or their dependents;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contributions payable to any such scheme(s) or to the benefits which accrue or to the pensions which are payable thereunder;</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basis on which qualification for, or accrual or entitlement to, such benefits or pensions are calculated or determined; or</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basis upon which the liabilities (including pensions) of such pension schemes are funded, valued or made;</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proposed, agreed to provide or modified the terms of any share option scheme, incentive scheme or other benefit plans relating to the employment or termination of employment of any person employed by the Wider Sky Group and in each case which is material in the context of the Wider Sky Group taken as a whole; or</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having taken (or agreed or proposed to take) any action which requires, or would require, the consent of the Panel or the approval of Sky Shareholders in a general meeting in accordance with, or as contemplated by, Rule 21.1 of the City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for the purposes of paragraphs (c), (d), (e) and (f) of this condition, the term Sky Group shall mean Sky and its wholly-owned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 adverse change, litigation or regulatory enquiry</w:t>
      </w:r>
    </w:p>
    <w:p>
      <w:pPr>
        <w:spacing w:after="0" w:line="229"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Disclosed, since 30 June 2017:</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adverse change or deterioration having occurred in the business, assets, financial or trading position or profits or prospects of any member of the Wider Sky Group which is material in the context of the Wider Sky Group taken as a whole;</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no litigation, arbitration proceedings, prosecution or other legal proceedings to which any member of the Wider Sky Group is or may become a party (whether as a plaintiff, defendant or otherwise) and no investigation by any Third Party against or in respect of any member of the Wider Sky Group having been instituted announced or threatened by or against or remaining outstanding in respect of any member of the Wider Sky Group which is material in the context of the Wider Sky Group taken as a whole;</w:t>
      </w:r>
    </w:p>
    <w:p>
      <w:pPr>
        <w:spacing w:after="0" w:line="17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contingent or other liability having arisen or become apparent to Comcast which would be likely to materially and adversely affect any member of the Wider Sky Group, taken as a whole;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steps having been taken which are likely to result in the withdrawal, cancellation, termination or modification of any licence held by any member of the Wider Sky Group which is necessary for the proper carrying on of its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5" w:name="page326"/>
    <w:bookmarkEnd w:id="325"/>
    <w:p>
      <w:pPr>
        <w:ind w:left="660"/>
        <w:spacing w:after="0"/>
        <w:rPr>
          <w:sz w:val="20"/>
          <w:szCs w:val="20"/>
          <w:color w:val="auto"/>
        </w:rPr>
      </w:pPr>
      <w:r>
        <w:rPr>
          <w:rFonts w:ascii="Arial" w:cs="Arial" w:eastAsia="Arial" w:hAnsi="Arial"/>
          <w:sz w:val="18"/>
          <w:szCs w:val="18"/>
          <w:b w:val="1"/>
          <w:bCs w:val="1"/>
          <w:color w:val="auto"/>
        </w:rPr>
        <w:t>No discovery of certain matters</w:t>
      </w:r>
    </w:p>
    <w:p>
      <w:pPr>
        <w:spacing w:after="0" w:line="229"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Save as Disclosed, Comcast not having discovered:</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that any financial, business or other information concerning the Wider Sky Group as contained in the information publicly disclosed at any time by or on behalf of any member of the Wider Sky Group is materially misleading, contains a material misrepresentation of fact or omits to state a fact necessary to make that information not materially misleading;</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that any member of the Wider Sky Group partnership, company or other entity in which any member of the Wider Sky Group has a significant economic interest and which is not a subsidiary undertaking of Sky is subject to any liability (contingent or otherwise) which is not disclosed in the annual report and accounts of Sky for the year ended 30 June 2017; or</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information which affects the import of any information disclosed at any time by or on behalf of any member of the Wider Sky Group and which is material in the context of the Wider Sky Group.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Comcast not having discovered that:</w:t>
      </w:r>
    </w:p>
    <w:p>
      <w:pPr>
        <w:spacing w:after="0" w:line="225"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any past or present member of the Wider Sky Group has failed to comply with any and/or all applicable legislation or regulation, of any jurisdiction with regard to the storage, carriage, disposal, spillage, release, discharge, leak or emission of any waste or hazardous substance or any substance likely to impair the environment or harm human health or animal health or otherwise relating to environmental matters or the health and safety of humans, or that there has otherwise been any such storage, carriage, disposal, spillage, release, discharge, leak or emission (whether or not the same constituted a non-compliance by any person with any such legislation or regulations, and wherever the same may have taken place) any of which storage, carriage, disposal, spillage, release, discharge, leak or emission would be likely to give rise to any liability (actual or contingent) on the part of any member of the Wider Sky Group;</w:t>
      </w:r>
    </w:p>
    <w:p>
      <w:pPr>
        <w:spacing w:after="0" w:line="167" w:lineRule="exact"/>
        <w:rPr>
          <w:rFonts w:ascii="Arial" w:cs="Arial" w:eastAsia="Arial" w:hAnsi="Arial"/>
          <w:sz w:val="16"/>
          <w:szCs w:val="16"/>
          <w:color w:val="auto"/>
        </w:rPr>
      </w:pPr>
    </w:p>
    <w:p>
      <w:pPr>
        <w:jc w:val="both"/>
        <w:ind w:left="1300" w:hanging="644"/>
        <w:spacing w:after="0" w:line="276" w:lineRule="auto"/>
        <w:tabs>
          <w:tab w:leader="none" w:pos="130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there is, or is likely to be, for that or any other reason whatsoever, any liability (actual or contingent) of any past or present member of the Wider Sky Group to make good, repair, reinstate or clean up any property now or previously owned, occupied, operated or made use of or controlled by any such past or present member of the Wider Sky Group, under any environmental legislation, regulation, notice, circular or order of any government, governmental, quasi-governmental, state or local government, supranational, statutory or other regulatory body, agency, court, association or any other person or body in any jurisdiction.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Anti-corruption, sanctions and criminal property</w:t>
      </w:r>
    </w:p>
    <w:p>
      <w:pPr>
        <w:spacing w:after="0" w:line="229"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Save as Disclosed, Comcast not having discovered that:</w:t>
      </w:r>
    </w:p>
    <w:p>
      <w:pPr>
        <w:spacing w:after="0" w:line="225" w:lineRule="exact"/>
        <w:rPr>
          <w:sz w:val="20"/>
          <w:szCs w:val="20"/>
          <w:color w:val="auto"/>
        </w:rPr>
      </w:pPr>
    </w:p>
    <w:p>
      <w:pPr>
        <w:jc w:val="both"/>
        <w:ind w:left="1300" w:hanging="644"/>
        <w:spacing w:after="0" w:line="302" w:lineRule="auto"/>
        <w:tabs>
          <w:tab w:leader="none" w:pos="130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(i) any past or present member, director, officer or employee of the Wider Sky Group is or has at any time engaged in any activity, practice or conduct which would constitute an offence under the Bribery Act 2010, the U.S. Foreign Corrupt Practices Act of 1977 or any other applicable anti-corruption legislation or (ii) any person that performs or has performed services for or on behalf of the Wider Sky Group is or has at any time engaged in any activity, practice or conduct in connection with the performance of such services which would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6" w:name="page327"/>
    <w:bookmarkEnd w:id="326"/>
    <w:p>
      <w:pPr>
        <w:ind w:left="1300"/>
        <w:spacing w:after="0" w:line="277" w:lineRule="auto"/>
        <w:rPr>
          <w:sz w:val="20"/>
          <w:szCs w:val="20"/>
          <w:color w:val="auto"/>
        </w:rPr>
      </w:pPr>
      <w:r>
        <w:rPr>
          <w:rFonts w:ascii="Arial" w:cs="Arial" w:eastAsia="Arial" w:hAnsi="Arial"/>
          <w:sz w:val="18"/>
          <w:szCs w:val="18"/>
          <w:color w:val="auto"/>
        </w:rPr>
        <w:t>constitute an offence under the Bribery Act 2010, the U.S. Foreign Corrupt Practices Act of 1977 or any other applicable anti-corruption legislation; or</w:t>
      </w:r>
    </w:p>
    <w:p>
      <w:pPr>
        <w:spacing w:after="0" w:line="170" w:lineRule="exact"/>
        <w:rPr>
          <w:sz w:val="20"/>
          <w:szCs w:val="20"/>
          <w:color w:val="auto"/>
        </w:rPr>
      </w:pPr>
    </w:p>
    <w:p>
      <w:pPr>
        <w:ind w:left="1300" w:hanging="644"/>
        <w:spacing w:after="0" w:line="277" w:lineRule="auto"/>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asset of any member of the Wider Sky Group constitutes criminal property as defined by Section 340(3) of the Proceeds of Crime Act 2002 (but disregarding paragraph (b) of that definition); or</w:t>
      </w:r>
    </w:p>
    <w:p>
      <w:pPr>
        <w:spacing w:after="0" w:line="170"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past or present member, director, officer or employee of the Sky Group, or any other person for whom any such person may be liable or responsible, has engaged in any business with, made any investments in, made any funds or assets available to or received any funds or assets from: (i) any government, entity or individual in respect of which U.S. or European Union persons, or persons operating in those territories, are prohibited from engaging in activities or doing business, or from receiving or making available funds or economic resources, by U.S. or European Union laws or regulations, including the economic sanctions administered by the United States Office of Foreign Assets Control, or HM Treasury in the UK; or (ii) any government, entity or individual targeted by any of the economic sanctions of the United Nations, the United States, the European Union or any of its member states; or</w:t>
      </w:r>
    </w:p>
    <w:p>
      <w:pPr>
        <w:spacing w:after="0" w:line="177"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member of the Sky Group is or has been engaged in any transaction which would cause Comcast to be in breach of any law or regulation upon Comcast’s acquisition of Sky, including the economic sanctions of the United States Office of Foreign Assets Control, or HM Treasury in the UK, or any government, entity or individual targeted by any of the economic sanctions of the United Nations, the United States, the European Union or any of its member states.</w:t>
      </w:r>
    </w:p>
    <w:p>
      <w:pPr>
        <w:spacing w:after="0" w:line="1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2</w:t>
      </w:r>
      <w:r>
        <w:rPr>
          <w:sz w:val="20"/>
          <w:szCs w:val="20"/>
          <w:color w:val="auto"/>
        </w:rPr>
        <w:tab/>
      </w:r>
      <w:r>
        <w:rPr>
          <w:rFonts w:ascii="Arial" w:cs="Arial" w:eastAsia="Arial" w:hAnsi="Arial"/>
          <w:sz w:val="16"/>
          <w:szCs w:val="16"/>
          <w:b w:val="1"/>
          <w:bCs w:val="1"/>
          <w:color w:val="auto"/>
        </w:rPr>
        <w:t>Waiver and Invocation of the Pre-Conditions and Conditions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Comcast reserves the right to waive, in whole or in part, all or any of the Pre-Conditions in Appendix I of this Announcement or the Conditions in Part 1 above, except for Condition 1 (</w:t>
      </w:r>
      <w:r>
        <w:rPr>
          <w:rFonts w:ascii="Arial" w:cs="Arial" w:eastAsia="Arial" w:hAnsi="Arial"/>
          <w:sz w:val="17"/>
          <w:szCs w:val="17"/>
          <w:i w:val="1"/>
          <w:iCs w:val="1"/>
          <w:color w:val="auto"/>
        </w:rPr>
        <w:t>Acceptance Condition</w:t>
      </w:r>
      <w:r>
        <w:rPr>
          <w:rFonts w:ascii="Arial" w:cs="Arial" w:eastAsia="Arial" w:hAnsi="Arial"/>
          <w:sz w:val="17"/>
          <w:szCs w:val="17"/>
          <w:color w:val="auto"/>
        </w:rPr>
        <w:t>) and Condition 11 (</w:t>
      </w:r>
      <w:r>
        <w:rPr>
          <w:rFonts w:ascii="Arial" w:cs="Arial" w:eastAsia="Arial" w:hAnsi="Arial"/>
          <w:sz w:val="17"/>
          <w:szCs w:val="17"/>
          <w:i w:val="1"/>
          <w:iCs w:val="1"/>
          <w:color w:val="auto"/>
        </w:rPr>
        <w:t>FCA Regulatory Condition</w:t>
      </w:r>
      <w:r>
        <w:rPr>
          <w:rFonts w:ascii="Arial" w:cs="Arial" w:eastAsia="Arial" w:hAnsi="Arial"/>
          <w:sz w:val="17"/>
          <w:szCs w:val="17"/>
          <w:color w:val="auto"/>
        </w:rPr>
        <w:t>) which cannot be waived. Once the Pre-Conditions have been satisfied (or waived, as applicable), the Acquisition will be subject to the satisfaction (or waiver, if permitted) of the Conditions in Part 1 above, and to certain further terms set out in Part 3 below, and to the full terms and conditions which will be set out in the Offer Document and the Form of Acceptance. In the event that any or all of the Pre-Conditions are waived (rather than satisfied), they will remain as Conditions to the Acquisition, such Conditions being substantially in the form set out in paragraphs 2, 3, 5 and 6 (inclusive) of Part 1 of Appendix II to this Announcement.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shall lapse unless all of the Conditions have been fulfilled or, where permitted, waived or, where appropriate, have been determined by Comcast to be or remain satisfied, by midnight (London time) on the 21st day after the later of (i) the first closing date of the Offer; and (ii) the date on which the Offer becomes or is declared unconditional as to acceptances (or, in each case, such later date as Comcast may determine, with the consent of the Panel).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shall be under no obligation to waive or treat as satisfied any of the Pre-Conditions or Conditions which are capable of waiver by a date earlier than the latest date specified above for the fulfilment or waiver thereof, notwithstanding that the other Pre-Conditions or Conditions to the Acquisition may at such earlier date have been waived or fulfilled and that there are at such earlier date no circumstances indicating that any of such Pre-Conditions or Conditions may not be capable of fulfilment.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the Pre-Condition set out in:</w:t>
      </w:r>
    </w:p>
    <w:p>
      <w:pPr>
        <w:spacing w:after="0" w:line="225" w:lineRule="exact"/>
        <w:rPr>
          <w:sz w:val="20"/>
          <w:szCs w:val="20"/>
          <w:color w:val="auto"/>
        </w:rPr>
      </w:pPr>
    </w:p>
    <w:p>
      <w:pPr>
        <w:ind w:left="660" w:right="20" w:hanging="652"/>
        <w:spacing w:after="0" w:line="277"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paragraph 1 or 3 (</w:t>
      </w:r>
      <w:r>
        <w:rPr>
          <w:rFonts w:ascii="Arial" w:cs="Arial" w:eastAsia="Arial" w:hAnsi="Arial"/>
          <w:sz w:val="18"/>
          <w:szCs w:val="18"/>
          <w:i w:val="1"/>
          <w:iCs w:val="1"/>
          <w:color w:val="auto"/>
        </w:rPr>
        <w:t>European Commission or CMA clearance</w:t>
      </w:r>
      <w:r>
        <w:rPr>
          <w:rFonts w:ascii="Arial" w:cs="Arial" w:eastAsia="Arial" w:hAnsi="Arial"/>
          <w:sz w:val="18"/>
          <w:szCs w:val="18"/>
          <w:color w:val="auto"/>
        </w:rPr>
        <w:t>) is waived, the Offer will lapse if: (i) after the point at which the Pre-Condition is waived, the European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7" w:name="page328"/>
    <w:bookmarkEnd w:id="327"/>
    <w:p>
      <w:pPr>
        <w:jc w:val="both"/>
        <w:ind w:left="660"/>
        <w:spacing w:after="0" w:line="264" w:lineRule="auto"/>
        <w:rPr>
          <w:sz w:val="20"/>
          <w:szCs w:val="20"/>
          <w:color w:val="auto"/>
        </w:rPr>
      </w:pPr>
      <w:r>
        <w:rPr>
          <w:rFonts w:ascii="Arial" w:cs="Arial" w:eastAsia="Arial" w:hAnsi="Arial"/>
          <w:sz w:val="18"/>
          <w:szCs w:val="18"/>
          <w:color w:val="auto"/>
        </w:rPr>
        <w:t>Commission either initiates Phase 2 proceedings in respect of the Acquisition; or (ii) the European Commission makes a referral to a competent authority of the United Kingdom under Article 9(1) of the Regulation and, after the point at which the Pre-Condition is waived, the CMA then initiates a Phase 2 CMA Reference in respect of the Acquisition; and</w:t>
      </w:r>
    </w:p>
    <w:p>
      <w:pPr>
        <w:spacing w:after="0" w:line="181" w:lineRule="exact"/>
        <w:rPr>
          <w:sz w:val="20"/>
          <w:szCs w:val="20"/>
          <w:color w:val="auto"/>
        </w:rPr>
      </w:pPr>
    </w:p>
    <w:p>
      <w:pPr>
        <w:ind w:left="660" w:right="20" w:hanging="652"/>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paragraphs 2 or 4 (</w:t>
      </w:r>
      <w:r>
        <w:rPr>
          <w:rFonts w:ascii="Arial" w:cs="Arial" w:eastAsia="Arial" w:hAnsi="Arial"/>
          <w:sz w:val="18"/>
          <w:szCs w:val="18"/>
          <w:i w:val="1"/>
          <w:iCs w:val="1"/>
          <w:color w:val="auto"/>
        </w:rPr>
        <w:t>Secretary of State clearance</w:t>
      </w:r>
      <w:r>
        <w:rPr>
          <w:rFonts w:ascii="Arial" w:cs="Arial" w:eastAsia="Arial" w:hAnsi="Arial"/>
          <w:sz w:val="18"/>
          <w:szCs w:val="18"/>
          <w:color w:val="auto"/>
        </w:rPr>
        <w:t>) is waived, the Offer will lapse if, after the point at which the Pre-Condition is waived, a Phase 2 CMA Reference is initiated in respect of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each case before the later of 1.00pm on the first closing date of the Offer as specified in the Offer Document or the date when the Offer becomes or is declared unconditional as to acceptances.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Comcast is required by the Panel to make an offer for Sky Shares under the provisions of Rule 9 of the City Code, Comcast may make such alterations to the Pre-Conditions and Conditions as are necessary to comply with the provisions of that Rule.</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Part 3</w:t>
      </w:r>
      <w:r>
        <w:rPr>
          <w:sz w:val="20"/>
          <w:szCs w:val="20"/>
          <w:color w:val="auto"/>
        </w:rPr>
        <w:tab/>
      </w:r>
      <w:r>
        <w:rPr>
          <w:rFonts w:ascii="Arial" w:cs="Arial" w:eastAsia="Arial" w:hAnsi="Arial"/>
          <w:sz w:val="16"/>
          <w:szCs w:val="16"/>
          <w:b w:val="1"/>
          <w:bCs w:val="1"/>
          <w:color w:val="auto"/>
        </w:rPr>
        <w:t>Certain further terms of the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availability of the Acquisition to persons not resident in the UK may be affected by the laws of the relevant jurisdictions. Persons who are not resident in the UK should inform themselves about, and observe, any applicable requirements. Sky Shareholders who are in any doubt about such matters should consult an appropriate independent professional adviser in the relevant jurisdiction without delay.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Acquisition will be governed by English law and be subject to the jurisdiction of the English courts and to the Pre-Conditions, Conditions and terms set out in this Announcement and in due course in the formal Offer Document and the Form of Acceptance. The Acquisition will comply with the applicable rules and regulations of the Financial Conduct Authority and the London Stock Exchange and the City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Pre-Conditions and Conditions shall be regarded as a separate Pre-Condition or Condition, as applicable, and shall not be limited by reference to any other Pre-Condition or Condition.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Acquisition lapses for any reason, the Acquisition will cease to be capable of further acceptance, and Comcast and accepting Sky Shareholders will cease to be bound by acceptances of the Acquisition delivered on or before the time when the Acquisition lapses.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Sky Shares which will be acquired under the Acquisition will be acquired fully paid and free from all liens, equities, charges, encumbrances, options, rights of pre-emption and any other third party rights and interests of any nature and together with all rights now or hereafter attaching or accruing to them, including voting rights and the right to receive and retain in full all dividends and other distributions (if any) declared, made or paid on or after the Effective Date.</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dividend, and/or other distribution and/or other return of capital is announced, declared, paid or becomes payable in respect of the Sky Shares on or after the date of this Announcement and prior to the date on which Comcast (or its nominee) is entered into the register of members of Sky following the Effective Date, other than the Final Dividend (as defined below), Comcast reserves the right to reduce the Cash Consideration by some or all of the amount of any such dividend (or other distribution or return of capital), provided that, for the avoidance of doubt, to the extent that any Final Dividend exceeds 21.8p per Sky Share, Comcast shall have the right to reduce the amount of the Cash Consideration by some or all of the amount of such excess (and not by the full amount of such final dividend), and in which case the relevant eligible Sky Shareholder will be entitled to receive and retain such dividend and/or distribution and/or return of capital. In such case, any reference in this Announcement or the Offer Document to the Cash Consideration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8" w:name="page329"/>
    <w:bookmarkEnd w:id="328"/>
    <w:p>
      <w:pPr>
        <w:jc w:val="both"/>
        <w:spacing w:after="0" w:line="257" w:lineRule="auto"/>
        <w:rPr>
          <w:sz w:val="20"/>
          <w:szCs w:val="20"/>
          <w:color w:val="auto"/>
        </w:rPr>
      </w:pPr>
      <w:r>
        <w:rPr>
          <w:rFonts w:ascii="Arial" w:cs="Arial" w:eastAsia="Arial" w:hAnsi="Arial"/>
          <w:sz w:val="18"/>
          <w:szCs w:val="18"/>
          <w:color w:val="auto"/>
        </w:rPr>
        <w:t>for the Sky Shares will be deemed to be a reference to the Cash Consideration as so reduced. To the extent that such a dividend and/or distribution and/or other return of capital is declared, made or paid and is or shall be: (i) transferred pursuant to the Acquisition on a basis which entitles Comcast to receive the dividend or distribution or return of capital and to retain it; or (ii) cancelled, the Cash Consideration payable shall not be subject to change in accordance with this paragraph. For these purposes, “</w:t>
      </w:r>
      <w:r>
        <w:rPr>
          <w:rFonts w:ascii="Arial" w:cs="Arial" w:eastAsia="Arial" w:hAnsi="Arial"/>
          <w:sz w:val="18"/>
          <w:szCs w:val="18"/>
          <w:b w:val="1"/>
          <w:bCs w:val="1"/>
          <w:color w:val="auto"/>
        </w:rPr>
        <w:t>Final Dividend</w:t>
      </w:r>
      <w:r>
        <w:rPr>
          <w:rFonts w:ascii="Arial" w:cs="Arial" w:eastAsia="Arial" w:hAnsi="Arial"/>
          <w:sz w:val="18"/>
          <w:szCs w:val="18"/>
          <w:color w:val="auto"/>
        </w:rPr>
        <w:t>” means any final dividend in respect of the financial year ended 30 June 2018 up to an amount of 21.8p per Sky Share which is declared and paid prior to the Effective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SHARE PLANS</w:t>
      </w:r>
    </w:p>
    <w:p>
      <w:pPr>
        <w:spacing w:after="0" w:line="225"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Appropriate Proposals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Subject to applicable confidentiality, legal and regulatory requirements, Comcast intends to request from Sky such details in relation to the Sky Share Plans as Comcast may reasonably require in order to make appropriate proposals to the participants in the Sky Share Plans, as provided for in Rule 15 of the City Code (the “</w:t>
      </w:r>
      <w:r>
        <w:rPr>
          <w:rFonts w:ascii="Arial" w:cs="Arial" w:eastAsia="Arial" w:hAnsi="Arial"/>
          <w:sz w:val="17"/>
          <w:szCs w:val="17"/>
          <w:b w:val="1"/>
          <w:bCs w:val="1"/>
          <w:color w:val="auto"/>
        </w:rPr>
        <w:t>Proposals</w:t>
      </w:r>
      <w:r>
        <w:rPr>
          <w:rFonts w:ascii="Arial" w:cs="Arial" w:eastAsia="Arial" w:hAnsi="Arial"/>
          <w:sz w:val="17"/>
          <w:szCs w:val="17"/>
          <w:color w:val="auto"/>
        </w:rPr>
        <w:t>”), including the proposals as set out in paragraphs 2.2 and 3 to 5 of this Appendix III below. Comcast intends that the Proposals will take the form of a joint proposal from Sky and Comcast to participants in the Sky Share Plans.</w:t>
      </w:r>
    </w:p>
    <w:p>
      <w:pPr>
        <w:spacing w:after="0" w:line="167"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Share Plans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Comcast acknowledges that where any of the Sky Share Plans provides for the exercise of discretion (including in respect of performance measures), the exercise of any such discretion shall be a matter solely for the Sky Remuneration Committee. However, Comcast’s intention is that the treatment of options under the Sky Share Plans shall be as set out in paragraphs 2.2 and 3 to 5 of this Appendix III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Sky Long-Term Incentive Plans (including the Co-Investment Plans)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Comcast notes Sky’s stated intention that, should the 21CF Offer complete before the end of any applicable performance period, it will satisfy options outstanding under the Sky 2008 Long-Term Incentive Plan and the Sky Management Long-Term Incentive Plan on a time pro-rated basis with no performance conditions attached and options granted following the announcement of the 21CF Offer will be cash-settled. Comcast accordingly intends the Proposals to provide that, to the extent possible and/or applicable, options under the Sky 2008 Long-Term Incentive Plan and the Sky Management Long-Term Incentive Plan will become exercisable immediately on the Effective Date and remain exercisable for three months from the Effective Date (or such other period as may be specified in the rules of the scheme), options which vest and are exercised as a result of the Offer and in accordance with the Proposals set out below, are satisfied on a cash-settled, time pro-rated basis with no performance conditions attached.</w:t>
      </w:r>
    </w:p>
    <w:p>
      <w:pPr>
        <w:spacing w:after="0" w:line="188"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UK Sharesave Schemes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Proposals to participants in the Sky Sharesave Scheme and the Sky 2013 Sharesave Scheme will take the form of participants’ options becoming exercisable immediately on the Effective Date, with such options remaining exercisable for six months from the Effective Date (or such other period as may be specified in the rules of the scheme), to the extent of the participants’ accrued savings and interest (if any) under the linked savings arrangements.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payment</w:t>
      </w:r>
    </w:p>
    <w:p>
      <w:pPr>
        <w:spacing w:after="0" w:line="225"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Comcast agrees that Sky may make an additional payment to each participant in the Sky Sharesave Scheme and the Sky 2013 Sharesave Scheme (provided that such participants exercise their options as a result of the Offer to the fullest extent possible, with the result that the remainder of their options lapse) equal to (i) the difference between the Cash Consideration per Sky Share and the exercise price per share of the participant’s option; multiplied by (ii) the number of Sky Shares under the proportion of the option which lapses. The payment will be made subject to deduction and withholding for income tax and social security (or similar) contributions arising in respect of such payment.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0" w:name="page331"/>
    <w:bookmarkEnd w:id="330"/>
    <w:p>
      <w:pPr>
        <w:ind w:left="660"/>
        <w:spacing w:after="0"/>
        <w:rPr>
          <w:sz w:val="20"/>
          <w:szCs w:val="20"/>
          <w:color w:val="auto"/>
        </w:rPr>
      </w:pPr>
      <w:r>
        <w:rPr>
          <w:rFonts w:ascii="Arial" w:cs="Arial" w:eastAsia="Arial" w:hAnsi="Arial"/>
          <w:sz w:val="18"/>
          <w:szCs w:val="18"/>
          <w:i w:val="1"/>
          <w:iCs w:val="1"/>
          <w:color w:val="auto"/>
        </w:rPr>
        <w:t>Exchange of options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Comcast agrees to work with Sky to determine the extent to which participants holding options under the Sky Sharesave Scheme and the Sky 2013 Sharesave Scheme shall be offered the ability, as of the Effective Date, to exchange such options for equivalent options over Comcast shares. The number of Comcast shares that would be obtainable under any such replacement option would have equivalent value to the Sky Shares obtainable under the existing option.</w:t>
      </w:r>
    </w:p>
    <w:p>
      <w:pPr>
        <w:spacing w:after="0" w:line="183" w:lineRule="exact"/>
        <w:rPr>
          <w:sz w:val="20"/>
          <w:szCs w:val="20"/>
          <w:color w:val="auto"/>
        </w:rPr>
      </w:pPr>
    </w:p>
    <w:p>
      <w:pPr>
        <w:ind w:left="660" w:hanging="652"/>
        <w:spacing w:after="0"/>
        <w:tabs>
          <w:tab w:leader="none" w:pos="6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Irish Sharesave Schemes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Proposals to participants in the Sky 2005 Irish Sharesave Scheme and the Sky 2016 Irish Sharesave Scheme will take the form of participants’ options becoming exercisable on the Effective Date, with such options remaining exercisable for six months from the Effective Date (or such other period as may be specified in the rules of the scheme), to the extent of the participants’ accrued savings and interest (if any) under the linked savings arrangements.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payment</w:t>
      </w:r>
    </w:p>
    <w:p>
      <w:pPr>
        <w:spacing w:after="0" w:line="225"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Comcast agrees that Sky may make an additional payment to each participant in the Sky 2005 Irish Sharesave Scheme and the Sky 2016 Irish Sharesave Scheme (provided that such participants exercise their options as a result of the Offer to the fullest extent possible, with the result that the remainder of their options lapse) equal to (i) the difference between the Cash Consideration per Sky Share and the exercise price per share of the participant’s option; multiplied by (ii) the number of Sky Shares under the proportion of the option which lapses. The payment will be made subject to deduction and withholding for income tax and social security (or similar) contributions arising in respect of such payment.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of options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Comcast agrees to work with Sky to determine the extent to which participants holding options under the Sky 2005 Irish Sharesave Scheme and the Sky 2016 Irish Sharesave Scheme shall be offered the ability, as of the Effective Date, to exchange such options for equivalent options over Comcast shares. The number of Comcast shares that would be obtainable under any such replacement option would have equivalent value to the Sky Shares obtainable under the existing option.</w:t>
      </w:r>
    </w:p>
    <w:p>
      <w:pPr>
        <w:spacing w:after="0" w:line="183" w:lineRule="exact"/>
        <w:rPr>
          <w:sz w:val="20"/>
          <w:szCs w:val="20"/>
          <w:color w:val="auto"/>
        </w:rPr>
      </w:pPr>
    </w:p>
    <w:p>
      <w:pPr>
        <w:ind w:left="660" w:hanging="652"/>
        <w:spacing w:after="0"/>
        <w:tabs>
          <w:tab w:leader="none" w:pos="6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Sharesave Scheme</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Proposals to participants in the Sky 2015 International Sharesave Scheme will take the form of participants’ options becoming exercisable immediately upon the Effective Date, with such options remaining exercisable for six months from the Effective Date (or such other period as may be specified in the rules of the scheme), to the extent of the participants’ accrued savings under the linked savings arrangements. Comcast proposes that options under the Sky 2015 International Sharesave Scheme which are exercised in connection with the Offer, to the extent possible, are cash-settled.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payment</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Comcast agrees that Sky may make an additional payment to each participant in the Sky 2015 International Sharesave Scheme (provided that such participants exercise their options as a result of the Offer to the fullest extent possible, with the result that the remainder of their options lapse) equal to (i) the difference between the Cash Consideration per Sky Share and the exercise price per share of the participant’s option; multiplied by (ii) the number of Sky Shares under the proportion of the option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1" w:name="page332"/>
    <w:bookmarkEnd w:id="331"/>
    <w:p>
      <w:pPr>
        <w:ind w:left="660"/>
        <w:spacing w:after="0" w:line="277" w:lineRule="auto"/>
        <w:rPr>
          <w:sz w:val="20"/>
          <w:szCs w:val="20"/>
          <w:color w:val="auto"/>
        </w:rPr>
      </w:pPr>
      <w:r>
        <w:rPr>
          <w:rFonts w:ascii="Arial" w:cs="Arial" w:eastAsia="Arial" w:hAnsi="Arial"/>
          <w:sz w:val="18"/>
          <w:szCs w:val="18"/>
          <w:color w:val="auto"/>
        </w:rPr>
        <w:t>lapses. The payment will be made subject to deduction and withholding for income tax and social security (or similar) contributions arising in respect of such payment.</w:t>
      </w:r>
    </w:p>
    <w:p>
      <w:pPr>
        <w:spacing w:after="0" w:line="166"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Trust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Comcast agrees that Sky may recommend to the trustee of the Sky Employee Share Ownership Plan that the trustee will, in priority to the issue of Sky Shares by Sky, use the Sky Shares comprised in the trust fund to satisfy any exercise of options which occur following the date of this Announcement.</w:t>
      </w:r>
    </w:p>
    <w:p>
      <w:pPr>
        <w:spacing w:after="0" w:line="18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 light of Comcast’s proposals in paragraphs 2.2 and 5.1 to cash settle options which are exercised in connection with the Offer to the extent possible, Sky has agreed that the trustee of the Sky Employee Share Ownership Plan will not be required to purchase any further Sky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stated, or the context otherwise requires, the following bases and sources have been used:</w:t>
      </w:r>
    </w:p>
    <w:p>
      <w:pPr>
        <w:spacing w:after="0" w:line="225" w:lineRule="exact"/>
        <w:rPr>
          <w:sz w:val="20"/>
          <w:szCs w:val="20"/>
          <w:color w:val="auto"/>
        </w:rPr>
      </w:pPr>
    </w:p>
    <w:p>
      <w:pPr>
        <w:jc w:val="both"/>
        <w:ind w:left="660" w:hanging="652"/>
        <w:spacing w:after="0" w:line="264"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historical financial information relating to the Sky Group has been extracted or derived (without material adjustment) from the Annual Report for Sky for the financial year ended 30 June 2017, the interim results for the six months ended 31 December 2017 and the interim results for the six months ended 31 December 2016.</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historical financial information relating to the Comcast Group has been extracted or derived (without material adjustment) from the Annual Report for Comcast for the year ended 31 December 2017, and from Comcast’s internal records.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synergy estimates are unaudited and are based on analysis by Comcast’s management and on Comcast’s internal records.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Other information relating to the Sky Group and the Comcast Group has been extracted or derived (without material adjustment) from public sources (except for paragraphs 5 and 6 of this Appendix IV).</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Information provided by Sky states that, as at the close of business on 24 April 2018 (being the last Business Day prior to the date of this Announcement), Sky had in issue 1,719,017,230 ordinary shares, of which 1,162,577 are held in ESOP.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reference to the fully diluted share capital of Sky is based 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1,719,017,230 Sky Shares referred to in paragraph 5 above;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39,712,771 Sky Shares which may be issued on or after the date of this Announcement on the exercise of options or vesting of awards under the Sky Share Plans and net of the shares in ESOP.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reference to the value of the fully diluted share capital of Sky is based on the price of £12.50 per Sky Share.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Unless otherwise stated, all prices and Closing Prices for Sky Shares are closing middle market quotations derived from the London Stock Exchange Daily Official List (SEDOL).</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Pro-forma financial metrics, including Comcast’s synergy estimates, assume the acquisition of 100 per cent. of the Sky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8260" w:type="dxa"/>
            <w:vAlign w:val="bottom"/>
          </w:tcPr>
          <w:p>
            <w:pPr>
              <w:jc w:val="center"/>
              <w:ind w:right="3070"/>
              <w:spacing w:after="0"/>
              <w:rPr>
                <w:sz w:val="20"/>
                <w:szCs w:val="20"/>
                <w:color w:val="auto"/>
              </w:rPr>
            </w:pPr>
            <w:r>
              <w:rPr>
                <w:rFonts w:ascii="Arial" w:cs="Arial" w:eastAsia="Arial" w:hAnsi="Arial"/>
                <w:sz w:val="18"/>
                <w:szCs w:val="18"/>
                <w:b w:val="1"/>
                <w:bCs w:val="1"/>
                <w:color w:val="auto"/>
              </w:rPr>
              <w:t>APPENDIX V</w:t>
            </w:r>
          </w:p>
        </w:tc>
      </w:tr>
      <w:tr>
        <w:trPr>
          <w:trHeight w:val="432"/>
        </w:trPr>
        <w:tc>
          <w:tcPr>
            <w:tcW w:w="3160" w:type="dxa"/>
            <w:vAlign w:val="bottom"/>
          </w:tcPr>
          <w:p>
            <w:pPr>
              <w:spacing w:after="0"/>
              <w:rPr>
                <w:sz w:val="24"/>
                <w:szCs w:val="24"/>
                <w:color w:val="auto"/>
              </w:rPr>
            </w:pPr>
          </w:p>
        </w:tc>
        <w:tc>
          <w:tcPr>
            <w:tcW w:w="8260" w:type="dxa"/>
            <w:vAlign w:val="bottom"/>
          </w:tcPr>
          <w:p>
            <w:pPr>
              <w:jc w:val="center"/>
              <w:ind w:right="3070"/>
              <w:spacing w:after="0"/>
              <w:rPr>
                <w:sz w:val="20"/>
                <w:szCs w:val="20"/>
                <w:color w:val="auto"/>
              </w:rPr>
            </w:pPr>
            <w:r>
              <w:rPr>
                <w:rFonts w:ascii="Arial" w:cs="Arial" w:eastAsia="Arial" w:hAnsi="Arial"/>
                <w:sz w:val="18"/>
                <w:szCs w:val="18"/>
                <w:b w:val="1"/>
                <w:bCs w:val="1"/>
                <w:color w:val="auto"/>
              </w:rPr>
              <w:t>DEFINITIONS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21CF Co-operation Agreement</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89"/>
              </w:rPr>
              <w:t>means the agreement entered into on 15 December 2016 between 21st Century Fox and Sky and relating,</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amongst other things, to the implementation of the 21CF Offer;</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21CF Offer</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3"/>
              </w:rPr>
              <w:t>means the pre-conditional offer by 21st Century Fox for the fully diluted share capital of Sky which 21st</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Century Fox and its affiliates do not own at an offer price of £10.75 for each Sky Share;</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21st Century Fox</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6"/>
              </w:rPr>
              <w:t>means Twenty-First Century Fox, Inc., a company incorporated in Delaware with registered office in</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1211 Avenue of the Americas, New York, New York 10036;</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0"/>
              </w:rPr>
              <w:t>means the proposed acquisition by Comcast (or its nominee(s), a wholly owned subsidiary of Comcast) of</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6"/>
              </w:rPr>
              <w:t>the entire issued and to be issued share capital of Sky, to be implemented by means of the Offer as</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described in this Announcement and to be set out in the Offer Document;</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5"/>
              </w:rPr>
              <w:t>means the net income attributable to NBCUniversal before net income attributable to non-controlling</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1"/>
              </w:rPr>
              <w:t>interests and redeemable subsidiary preferred stock, income tax benefit (expense), investment and other</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89"/>
              </w:rPr>
              <w:t>income (loss), net, interest expense, depreciation and amortisation expense, and other operating gains and</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88"/>
              </w:rPr>
              <w:t>losses (such as impairment charges related to fixed and intangible assets and gains or losses on the sale of</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6"/>
              </w:rPr>
              <w:t>long-lived assets), if any. From time to time, NBCUniversal may exclude from Adjusted EBITDA the</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1"/>
              </w:rPr>
              <w:t>impact of certain events, gains, losses or other charges (such as significant legal settlements) that affect</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the period-to-period comparability of our operating performance;</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ADR</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0"/>
              </w:rPr>
              <w:t>means an American Depositary Receipt created pursuant to the deposit agreement between Sky and BNY</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3"/>
              </w:rPr>
              <w:t>dated 9 December 2002 and as amended and restated as of 28 May 2010 and trading on the over-the-</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counter market in the U.S.;</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4"/>
              </w:rPr>
              <w:t>means in relation to a party, any person that directly or indirectly, through one or more intermediaries,</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1"/>
              </w:rPr>
              <w:t>controls, is controlled by, or is under common control with, the party, and for these purposes a party shall</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1"/>
              </w:rPr>
              <w:t>be deemed to control a person if such party possesses, directly or indirectly, the power to direct or cause</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0"/>
              </w:rPr>
              <w:t>the direction of the management and policies of the person, whether through the ownership of over 50 per</w:t>
            </w:r>
          </w:p>
        </w:tc>
      </w:tr>
      <w:tr>
        <w:trPr>
          <w:trHeight w:val="216"/>
        </w:trPr>
        <w:tc>
          <w:tcPr>
            <w:tcW w:w="3160" w:type="dxa"/>
            <w:vAlign w:val="bottom"/>
          </w:tcPr>
          <w:p>
            <w:pPr>
              <w:spacing w:after="0"/>
              <w:rPr>
                <w:sz w:val="18"/>
                <w:szCs w:val="18"/>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w w:val="92"/>
              </w:rPr>
              <w:t>cent. of the voting securities or the right to appoint over 50 per cent. of the relevant board of directors by</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contract or otherwise;</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rPr>
              <w:t>means this announcement made pursuant to Rule 2.7 of the City Code;</w:t>
            </w:r>
          </w:p>
        </w:tc>
      </w:tr>
      <w:tr>
        <w:trPr>
          <w:trHeight w:val="418"/>
        </w:trPr>
        <w:tc>
          <w:tcPr>
            <w:tcW w:w="31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associated undertaking</w:t>
            </w:r>
            <w:r>
              <w:rPr>
                <w:rFonts w:ascii="Arial" w:cs="Arial" w:eastAsia="Arial" w:hAnsi="Arial"/>
                <w:sz w:val="18"/>
                <w:szCs w:val="18"/>
                <w:color w:val="auto"/>
              </w:rPr>
              <w:t>”</w:t>
            </w:r>
          </w:p>
        </w:tc>
        <w:tc>
          <w:tcPr>
            <w:tcW w:w="8260" w:type="dxa"/>
            <w:vAlign w:val="bottom"/>
          </w:tcPr>
          <w:p>
            <w:pPr>
              <w:ind w:left="620"/>
              <w:spacing w:after="0"/>
              <w:rPr>
                <w:sz w:val="20"/>
                <w:szCs w:val="20"/>
                <w:color w:val="auto"/>
              </w:rPr>
            </w:pPr>
            <w:r>
              <w:rPr>
                <w:rFonts w:ascii="Arial" w:cs="Arial" w:eastAsia="Arial" w:hAnsi="Arial"/>
                <w:sz w:val="18"/>
                <w:szCs w:val="18"/>
                <w:color w:val="auto"/>
                <w:w w:val="93"/>
              </w:rPr>
              <w:t>has the meaning given by paragraph 19 of Schedule 6 to the Large and Medium-sized Companies and</w:t>
            </w:r>
          </w:p>
        </w:tc>
      </w:tr>
      <w:tr>
        <w:trPr>
          <w:trHeight w:val="230"/>
        </w:trPr>
        <w:tc>
          <w:tcPr>
            <w:tcW w:w="3160" w:type="dxa"/>
            <w:vAlign w:val="bottom"/>
          </w:tcPr>
          <w:p>
            <w:pPr>
              <w:spacing w:after="0"/>
              <w:rPr>
                <w:sz w:val="20"/>
                <w:szCs w:val="20"/>
                <w:color w:val="auto"/>
              </w:rPr>
            </w:pPr>
          </w:p>
        </w:tc>
        <w:tc>
          <w:tcPr>
            <w:tcW w:w="8260" w:type="dxa"/>
            <w:vAlign w:val="bottom"/>
          </w:tcPr>
          <w:p>
            <w:pPr>
              <w:ind w:left="620"/>
              <w:spacing w:after="0"/>
              <w:rPr>
                <w:sz w:val="20"/>
                <w:szCs w:val="20"/>
                <w:color w:val="auto"/>
              </w:rPr>
            </w:pPr>
            <w:r>
              <w:rPr>
                <w:rFonts w:ascii="Arial" w:cs="Arial" w:eastAsia="Arial" w:hAnsi="Arial"/>
                <w:sz w:val="18"/>
                <w:szCs w:val="18"/>
                <w:color w:val="auto"/>
              </w:rPr>
              <w:t>Groups (Accounts and Reports) Regulations 2008 other than paragraph 19(1)(b) of</w:t>
            </w:r>
          </w:p>
        </w:tc>
      </w:tr>
      <w:tr>
        <w:trPr>
          <w:trHeight w:val="702"/>
        </w:trPr>
        <w:tc>
          <w:tcPr>
            <w:tcW w:w="31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jc w:val="center"/>
              <w:ind w:right="3070"/>
              <w:spacing w:after="0"/>
              <w:rPr>
                <w:sz w:val="20"/>
                <w:szCs w:val="20"/>
                <w:color w:val="auto"/>
              </w:rPr>
            </w:pPr>
            <w:r>
              <w:rPr>
                <w:rFonts w:ascii="Arial" w:cs="Arial" w:eastAsia="Arial" w:hAnsi="Arial"/>
                <w:sz w:val="18"/>
                <w:szCs w:val="18"/>
                <w:color w:val="auto"/>
                <w:w w:val="89"/>
              </w:rPr>
              <w:t>53</w:t>
            </w:r>
          </w:p>
        </w:tc>
      </w:tr>
    </w:tbl>
    <w:p>
      <w:pPr>
        <w:sectPr>
          <w:pgSz w:w="11900" w:h="16838" w:orient="portrait"/>
          <w:cols w:equalWidth="0" w:num="1">
            <w:col w:w="11420"/>
          </w:cols>
          <w:pgMar w:left="240" w:top="580" w:right="239" w:bottom="1440" w:gutter="0" w:footer="0" w:header="0"/>
        </w:sectPr>
      </w:pPr>
    </w:p>
    <w:bookmarkStart w:id="334" w:name="page335"/>
    <w:bookmarkEnd w:id="334"/>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Consideration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City Code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Comcast Group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Confidentiality Agreement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Enlarged Group</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Schedule 6 to those Regulations which shall be excluded for this 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Bank of New York Mellon;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a day, (other than a Saturday, Sunday, public or bank holiday) on which banks are generally open for business in London and New York;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means the cash amount of £12.50 payable by Comcast under the Acquisition in respect of each Sky Share, as adjusted in accordance with the terms of the Acquisition as set out in this Announcement;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means the Competition Appeal Tribunal;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City Code on Takeovers and Mergers;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the closing middle market quotation of a share derived from the Daily Official List of the London Stock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Competition and Markets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Comcast Corporation, a company incorporated in Pennsylvania with registered office in One Comcast Center, Philadelphia, PA 19103;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Comcast and its subsidiaries and subsidiary undertakings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Companies Act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conditions to the Acquisition set out in Part 1 of Appendix II, to this Announcement;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means the confidentiality agreement entered into between Sky and Comcast, effective 6 March 2018;</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means the information which has been fairly disclosed (i) in the Annual Report and Accounts for Sky for the year ended 30 June 2017 or Sky’s interim results for the six months ended 31 December 2017, (ii) in any public announcement by Sky prior to the date of this Announcement by way of any Regulatory Information Service (including information the availability of which has been announced by way of any Regulatory Information Service), or (iii) in this Announcement;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means the date on which such Offer becomes or is declared unconditional in all respects;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enlarged group following completion of the Acquisition, comprising the Comcast Group and the Sky Group;</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means the Sky Employee Share Ownership Plan, a trust which was established to satisfy awards made to participants of Sky’s employee share plans;</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5715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720"/>
            <w:col w:w="7640"/>
          </w:cols>
          <w:pgMar w:left="240" w:top="828" w:right="2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Merger Regulation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Acceptance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FSMA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Stock Exchange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Document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Period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Official List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Opening Position Disclosure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Overseas Shareholders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Panel</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2 CMA Reference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Post-Offer Undertaking</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Pre-Conditions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Authority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means Council Regulation (EC) No 139/2004 of 20 January 2004 on the control of concentrations between undertakings;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Financial Conduct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form of acceptance to accept the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Financial Services and Markets Act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London Stock Exchange plc;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UK Office of Communications;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the offer to be made by or on behalf of Comcast, or an affiliate thereof, to acquire the entire issued and to be issued share capital of Sky including, where the context admits, any subsequent revision, variation, extension or renewal of such offer;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the document to be dispatched to Sky Shareholders containing (among other things) the terms and conditions of the Offer;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the period commencing on 27 February 2018 and ending on the earlier of the date on which the Offer becomes or has been declared unconditional as to acceptances and/or the date on which the Offer lapses or is withdrawn (or such other date as the Panel may decide);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means the official list maintained by the UK Listing Authority pursuant to Part 6 of FSMA;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means an announcement containing details of interests or short positions in, or rights to subscribe for, any relevant securities of a party to the offer if the person concerned has such a position, as defined in Rule 8 of the City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Sky Shareholders who are resident in, ordinarily resident in, or citizens of, jurisdictions outside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UK Panel on Takeovers and Mergers;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means a reference to the chair of the CMA for the constitution of a group under Schedule 4 to the Enterprise and Regulatory Reform Act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post-offer undertakings intended to be given by Comcast and Sky described in paragraph 5(A) of this Announcement;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pre-conditions to the Acquisition, as set out in Appendix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Council Regulation (EC) 139/2004 (as amended);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means any central bank, ministry, governmental, quasigovernmental, supranational (including the European Union), statutory, regulatory or investigative body, authority or</w:t>
      </w:r>
    </w:p>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14605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060" w:space="720"/>
            <w:col w:w="7640"/>
          </w:cols>
          <w:pgMar w:left="240" w:top="823" w:right="2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4"/>
              </w:rPr>
              <w:t>tribunal (including any national or supranational antitrust, competition or merger control authority, any</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2"/>
              </w:rPr>
              <w:t>sectoral ministry or regulator and any foreign investment review body), national, state, municipal or local</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5"/>
              </w:rPr>
              <w:t>government (including any subdivision, court, tribunal, administrative agency or commission or other</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4"/>
              </w:rPr>
              <w:t>authority thereof), any entity owned or controlled by them, any private body exercising any regulatory,</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8"/>
              </w:rPr>
              <w:t>taxing,  importing  or  other  authority,  trade  agency,  association,  institution  or  professional  or</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environmental body in any jurisdiction;</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Jurisdiction</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w w:val="93"/>
              </w:rPr>
              <w:t>means any jurisdiction where local laws or regulations may result in a significant risk of civil, regulatory</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or criminal exposure if information concerning the Acquisition is sent or made available to Sky</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Shareholders in that jurisdiction;</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 of State</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has the meaning given to it in the Enterprise Act 2002;</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interest</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w w:val="94"/>
              </w:rPr>
              <w:t>means a direct or indirect interest in ten per cent. or more of the equity share capital (as defined in the</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Companies Act);</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Sky plc, incorporated in England and Wales with registered number 02247735;</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ADR Holders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holders of Sky ADRs;</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ADRs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ADRs each evidencing four Sky Shares in the capital of Sky;</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Group</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Sky and its subsidiaries and subsidiary undertakings (unless otherwise stated);</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Independent Committee</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committee of independent directors of Sky formed in connection with the 21CF Offer</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0"/>
              </w:rPr>
              <w:t>announced on 15 December 2016 and at the time of this Announcement comprising six independent non-</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2"/>
              </w:rPr>
              <w:t>executive directors, Martin Gilbert (Deputy Chairman), Andrew Sukawaty (Senior Independent Director),</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1"/>
              </w:rPr>
              <w:t>Tracy Clark, Adine Grate, Matthieu Pigasse and Katrin Wehr-Seiter, and two executive directors, Jeremy</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Darroch and Andrew Griffith;</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News Board</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w w:val="94"/>
              </w:rPr>
              <w:t>means the editorial board of Sky News to be established no later than three months after the Effective</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Date, as described in paragraph 5(A)(d) of this Announcement;</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Shareholders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holders of Sky Shares from time to time;</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Share Plans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Sky 2008 Long-Term Incentive Plan (incorporating the Co-Investment Plan), the Sky</w:t>
            </w:r>
          </w:p>
        </w:tc>
      </w:tr>
      <w:tr>
        <w:trPr>
          <w:trHeight w:val="216"/>
        </w:trPr>
        <w:tc>
          <w:tcPr>
            <w:tcW w:w="308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w w:val="90"/>
              </w:rPr>
              <w:t>Management Long-Term Incentive Plan (incorporating the Management Co-Investment Plan) and the Sky</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Sharesave Schemes;</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Shares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rPr>
              <w:t>means the ordinary shares of 50 pence each in the capital of Sky;</w:t>
            </w:r>
          </w:p>
        </w:tc>
      </w:tr>
      <w:tr>
        <w:trPr>
          <w:trHeight w:val="418"/>
        </w:trPr>
        <w:tc>
          <w:tcPr>
            <w:tcW w:w="3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Sky Sharesave Schemes</w:t>
            </w:r>
            <w:r>
              <w:rPr>
                <w:rFonts w:ascii="Arial" w:cs="Arial" w:eastAsia="Arial" w:hAnsi="Arial"/>
                <w:sz w:val="18"/>
                <w:szCs w:val="18"/>
                <w:color w:val="auto"/>
              </w:rPr>
              <w:t>”</w:t>
            </w:r>
          </w:p>
        </w:tc>
        <w:tc>
          <w:tcPr>
            <w:tcW w:w="8340" w:type="dxa"/>
            <w:vAlign w:val="bottom"/>
          </w:tcPr>
          <w:p>
            <w:pPr>
              <w:ind w:left="700"/>
              <w:spacing w:after="0"/>
              <w:rPr>
                <w:sz w:val="20"/>
                <w:szCs w:val="20"/>
                <w:color w:val="auto"/>
              </w:rPr>
            </w:pPr>
            <w:r>
              <w:rPr>
                <w:rFonts w:ascii="Arial" w:cs="Arial" w:eastAsia="Arial" w:hAnsi="Arial"/>
                <w:sz w:val="18"/>
                <w:szCs w:val="18"/>
                <w:color w:val="auto"/>
                <w:w w:val="94"/>
              </w:rPr>
              <w:t>means the Sky Sharesave Scheme, the Sky 2013 Sharesave Scheme, the Sky 2005 Irish Sharesave</w:t>
            </w:r>
          </w:p>
        </w:tc>
      </w:tr>
      <w:tr>
        <w:trPr>
          <w:trHeight w:val="230"/>
        </w:trPr>
        <w:tc>
          <w:tcPr>
            <w:tcW w:w="3080" w:type="dxa"/>
            <w:vAlign w:val="bottom"/>
          </w:tcPr>
          <w:p>
            <w:pPr>
              <w:spacing w:after="0"/>
              <w:rPr>
                <w:sz w:val="20"/>
                <w:szCs w:val="20"/>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Scheme, the Sky 2016</w:t>
            </w:r>
          </w:p>
        </w:tc>
      </w:tr>
      <w:tr>
        <w:trPr>
          <w:trHeight w:val="459"/>
        </w:trPr>
        <w:tc>
          <w:tcPr>
            <w:tcW w:w="308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827" w:right="239" w:bottom="1440" w:gutter="0" w:footer="0" w:header="0"/>
        </w:sectPr>
      </w:pPr>
    </w:p>
    <w:bookmarkStart w:id="337" w:name="page338"/>
    <w:bookmarkEnd w:id="337"/>
    <w:p>
      <w:pPr>
        <w:ind w:left="3780"/>
        <w:spacing w:after="0"/>
        <w:rPr>
          <w:sz w:val="20"/>
          <w:szCs w:val="20"/>
          <w:color w:val="auto"/>
        </w:rPr>
      </w:pPr>
      <w:r>
        <w:rPr>
          <w:rFonts w:ascii="Arial" w:cs="Arial" w:eastAsia="Arial" w:hAnsi="Arial"/>
          <w:sz w:val="15"/>
          <w:szCs w:val="15"/>
          <w:color w:val="auto"/>
        </w:rPr>
        <w:t>Irish Sharesave Scheme and the Sky 2015 International Sharesave Scheme;</w:t>
      </w:r>
    </w:p>
    <w:p>
      <w:pPr>
        <w:sectPr>
          <w:pgSz w:w="11900" w:h="16838" w:orient="portrait"/>
          <w:cols w:equalWidth="0" w:num="1">
            <w:col w:w="11420"/>
          </w:cols>
          <w:pgMar w:left="240" w:top="827"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in Section 1159 of the Companies Act;</w:t>
      </w:r>
    </w:p>
    <w:p>
      <w:pPr>
        <w:spacing w:after="0" w:line="200"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 undertaking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to it in Section 1162 of the Companies Act;</w:t>
      </w:r>
    </w:p>
    <w:p>
      <w:pPr>
        <w:spacing w:after="0" w:line="200"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w:t>
      </w:r>
      <w:r>
        <w:rPr>
          <w:rFonts w:ascii="Arial" w:cs="Arial" w:eastAsia="Arial" w:hAnsi="Arial"/>
          <w:sz w:val="17"/>
          <w:szCs w:val="17"/>
          <w:color w:val="auto"/>
        </w:rPr>
        <w:t>” or “</w:t>
      </w:r>
      <w:r>
        <w:rPr>
          <w:rFonts w:ascii="Arial" w:cs="Arial" w:eastAsia="Arial" w:hAnsi="Arial"/>
          <w:sz w:val="17"/>
          <w:szCs w:val="17"/>
          <w:b w:val="1"/>
          <w:bCs w:val="1"/>
          <w:color w:val="auto"/>
        </w:rPr>
        <w:t>United Kingdom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United Kingdom of Great Britain and Northern Ireland;</w:t>
      </w:r>
    </w:p>
    <w:p>
      <w:pPr>
        <w:spacing w:after="0" w:line="207"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UK Listing Authority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FCA as the authority for listing in the UK when it is exercising its powers under Part 6 of FSMA;</w:t>
      </w:r>
    </w:p>
    <w:p>
      <w:pPr>
        <w:spacing w:after="0" w:line="166"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undertaking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Arial" w:cs="Arial" w:eastAsia="Arial" w:hAnsi="Arial"/>
          <w:sz w:val="16"/>
          <w:szCs w:val="16"/>
          <w:color w:val="auto"/>
        </w:rPr>
        <w:t>has the meaning given to it in Section 1161 of the Companies Act;</w:t>
      </w:r>
    </w:p>
    <w:p>
      <w:pPr>
        <w:spacing w:after="0" w:line="207"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the United States of America, its territories and possessions, any state of the United States of America and the District of Columbia;</w:t>
      </w:r>
    </w:p>
    <w:p>
      <w:pPr>
        <w:spacing w:after="0" w:line="166"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Wider Comcast Group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means Comcast and its subsidiary undertakings, associated undertakings and any other undertaking in which Comcast and/or such undertakings (aggregating their interests) have a significant interest; and</w:t>
      </w:r>
    </w:p>
    <w:p>
      <w:pPr>
        <w:spacing w:after="0" w:line="120"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Wider Sky Group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means Sky and its subsidiary undertakings, associated undertakings and any other undertaking in which Sky and/or such undertakings (aggregating their interests) have a significant interest.</w:t>
      </w:r>
    </w:p>
    <w:p>
      <w:pPr>
        <w:spacing w:after="0" w:line="166" w:lineRule="exact"/>
        <w:rPr>
          <w:sz w:val="20"/>
          <w:szCs w:val="20"/>
          <w:color w:val="auto"/>
        </w:rPr>
      </w:pPr>
    </w:p>
    <w:p>
      <w:pPr>
        <w:sectPr>
          <w:pgSz w:w="11900" w:h="16838" w:orient="portrait"/>
          <w:cols w:equalWidth="0" w:num="2">
            <w:col w:w="3060" w:space="720"/>
            <w:col w:w="7640"/>
          </w:cols>
          <w:pgMar w:left="240" w:top="827" w:right="239" w:bottom="1440" w:gutter="0" w:footer="0" w:header="0"/>
          <w:type w:val="continuous"/>
        </w:sectPr>
      </w:pPr>
    </w:p>
    <w:p>
      <w:pPr>
        <w:jc w:val="both"/>
        <w:spacing w:after="0" w:line="282" w:lineRule="auto"/>
        <w:rPr>
          <w:sz w:val="20"/>
          <w:szCs w:val="20"/>
          <w:color w:val="auto"/>
        </w:rPr>
      </w:pPr>
      <w:r>
        <w:rPr>
          <w:rFonts w:ascii="Arial" w:cs="Arial" w:eastAsia="Arial" w:hAnsi="Arial"/>
          <w:sz w:val="18"/>
          <w:szCs w:val="18"/>
          <w:color w:val="auto"/>
        </w:rPr>
        <w:t xml:space="preserve">All references to </w:t>
      </w:r>
      <w:r>
        <w:rPr>
          <w:rFonts w:ascii="Arial" w:cs="Arial" w:eastAsia="Arial" w:hAnsi="Arial"/>
          <w:sz w:val="18"/>
          <w:szCs w:val="18"/>
          <w:b w:val="1"/>
          <w:bCs w:val="1"/>
          <w:color w:val="auto"/>
        </w:rPr>
        <w:t>GBP</w:t>
      </w:r>
      <w:r>
        <w:rPr>
          <w:rFonts w:ascii="Arial" w:cs="Arial" w:eastAsia="Arial" w:hAnsi="Arial"/>
          <w:sz w:val="18"/>
          <w:szCs w:val="18"/>
          <w:color w:val="auto"/>
        </w:rPr>
        <w:t xml:space="preserve">, </w:t>
      </w:r>
      <w:r>
        <w:rPr>
          <w:rFonts w:ascii="Arial" w:cs="Arial" w:eastAsia="Arial" w:hAnsi="Arial"/>
          <w:sz w:val="18"/>
          <w:szCs w:val="18"/>
          <w:b w:val="1"/>
          <w:bCs w:val="1"/>
          <w:color w:val="auto"/>
        </w:rPr>
        <w:t>pence</w:t>
      </w:r>
      <w:r>
        <w:rPr>
          <w:rFonts w:ascii="Arial" w:cs="Arial" w:eastAsia="Arial" w:hAnsi="Arial"/>
          <w:sz w:val="18"/>
          <w:szCs w:val="18"/>
          <w:color w:val="auto"/>
        </w:rPr>
        <w:t xml:space="preserve">, </w:t>
      </w:r>
      <w:r>
        <w:rPr>
          <w:rFonts w:ascii="Arial" w:cs="Arial" w:eastAsia="Arial" w:hAnsi="Arial"/>
          <w:sz w:val="18"/>
          <w:szCs w:val="18"/>
          <w:b w:val="1"/>
          <w:bCs w:val="1"/>
          <w:color w:val="auto"/>
        </w:rPr>
        <w:t>Sterling</w:t>
      </w:r>
      <w:r>
        <w:rPr>
          <w:rFonts w:ascii="Arial" w:cs="Arial" w:eastAsia="Arial" w:hAnsi="Arial"/>
          <w:sz w:val="18"/>
          <w:szCs w:val="18"/>
          <w:color w:val="auto"/>
        </w:rPr>
        <w:t xml:space="preserve">, </w:t>
      </w:r>
      <w:r>
        <w:rPr>
          <w:rFonts w:ascii="Arial" w:cs="Arial" w:eastAsia="Arial" w:hAnsi="Arial"/>
          <w:sz w:val="18"/>
          <w:szCs w:val="18"/>
          <w:b w:val="1"/>
          <w:bCs w:val="1"/>
          <w:color w:val="auto"/>
        </w:rPr>
        <w:t>Pounds sterling</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8"/>
          <w:szCs w:val="18"/>
          <w:color w:val="auto"/>
        </w:rPr>
        <w:t xml:space="preserve"> or </w:t>
      </w:r>
      <w:r>
        <w:rPr>
          <w:rFonts w:ascii="Arial" w:cs="Arial" w:eastAsia="Arial" w:hAnsi="Arial"/>
          <w:sz w:val="18"/>
          <w:szCs w:val="18"/>
          <w:b w:val="1"/>
          <w:bCs w:val="1"/>
          <w:color w:val="auto"/>
        </w:rPr>
        <w:t>£</w:t>
      </w:r>
      <w:r>
        <w:rPr>
          <w:rFonts w:ascii="Arial" w:cs="Arial" w:eastAsia="Arial" w:hAnsi="Arial"/>
          <w:sz w:val="18"/>
          <w:szCs w:val="18"/>
          <w:color w:val="auto"/>
        </w:rPr>
        <w:t xml:space="preserve"> are to the lawful currency of the United Kingdom. All references to USD, dollar or $ are to the lawful currency of the United States of America.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references to statutory provision or law or to any order or regulation shall be construed as a reference to that provision, law, order or regulation as extended, modified, replaced or re-enacted from time to time and all statutory instruments, regulations and orders from time to time made thereunder or deriving validity therefrom.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All the times referred to in this Announcement are London times unless otherwise stated. References to the singular include the plural and vice versa.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338" w:name="page339"/>
    <w:bookmarkEnd w:id="3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85850"/>
    <w:multiLevelType w:val="hybridMultilevel"/>
    <w:lvl w:ilvl="0">
      <w:lvlJc w:val="left"/>
      <w:lvlText w:val="o"/>
      <w:numFmt w:val="bullet"/>
      <w:start w:val="1"/>
    </w:lvl>
  </w:abstractNum>
  <w:abstractNum w:abstractNumId="1">
    <w:nsid w:val="744939A3"/>
    <w:multiLevelType w:val="hybridMultilevel"/>
    <w:lvl w:ilvl="0">
      <w:lvlJc w:val="left"/>
      <w:lvlText w:val="(%1)"/>
      <w:numFmt w:val="lowerLetter"/>
      <w:start w:val="4"/>
    </w:lvl>
  </w:abstractNum>
  <w:abstractNum w:abstractNumId="2">
    <w:nsid w:val="4FA0D2E3"/>
    <w:multiLevelType w:val="hybridMultilevel"/>
    <w:lvl w:ilvl="0">
      <w:lvlJc w:val="left"/>
      <w:lvlText w:val="A"/>
      <w:numFmt w:val="bullet"/>
      <w:start w:val="1"/>
    </w:lvl>
  </w:abstractNum>
  <w:abstractNum w:abstractNumId="3">
    <w:nsid w:val="6B1D2C14"/>
    <w:multiLevelType w:val="hybridMultilevel"/>
    <w:lvl w:ilvl="0">
      <w:lvlJc w:val="left"/>
      <w:lvlText w:val="B"/>
      <w:numFmt w:val="bullet"/>
      <w:start w:val="1"/>
    </w:lvl>
  </w:abstractNum>
  <w:abstractNum w:abstractNumId="4">
    <w:nsid w:val="68B867D3"/>
    <w:multiLevelType w:val="hybridMultilevel"/>
    <w:lvl w:ilvl="0">
      <w:lvlJc w:val="left"/>
      <w:lvlText w:val="C"/>
      <w:numFmt w:val="bullet"/>
      <w:start w:val="1"/>
    </w:lvl>
  </w:abstractNum>
  <w:abstractNum w:abstractNumId="5">
    <w:nsid w:val="3F7F5DD9"/>
    <w:multiLevelType w:val="hybridMultilevel"/>
    <w:lvl w:ilvl="0">
      <w:lvlJc w:val="left"/>
      <w:lvlText w:val="D"/>
      <w:numFmt w:val="bullet"/>
      <w:start w:val="1"/>
    </w:lvl>
  </w:abstractNum>
  <w:abstractNum w:abstractNumId="6">
    <w:nsid w:val="2AE05A34"/>
    <w:multiLevelType w:val="hybridMultilevel"/>
    <w:lvl w:ilvl="0">
      <w:lvlJc w:val="left"/>
      <w:lvlText w:val="E"/>
      <w:numFmt w:val="bullet"/>
      <w:start w:val="1"/>
    </w:lvl>
  </w:abstractNum>
  <w:abstractNum w:abstractNumId="7">
    <w:nsid w:val="32794FF7"/>
    <w:multiLevelType w:val="hybridMultilevel"/>
    <w:lvl w:ilvl="0">
      <w:lvlJc w:val="left"/>
      <w:lvlText w:val="G"/>
      <w:numFmt w:val="bullet"/>
      <w:start w:val="1"/>
    </w:lvl>
  </w:abstractNum>
  <w:abstractNum w:abstractNumId="8">
    <w:nsid w:val="5454945E"/>
    <w:multiLevelType w:val="hybridMultilevel"/>
    <w:lvl w:ilvl="0">
      <w:lvlJc w:val="left"/>
      <w:lvlText w:val="A"/>
      <w:numFmt w:val="bullet"/>
      <w:start w:val="1"/>
    </w:lvl>
  </w:abstractNum>
  <w:abstractNum w:abstractNumId="9">
    <w:nsid w:val="4DEFDFA0"/>
    <w:multiLevelType w:val="hybridMultilevel"/>
    <w:lvl w:ilvl="0">
      <w:lvlJc w:val="left"/>
      <w:lvlText w:val="(%1)"/>
      <w:numFmt w:val="lowerLetter"/>
      <w:start w:val="1"/>
    </w:lvl>
  </w:abstractNum>
  <w:abstractNum w:abstractNumId="10">
    <w:nsid w:val="2123D5F2"/>
    <w:multiLevelType w:val="hybridMultilevel"/>
    <w:lvl w:ilvl="0">
      <w:lvlJc w:val="left"/>
      <w:lvlText w:val="(%1)"/>
      <w:numFmt w:val="lowerLetter"/>
      <w:start w:val="3"/>
    </w:lvl>
  </w:abstractNum>
  <w:abstractNum w:abstractNumId="11">
    <w:nsid w:val="135B8110"/>
    <w:multiLevelType w:val="hybridMultilevel"/>
    <w:lvl w:ilvl="0">
      <w:lvlJc w:val="left"/>
      <w:lvlText w:val="(%1)"/>
      <w:numFmt w:val="lowerLetter"/>
      <w:start w:val="4"/>
    </w:lvl>
  </w:abstractNum>
  <w:abstractNum w:abstractNumId="12">
    <w:nsid w:val="94927A8"/>
    <w:multiLevelType w:val="hybridMultilevel"/>
    <w:lvl w:ilvl="0">
      <w:lvlJc w:val="left"/>
      <w:lvlText w:val="(%1)"/>
      <w:numFmt w:val="lowerLetter"/>
      <w:start w:val="1"/>
    </w:lvl>
  </w:abstractNum>
  <w:abstractNum w:abstractNumId="13">
    <w:nsid w:val="DCDF8F6"/>
    <w:multiLevelType w:val="hybridMultilevel"/>
    <w:lvl w:ilvl="0">
      <w:lvlJc w:val="left"/>
      <w:lvlText w:val="(%1)"/>
      <w:numFmt w:val="lowerLetter"/>
      <w:start w:val="1"/>
    </w:lvl>
  </w:abstractNum>
  <w:abstractNum w:abstractNumId="14">
    <w:nsid w:val="52D7B105"/>
    <w:multiLevelType w:val="hybridMultilevel"/>
    <w:lvl w:ilvl="0">
      <w:lvlJc w:val="left"/>
      <w:lvlText w:val="(%1)"/>
      <w:numFmt w:val="lowerLetter"/>
      <w:start w:val="2"/>
    </w:lvl>
  </w:abstractNum>
  <w:abstractNum w:abstractNumId="15">
    <w:nsid w:val="2E8A6394"/>
    <w:multiLevelType w:val="hybridMultilevel"/>
    <w:lvl w:ilvl="0">
      <w:lvlJc w:val="left"/>
      <w:lvlText w:val="(%1)"/>
      <w:numFmt w:val="lowerLetter"/>
      <w:start w:val="8"/>
    </w:lvl>
  </w:abstractNum>
  <w:abstractNum w:abstractNumId="16">
    <w:nsid w:val="24E60401"/>
    <w:multiLevelType w:val="hybridMultilevel"/>
    <w:lvl w:ilvl="0">
      <w:lvlJc w:val="left"/>
      <w:lvlText w:val="(%1)"/>
      <w:numFmt w:val="lowerRoman"/>
      <w:start w:val="1"/>
    </w:lvl>
  </w:abstractNum>
  <w:abstractNum w:abstractNumId="17">
    <w:nsid w:val="2A6AD9BE"/>
    <w:multiLevelType w:val="hybridMultilevel"/>
    <w:lvl w:ilvl="0">
      <w:lvlJc w:val="left"/>
      <w:lvlText w:val="(%1)"/>
      <w:numFmt w:val="lowerRoman"/>
      <w:start w:val="1"/>
    </w:lvl>
  </w:abstractNum>
  <w:abstractNum w:abstractNumId="18">
    <w:nsid w:val="BAAC1B4"/>
    <w:multiLevelType w:val="hybridMultilevel"/>
    <w:lvl w:ilvl="0">
      <w:lvlJc w:val="left"/>
      <w:lvlText w:val="(%1)"/>
      <w:numFmt w:val="lowerRoman"/>
      <w:start w:val="6"/>
    </w:lvl>
  </w:abstractNum>
  <w:abstractNum w:abstractNumId="19">
    <w:nsid w:val="36B2ACBC"/>
    <w:multiLevelType w:val="hybridMultilevel"/>
    <w:lvl w:ilvl="0">
      <w:lvlJc w:val="left"/>
      <w:lvlText w:val="(%1)"/>
      <w:numFmt w:val="lowerLetter"/>
      <w:start w:val="1"/>
    </w:lvl>
  </w:abstractNum>
  <w:abstractNum w:abstractNumId="20">
    <w:nsid w:val="779D8544"/>
    <w:multiLevelType w:val="hybridMultilevel"/>
    <w:lvl w:ilvl="0">
      <w:lvlJc w:val="left"/>
      <w:lvlText w:val="(%1)"/>
      <w:numFmt w:val="lowerLetter"/>
      <w:start w:val="1"/>
    </w:lvl>
  </w:abstractNum>
  <w:abstractNum w:abstractNumId="21">
    <w:nsid w:val="4AB26E78"/>
    <w:multiLevelType w:val="hybridMultilevel"/>
    <w:lvl w:ilvl="0">
      <w:lvlJc w:val="left"/>
      <w:lvlText w:val="(%1)"/>
      <w:numFmt w:val="lowerLetter"/>
      <w:start w:val="1"/>
    </w:lvl>
  </w:abstractNum>
  <w:abstractNum w:abstractNumId="22">
    <w:nsid w:val="21FAA2FA"/>
    <w:multiLevelType w:val="hybridMultilevel"/>
    <w:lvl w:ilvl="0">
      <w:lvlJc w:val="left"/>
      <w:lvlText w:val="(%1)"/>
      <w:numFmt w:val="lowerLetter"/>
      <w:start w:val="1"/>
    </w:lvl>
  </w:abstractNum>
  <w:abstractNum w:abstractNumId="23">
    <w:nsid w:val="5451CF49"/>
    <w:multiLevelType w:val="hybridMultilevel"/>
    <w:lvl w:ilvl="0">
      <w:lvlJc w:val="left"/>
      <w:lvlText w:val="(%1)"/>
      <w:numFmt w:val="lowerLetter"/>
      <w:start w:val="2"/>
    </w:lvl>
  </w:abstractNum>
  <w:abstractNum w:abstractNumId="24">
    <w:nsid w:val="6181EF69"/>
    <w:multiLevelType w:val="hybridMultilevel"/>
    <w:lvl w:ilvl="0">
      <w:lvlJc w:val="left"/>
      <w:lvlText w:val="(%1)"/>
      <w:numFmt w:val="lowerLetter"/>
      <w:start w:val="1"/>
    </w:lvl>
  </w:abstractNum>
  <w:abstractNum w:abstractNumId="25">
    <w:nsid w:val="3E6400E6"/>
    <w:multiLevelType w:val="hybridMultilevel"/>
    <w:lvl w:ilvl="0">
      <w:lvlJc w:val="left"/>
      <w:lvlText w:val="(%1)"/>
      <w:numFmt w:val="lowerLetter"/>
      <w:start w:val="5"/>
    </w:lvl>
  </w:abstractNum>
  <w:abstractNum w:abstractNumId="26">
    <w:nsid w:val="14217E23"/>
    <w:multiLevelType w:val="hybridMultilevel"/>
    <w:lvl w:ilvl="0">
      <w:lvlJc w:val="left"/>
      <w:lvlText w:val="(%1)"/>
      <w:numFmt w:val="lowerLetter"/>
      <w:start w:val="1"/>
    </w:lvl>
  </w:abstractNum>
  <w:abstractNum w:abstractNumId="27">
    <w:nsid w:val="710757D0"/>
    <w:multiLevelType w:val="hybridMultilevel"/>
    <w:lvl w:ilvl="0">
      <w:lvlJc w:val="left"/>
      <w:lvlText w:val="(%1)"/>
      <w:numFmt w:val="lowerLetter"/>
      <w:start w:val="1"/>
    </w:lvl>
  </w:abstractNum>
  <w:abstractNum w:abstractNumId="28">
    <w:nsid w:val="5015CD1A"/>
    <w:multiLevelType w:val="hybridMultilevel"/>
    <w:lvl w:ilvl="0">
      <w:lvlJc w:val="left"/>
      <w:lvlText w:val="(%1)"/>
      <w:numFmt w:val="lowerLetter"/>
      <w:start w:val="2"/>
    </w:lvl>
  </w:abstractNum>
  <w:abstractNum w:abstractNumId="29">
    <w:nsid w:val="424479DA"/>
    <w:multiLevelType w:val="hybridMultilevel"/>
    <w:lvl w:ilvl="0">
      <w:lvlJc w:val="left"/>
      <w:lvlText w:val="%1"/>
      <w:numFmt w:val="lowerRoman"/>
      <w:start w:val="1"/>
    </w:lvl>
    <w:lvl w:ilvl="1">
      <w:lvlJc w:val="left"/>
      <w:lvlText w:val="(%2)"/>
      <w:numFmt w:val="lowerLetter"/>
      <w:start w:val="1"/>
    </w:lvl>
  </w:abstractNum>
  <w:abstractNum w:abstractNumId="30">
    <w:nsid w:val="1A9A9E69"/>
    <w:multiLevelType w:val="hybridMultilevel"/>
    <w:lvl w:ilvl="0">
      <w:lvlJc w:val="left"/>
      <w:lvlText w:val="(%1)"/>
      <w:numFmt w:val="lowerRoman"/>
      <w:start w:val="1"/>
    </w:lvl>
    <w:lvl w:ilvl="1">
      <w:lvlJc w:val="left"/>
      <w:lvlText w:val="(%2)"/>
      <w:numFmt w:val="lowerLetter"/>
      <w:start w:val="2"/>
    </w:lvl>
  </w:abstractNum>
  <w:abstractNum w:abstractNumId="31">
    <w:nsid w:val="475E256A"/>
    <w:multiLevelType w:val="hybridMultilevel"/>
    <w:lvl w:ilvl="0">
      <w:lvlJc w:val="left"/>
      <w:lvlText w:val="(%1)"/>
      <w:numFmt w:val="lowerLetter"/>
      <w:start w:val="1"/>
    </w:lvl>
  </w:abstractNum>
  <w:abstractNum w:abstractNumId="32">
    <w:nsid w:val="368DB37E"/>
    <w:multiLevelType w:val="hybridMultilevel"/>
    <w:lvl w:ilvl="0">
      <w:lvlJc w:val="left"/>
      <w:lvlText w:val="(%1)"/>
      <w:numFmt w:val="lowerLetter"/>
      <w:start w:val="2"/>
    </w:lvl>
  </w:abstractNum>
  <w:abstractNum w:abstractNumId="33">
    <w:nsid w:val="6A3B714C"/>
    <w:multiLevelType w:val="hybridMultilevel"/>
    <w:lvl w:ilvl="0">
      <w:lvlJc w:val="left"/>
      <w:lvlText w:val="(%1)"/>
      <w:numFmt w:val="lowerLetter"/>
      <w:start w:val="1"/>
    </w:lvl>
  </w:abstractNum>
  <w:abstractNum w:abstractNumId="34">
    <w:nsid w:val="327B517E"/>
    <w:multiLevelType w:val="hybridMultilevel"/>
    <w:lvl w:ilvl="0">
      <w:lvlJc w:val="left"/>
      <w:lvlText w:val="%1"/>
      <w:numFmt w:val="lowerLetter"/>
      <w:start w:val="1"/>
    </w:lvl>
    <w:lvl w:ilvl="1">
      <w:lvlJc w:val="left"/>
      <w:lvlText w:val="(%2)"/>
      <w:numFmt w:val="lowerRoman"/>
      <w:start w:val="1"/>
    </w:lvl>
  </w:abstractNum>
  <w:abstractNum w:abstractNumId="35">
    <w:nsid w:val="1F461B51"/>
    <w:multiLevelType w:val="hybridMultilevel"/>
    <w:lvl w:ilvl="0">
      <w:lvlJc w:val="left"/>
      <w:lvlText w:val="(%1)"/>
      <w:numFmt w:val="lowerLetter"/>
      <w:start w:val="5"/>
    </w:lvl>
    <w:lvl w:ilvl="1">
      <w:lvlJc w:val="left"/>
      <w:lvlText w:val="%2"/>
      <w:numFmt w:val="lowerRoman"/>
      <w:start w:val="1"/>
    </w:lvl>
  </w:abstractNum>
  <w:abstractNum w:abstractNumId="36">
    <w:nsid w:val="29BACF25"/>
    <w:multiLevelType w:val="hybridMultilevel"/>
    <w:lvl w:ilvl="0">
      <w:lvlJc w:val="left"/>
      <w:lvlText w:val="(%1)"/>
      <w:numFmt w:val="lowerLetter"/>
      <w:start w:val="1"/>
    </w:lvl>
  </w:abstractNum>
  <w:abstractNum w:abstractNumId="37">
    <w:nsid w:val="5D5BABB3"/>
    <w:multiLevelType w:val="hybridMultilevel"/>
    <w:lvl w:ilvl="0">
      <w:lvlJc w:val="left"/>
      <w:lvlText w:val="(%1)"/>
      <w:numFmt w:val="lowerLetter"/>
      <w:start w:val="1"/>
    </w:lvl>
  </w:abstractNum>
  <w:abstractNum w:abstractNumId="38">
    <w:nsid w:val="51BF6B48"/>
    <w:multiLevelType w:val="hybridMultilevel"/>
    <w:lvl w:ilvl="0">
      <w:lvlJc w:val="left"/>
      <w:lvlText w:val="(%1)"/>
      <w:numFmt w:val="lowerLetter"/>
      <w:start w:val="3"/>
    </w:lvl>
  </w:abstractNum>
  <w:abstractNum w:abstractNumId="39">
    <w:nsid w:val="7E0F6384"/>
    <w:multiLevelType w:val="hybridMultilevel"/>
    <w:lvl w:ilvl="0">
      <w:lvlJc w:val="left"/>
      <w:lvlText w:val="(%1)"/>
      <w:numFmt w:val="lowerLetter"/>
      <w:start w:val="1"/>
    </w:lvl>
    <w:lvl w:ilvl="1">
      <w:lvlJc w:val="left"/>
      <w:lvlText w:val="(%2)"/>
      <w:numFmt w:val="lowerRoman"/>
      <w:start w:val="1"/>
    </w:lvl>
  </w:abstractNum>
  <w:abstractNum w:abstractNumId="40">
    <w:nsid w:val="2B4B8B53"/>
    <w:multiLevelType w:val="hybridMultilevel"/>
    <w:lvl w:ilvl="0">
      <w:lvlJc w:val="left"/>
      <w:lvlText w:val="(%1)"/>
      <w:numFmt w:val="lowerLetter"/>
      <w:start w:val="1"/>
    </w:lvl>
    <w:lvl w:ilvl="1">
      <w:lvlJc w:val="left"/>
      <w:lvlText w:val="(%2)"/>
      <w:numFmt w:val="lowerRoman"/>
      <w:start w:val="1"/>
    </w:lvl>
  </w:abstractNum>
  <w:abstractNum w:abstractNumId="41">
    <w:nsid w:val="72E3413A"/>
    <w:multiLevelType w:val="hybridMultilevel"/>
    <w:lvl w:ilvl="0">
      <w:lvlJc w:val="left"/>
      <w:lvlText w:val="(%1)"/>
      <w:numFmt w:val="lowerLetter"/>
      <w:start w:val="2"/>
    </w:lvl>
  </w:abstractNum>
  <w:abstractNum w:abstractNumId="42">
    <w:nsid w:val="116AE494"/>
    <w:multiLevelType w:val="hybridMultilevel"/>
    <w:lvl w:ilvl="0">
      <w:lvlJc w:val="left"/>
      <w:lvlText w:val="(%1)"/>
      <w:numFmt w:val="lowerLetter"/>
      <w:start w:val="1"/>
    </w:lvl>
  </w:abstractNum>
  <w:abstractNum w:abstractNumId="43">
    <w:nsid w:val="3494B2FB"/>
    <w:multiLevelType w:val="hybridMultilevel"/>
    <w:lvl w:ilvl="0">
      <w:lvlJc w:val="left"/>
      <w:lvlText w:val="(%1)"/>
      <w:numFmt w:val="lowerLetter"/>
      <w:start w:val="1"/>
    </w:lvl>
  </w:abstractNum>
  <w:abstractNum w:abstractNumId="44">
    <w:nsid w:val="B13A31"/>
    <w:multiLevelType w:val="hybridMultilevel"/>
    <w:lvl w:ilvl="0">
      <w:lvlJc w:val="left"/>
      <w:lvlText w:val="(%1)"/>
      <w:numFmt w:val="lowerLetter"/>
      <w:start w:val="2"/>
    </w:lvl>
  </w:abstractNum>
  <w:abstractNum w:abstractNumId="45">
    <w:nsid w:val="64429599"/>
    <w:multiLevelType w:val="hybridMultilevel"/>
    <w:lvl w:ilvl="0">
      <w:lvlJc w:val="left"/>
      <w:lvlText w:val="(%1)"/>
      <w:numFmt w:val="lowerLetter"/>
      <w:start w:val="1"/>
    </w:lvl>
    <w:lvl w:ilvl="1">
      <w:lvlJc w:val="left"/>
      <w:lvlText w:val="(%2)"/>
      <w:numFmt w:val="lowerRoman"/>
      <w:start w:val="1"/>
    </w:lvl>
  </w:abstractNum>
  <w:abstractNum w:abstractNumId="46">
    <w:nsid w:val="631F1690"/>
    <w:multiLevelType w:val="hybridMultilevel"/>
    <w:lvl w:ilvl="0">
      <w:lvlJc w:val="left"/>
      <w:lvlText w:val="%1"/>
      <w:numFmt w:val="lowerLetter"/>
      <w:start w:val="1"/>
    </w:lvl>
    <w:lvl w:ilvl="1">
      <w:lvlJc w:val="left"/>
      <w:lvlText w:val="(%2)"/>
      <w:numFmt w:val="lowerRoman"/>
      <w:start w:val="3"/>
    </w:lvl>
  </w:abstractNum>
  <w:abstractNum w:abstractNumId="47">
    <w:nsid w:val="25973E32"/>
    <w:multiLevelType w:val="hybridMultilevel"/>
    <w:lvl w:ilvl="0">
      <w:lvlJc w:val="left"/>
      <w:lvlText w:val="(%1)"/>
      <w:numFmt w:val="lowerLetter"/>
      <w:start w:val="2"/>
    </w:lvl>
    <w:lvl w:ilvl="1">
      <w:lvlJc w:val="left"/>
      <w:lvlText w:val="%2"/>
      <w:numFmt w:val="lowerRoman"/>
      <w:start w:val="1"/>
    </w:lvl>
  </w:abstractNum>
  <w:abstractNum w:abstractNumId="48">
    <w:nsid w:val="EAD6F57"/>
    <w:multiLevelType w:val="hybridMultilevel"/>
    <w:lvl w:ilvl="0">
      <w:lvlJc w:val="left"/>
      <w:lvlText w:val="(%1)"/>
      <w:numFmt w:val="lowerLetter"/>
      <w:start w:val="1"/>
    </w:lvl>
  </w:abstractNum>
  <w:abstractNum w:abstractNumId="49">
    <w:nsid w:val="6EC9D844"/>
    <w:multiLevelType w:val="hybridMultilevel"/>
    <w:lvl w:ilvl="0">
      <w:lvlJc w:val="left"/>
      <w:lvlText w:val="(%1)"/>
      <w:numFmt w:val="lowerLetter"/>
      <w:start w:val="3"/>
    </w:lvl>
  </w:abstractNum>
  <w:abstractNum w:abstractNumId="50">
    <w:nsid w:val="5C49EAEE"/>
    <w:multiLevelType w:val="hybridMultilevel"/>
    <w:lvl w:ilvl="0">
      <w:lvlJc w:val="left"/>
      <w:lvlText w:val="(%1)"/>
      <w:numFmt w:val="lowerLetter"/>
      <w:start w:val="1"/>
    </w:lvl>
  </w:abstractNum>
  <w:abstractNum w:abstractNumId="51">
    <w:nsid w:val="64AF49B"/>
    <w:multiLevelType w:val="hybridMultilevel"/>
    <w:lvl w:ilvl="0">
      <w:lvlJc w:val="left"/>
      <w:lvlText w:val="(%1)"/>
      <w:numFmt w:val="lowerLetter"/>
      <w:start w:val="1"/>
    </w:lvl>
  </w:abstractNum>
  <w:abstractNum w:abstractNumId="52">
    <w:nsid w:val="397C46BC"/>
    <w:multiLevelType w:val="hybridMultilevel"/>
    <w:lvl w:ilvl="0">
      <w:lvlJc w:val="left"/>
      <w:lvlText w:val="(%1)"/>
      <w:numFmt w:val="lowerLetter"/>
      <w:start w:val="1"/>
    </w:lvl>
  </w:abstractNum>
  <w:abstractNum w:abstractNumId="53">
    <w:nsid w:val="7E448DE9"/>
    <w:multiLevelType w:val="hybridMultilevel"/>
    <w:lvl w:ilvl="0">
      <w:lvlJc w:val="left"/>
      <w:lvlText w:val="(%1)"/>
      <w:numFmt w:val="lowerLetter"/>
      <w:start w:val="1"/>
    </w:lvl>
  </w:abstractNum>
  <w:abstractNum w:abstractNumId="54">
    <w:nsid w:val="5A9CC3E5"/>
    <w:multiLevelType w:val="hybridMultilevel"/>
    <w:lvl w:ilvl="0">
      <w:lvlJc w:val="left"/>
      <w:lvlText w:val="(%1)"/>
      <w:numFmt w:val="lowerRoman"/>
      <w:start w:val="2"/>
    </w:lvl>
  </w:abstractNum>
  <w:abstractNum w:abstractNumId="55">
    <w:nsid w:val="1AFE3625"/>
    <w:multiLevelType w:val="hybridMultilevel"/>
    <w:lvl w:ilvl="0">
      <w:lvlJc w:val="left"/>
      <w:lvlText w:val="(%1)"/>
      <w:numFmt w:val="lowerLetter"/>
      <w:start w:val="1"/>
    </w:lvl>
  </w:abstractNum>
  <w:abstractNum w:abstractNumId="56">
    <w:nsid w:val="3CA88ECF"/>
    <w:multiLevelType w:val="hybridMultilevel"/>
    <w:lvl w:ilvl="0">
      <w:lvlJc w:val="left"/>
      <w:lvlText w:val="(%1)"/>
      <w:numFmt w:val="lowerLetter"/>
      <w:start w:val="25"/>
    </w:lvl>
  </w:abstractNum>
  <w:abstractNum w:abstractNumId="57">
    <w:nsid w:val="6EBE4208"/>
    <w:multiLevelType w:val="hybridMultilevel"/>
    <w:lvl w:ilvl="0">
      <w:lvlJc w:val="left"/>
      <w:lvlText w:val="(%1)"/>
      <w:numFmt w:val="lowerLetter"/>
      <w:start w:val="1"/>
    </w:lvl>
    <w:lvl w:ilvl="1">
      <w:lvlJc w:val="left"/>
      <w:lvlText w:val="(%2)"/>
      <w:numFmt w:val="lowerRoman"/>
      <w:start w:val="1"/>
    </w:lvl>
  </w:abstractNum>
  <w:abstractNum w:abstractNumId="58">
    <w:nsid w:val="C058DF5"/>
    <w:multiLevelType w:val="hybridMultilevel"/>
    <w:lvl w:ilvl="0">
      <w:lvlJc w:val="left"/>
      <w:lvlText w:val="(%1)"/>
      <w:numFmt w:val="lowerLetter"/>
      <w:start w:val="2"/>
    </w:lvl>
    <w:lvl w:ilvl="1">
      <w:lvlJc w:val="left"/>
      <w:lvlText w:val="(%2)"/>
      <w:numFmt w:val="lowerRoman"/>
      <w:start w:val="1"/>
    </w:lvl>
  </w:abstractNum>
  <w:abstractNum w:abstractNumId="59">
    <w:nsid w:val="CBE5BE9"/>
    <w:multiLevelType w:val="hybridMultilevel"/>
    <w:lvl w:ilvl="0">
      <w:lvlJc w:val="left"/>
      <w:lvlText w:val="(%1)"/>
      <w:numFmt w:val="lowerLetter"/>
      <w:start w:val="1"/>
    </w:lvl>
  </w:abstractNum>
  <w:abstractNum w:abstractNumId="60">
    <w:nsid w:val="3102BBE2"/>
    <w:multiLevelType w:val="hybridMultilevel"/>
    <w:lvl w:ilvl="0">
      <w:lvlJc w:val="left"/>
      <w:lvlText w:val="(%1)"/>
      <w:numFmt w:val="lowerLetter"/>
      <w:start w:val="6"/>
    </w:lvl>
  </w:abstractNum>
  <w:abstractNum w:abstractNumId="61">
    <w:nsid w:val="26A02C5E"/>
    <w:multiLevelType w:val="hybridMultilevel"/>
    <w:lvl w:ilvl="0">
      <w:lvlJc w:val="left"/>
      <w:lvlText w:val="(%1)"/>
      <w:numFmt w:val="lowerLetter"/>
      <w:start w:val="1"/>
    </w:lvl>
  </w:abstractNum>
  <w:abstractNum w:abstractNumId="62">
    <w:nsid w:val="541C8153"/>
    <w:multiLevelType w:val="hybridMultilevel"/>
    <w:lvl w:ilvl="0">
      <w:lvlJc w:val="left"/>
      <w:lvlText w:val="(%1)"/>
      <w:numFmt w:val="lowerRoman"/>
      <w:start w:val="1"/>
    </w:lvl>
  </w:abstractNum>
  <w:abstractNum w:abstractNumId="63">
    <w:nsid w:val="67906F60"/>
    <w:multiLevelType w:val="hybridMultilevel"/>
    <w:lvl w:ilvl="0">
      <w:lvlJc w:val="left"/>
      <w:lvlText w:val="(%1)"/>
      <w:numFmt w:val="lowerLetter"/>
      <w:start w:val="2"/>
    </w:lvl>
  </w:abstractNum>
  <w:abstractNum w:abstractNumId="64">
    <w:nsid w:val="10DB9DAA"/>
    <w:multiLevelType w:val="hybridMultilevel"/>
    <w:lvl w:ilvl="0">
      <w:lvlJc w:val="left"/>
      <w:lvlText w:val="(%1)"/>
      <w:numFmt w:val="lowerRoman"/>
      <w:start w:val="1"/>
    </w:lvl>
  </w:abstractNum>
  <w:abstractNum w:abstractNumId="65">
    <w:nsid w:val="697D2D2"/>
    <w:multiLevelType w:val="hybridMultilevel"/>
    <w:lvl w:ilvl="0">
      <w:lvlJc w:val="left"/>
      <w:lvlText w:val="(%1)"/>
      <w:numFmt w:val="lowerLetter"/>
      <w:start w:val="1"/>
    </w:lvl>
  </w:abstractNum>
  <w:abstractNum w:abstractNumId="66">
    <w:nsid w:val="6D68AB2"/>
    <w:multiLevelType w:val="hybridMultilevel"/>
    <w:lvl w:ilvl="0">
      <w:lvlJc w:val="left"/>
      <w:lvlText w:val="(%1)"/>
      <w:numFmt w:val="lowerLetter"/>
      <w:start w:val="1"/>
    </w:lvl>
  </w:abstractNum>
  <w:abstractNum w:abstractNumId="67">
    <w:nsid w:val="3A966CD0"/>
    <w:multiLevelType w:val="hybridMultilevel"/>
    <w:lvl w:ilvl="0">
      <w:lvlJc w:val="left"/>
      <w:lvlText w:val="(%1)"/>
      <w:numFmt w:val="lowerLetter"/>
      <w:start w:val="7"/>
    </w:lvl>
  </w:abstractNum>
  <w:abstractNum w:abstractNumId="68">
    <w:nsid w:val="63F37E85"/>
    <w:multiLevelType w:val="hybridMultilevel"/>
    <w:lvl w:ilvl="0">
      <w:lvlJc w:val="left"/>
      <w:lvlText w:val="(%1)"/>
      <w:numFmt w:val="lowerLetter"/>
      <w:start w:val="1"/>
    </w:lvl>
    <w:lvl w:ilvl="1">
      <w:lvlJc w:val="left"/>
      <w:lvlText w:val="(%2)"/>
      <w:numFmt w:val="lowerRoman"/>
      <w:start w:val="1"/>
    </w:lvl>
  </w:abstractNum>
  <w:abstractNum w:abstractNumId="69">
    <w:nsid w:val="5895F5FA"/>
    <w:multiLevelType w:val="hybridMultilevel"/>
    <w:lvl w:ilvl="0">
      <w:lvlJc w:val="left"/>
      <w:lvlText w:val="(%1)"/>
      <w:numFmt w:val="lowerLetter"/>
      <w:start w:val="3"/>
    </w:lvl>
  </w:abstractNum>
  <w:abstractNum w:abstractNumId="70">
    <w:nsid w:val="38A5D054"/>
    <w:multiLevelType w:val="hybridMultilevel"/>
    <w:lvl w:ilvl="0">
      <w:lvlJc w:val="left"/>
      <w:lvlText w:val="(%1)"/>
      <w:numFmt w:val="lowerLetter"/>
      <w:start w:val="1"/>
    </w:lvl>
  </w:abstractNum>
  <w:abstractNum w:abstractNumId="71">
    <w:nsid w:val="F3F09D8"/>
    <w:multiLevelType w:val="hybridMultilevel"/>
    <w:lvl w:ilvl="0">
      <w:lvlJc w:val="left"/>
      <w:lvlText w:val="(%1)"/>
      <w:numFmt w:val="lowerLetter"/>
      <w:start w:val="3"/>
    </w:lvl>
  </w:abstractNum>
  <w:abstractNum w:abstractNumId="72">
    <w:nsid w:val="4B793735"/>
    <w:multiLevelType w:val="hybridMultilevel"/>
    <w:lvl w:ilvl="0">
      <w:lvlJc w:val="left"/>
      <w:lvlText w:val="(%1)"/>
      <w:numFmt w:val="lowerLetter"/>
      <w:start w:val="2"/>
    </w:lvl>
  </w:abstractNum>
  <w:abstractNum w:abstractNumId="73">
    <w:nsid w:val="4A10B4E8"/>
    <w:multiLevelType w:val="hybridMultilevel"/>
    <w:lvl w:ilvl="0">
      <w:lvlJc w:val="left"/>
      <w:lvlText w:val="(%1)"/>
      <w:numFmt w:val="lowerLetter"/>
      <w:start w:val="1"/>
    </w:lvl>
  </w:abstractNum>
  <w:abstractNum w:abstractNumId="74">
    <w:nsid w:val="43D3BCD4"/>
    <w:multiLevelType w:val="hybridMultilevel"/>
    <w:lvl w:ilvl="0">
      <w:lvlJc w:val="left"/>
      <w:lvlText w:val="%1"/>
      <w:numFmt w:val="lowerLetter"/>
      <w:start w:val="1"/>
    </w:lvl>
    <w:lvl w:ilvl="1">
      <w:lvlJc w:val="left"/>
      <w:lvlText w:val="(%2)"/>
      <w:numFmt w:val="lowerRoman"/>
      <w:start w:val="1"/>
    </w:lvl>
  </w:abstractNum>
  <w:abstractNum w:abstractNumId="75">
    <w:nsid w:val="4C2A7166"/>
    <w:multiLevelType w:val="hybridMultilevel"/>
    <w:lvl w:ilvl="0">
      <w:lvlJc w:val="left"/>
      <w:lvlText w:val="(%1)"/>
      <w:numFmt w:val="lowerLetter"/>
      <w:start w:val="2"/>
    </w:lvl>
    <w:lvl w:ilvl="1">
      <w:lvlJc w:val="left"/>
      <w:lvlText w:val="(%2)"/>
      <w:numFmt w:val="lowerRoman"/>
      <w:start w:val="1"/>
    </w:lvl>
  </w:abstractNum>
  <w:abstractNum w:abstractNumId="76">
    <w:nsid w:val="2E534A82"/>
    <w:multiLevelType w:val="hybridMultilevel"/>
    <w:lvl w:ilvl="0">
      <w:lvlJc w:val="left"/>
      <w:lvlText w:val="%1"/>
      <w:numFmt w:val="lowerLetter"/>
      <w:start w:val="1"/>
    </w:lvl>
    <w:lvl w:ilvl="1">
      <w:lvlJc w:val="left"/>
      <w:lvlText w:val="(%2)"/>
      <w:numFmt w:val="lowerRoman"/>
      <w:start w:val="3"/>
    </w:lvl>
  </w:abstractNum>
  <w:abstractNum w:abstractNumId="77">
    <w:nsid w:val="26F2D364"/>
    <w:multiLevelType w:val="hybridMultilevel"/>
    <w:lvl w:ilvl="0">
      <w:lvlJc w:val="left"/>
      <w:lvlText w:val="(%1)"/>
      <w:numFmt w:val="lowerLetter"/>
      <w:start w:val="3"/>
    </w:lvl>
    <w:lvl w:ilvl="1">
      <w:lvlJc w:val="left"/>
      <w:lvlText w:val="%2"/>
      <w:numFmt w:val="lowerRoman"/>
      <w:start w:val="1"/>
    </w:lvl>
  </w:abstractNum>
  <w:abstractNum w:abstractNumId="78">
    <w:nsid w:val="71C1AF98"/>
    <w:multiLevelType w:val="hybridMultilevel"/>
    <w:lvl w:ilvl="0">
      <w:lvlJc w:val="left"/>
      <w:lvlText w:val="(%1)"/>
      <w:numFmt w:val="lowerLetter"/>
      <w:start w:val="1"/>
    </w:lvl>
  </w:abstractNum>
  <w:abstractNum w:abstractNumId="79">
    <w:nsid w:val="3D00B9D9"/>
    <w:multiLevelType w:val="hybridMultilevel"/>
    <w:lvl w:ilvl="0">
      <w:lvlJc w:val="left"/>
      <w:lvlText w:val="(%1)"/>
      <w:numFmt w:val="lowerLetter"/>
      <w:start w:val="1"/>
    </w:lvl>
  </w:abstractNum>
  <w:abstractNum w:abstractNumId="80">
    <w:nsid w:val="15BCABA8"/>
    <w:multiLevelType w:val="hybridMultilevel"/>
    <w:lvl w:ilvl="0">
      <w:lvlJc w:val="left"/>
      <w:lvlText w:val="(%1)"/>
      <w:numFmt w:val="lowerLetter"/>
      <w:start w:val="2"/>
    </w:lvl>
  </w:abstractNum>
  <w:abstractNum w:abstractNumId="81">
    <w:nsid w:val="4E0B9A87"/>
    <w:multiLevelType w:val="hybridMultilevel"/>
    <w:lvl w:ilvl="0">
      <w:lvlJc w:val="left"/>
      <w:lvlText w:val="(%1)"/>
      <w:numFmt w:val="lowerLetter"/>
      <w:start w:val="3"/>
    </w:lvl>
    <w:lvl w:ilvl="1">
      <w:lvlJc w:val="left"/>
      <w:lvlText w:val="(%2)"/>
      <w:numFmt w:val="lowerRoman"/>
      <w:start w:val="1"/>
    </w:lvl>
  </w:abstractNum>
  <w:abstractNum w:abstractNumId="82">
    <w:nsid w:val="434BAE75"/>
    <w:multiLevelType w:val="hybridMultilevel"/>
    <w:lvl w:ilvl="0">
      <w:lvlJc w:val="left"/>
      <w:lvlText w:val="(%1)"/>
      <w:numFmt w:val="lowerLetter"/>
      <w:start w:val="1"/>
    </w:lvl>
  </w:abstractNum>
  <w:abstractNum w:abstractNumId="83">
    <w:nsid w:val="4F38F265"/>
    <w:multiLevelType w:val="hybridMultilevel"/>
    <w:lvl w:ilvl="0">
      <w:lvlJc w:val="left"/>
      <w:lvlText w:val="%1"/>
      <w:numFmt w:val="lowerLetter"/>
      <w:start w:val="1"/>
    </w:lvl>
    <w:lvl w:ilvl="1">
      <w:lvlJc w:val="left"/>
      <w:lvlText w:val="(%2)"/>
      <w:numFmt w:val="lowerLetter"/>
      <w:start w:val="3"/>
    </w:lvl>
  </w:abstractNum>
  <w:abstractNum w:abstractNumId="84">
    <w:nsid w:val="4C502870"/>
    <w:multiLevelType w:val="hybridMultilevel"/>
    <w:lvl w:ilvl="0">
      <w:lvlJc w:val="left"/>
      <w:lvlText w:val="(%1)"/>
      <w:numFmt w:val="lowerLetter"/>
      <w:start w:val="9"/>
    </w:lvl>
    <w:lvl w:ilvl="1">
      <w:lvlJc w:val="left"/>
      <w:lvlText w:val="%2"/>
      <w:numFmt w:val="lowerLetter"/>
      <w:start w:val="1"/>
    </w:lvl>
  </w:abstractNum>
  <w:abstractNum w:abstractNumId="85">
    <w:nsid w:val="1DE8725A"/>
    <w:multiLevelType w:val="hybridMultilevel"/>
    <w:lvl w:ilvl="0">
      <w:lvlJc w:val="left"/>
      <w:lvlText w:val="(%1)"/>
      <w:numFmt w:val="lowerLetter"/>
      <w:start w:val="1"/>
    </w:lvl>
    <w:lvl w:ilvl="1">
      <w:lvlJc w:val="left"/>
      <w:lvlText w:val="%2"/>
      <w:numFmt w:val="lowerLetter"/>
      <w:start w:val="1"/>
    </w:lvl>
  </w:abstractNum>
  <w:abstractNum w:abstractNumId="86">
    <w:nsid w:val="6A37288A"/>
    <w:multiLevelType w:val="hybridMultilevel"/>
    <w:lvl w:ilvl="0">
      <w:lvlJc w:val="left"/>
      <w:lvlText w:val="(%1)"/>
      <w:numFmt w:val="lowerLetter"/>
      <w:start w:val="1"/>
    </w:lvl>
  </w:abstractNum>
  <w:abstractNum w:abstractNumId="87">
    <w:nsid w:val="8F8B73F"/>
    <w:multiLevelType w:val="hybridMultilevel"/>
    <w:lvl w:ilvl="0">
      <w:lvlJc w:val="left"/>
      <w:lvlText w:val="(%1)"/>
      <w:numFmt w:val="lowerLetter"/>
      <w:start w:val="1"/>
    </w:lvl>
  </w:abstractNum>
  <w:abstractNum w:abstractNumId="88">
    <w:nsid w:val="CA6B462"/>
    <w:multiLevelType w:val="hybridMultilevel"/>
    <w:lvl w:ilvl="0">
      <w:lvlJc w:val="left"/>
      <w:lvlText w:val="(%1)"/>
      <w:numFmt w:val="lowerLetter"/>
      <w:start w:val="4"/>
    </w:lvl>
  </w:abstractNum>
  <w:abstractNum w:abstractNumId="89">
    <w:nsid w:val="763CB680"/>
    <w:multiLevelType w:val="hybridMultilevel"/>
    <w:lvl w:ilvl="0">
      <w:lvlJc w:val="left"/>
      <w:lvlText w:val="(%1)"/>
      <w:numFmt w:val="lowerLetter"/>
      <w:start w:val="2"/>
    </w:lvl>
  </w:abstractNum>
  <w:abstractNum w:abstractNumId="90">
    <w:nsid w:val="15B7132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1">
    <w:nsid w:val="3DA97044"/>
    <w:multiLevelType w:val="hybridMultilevel"/>
    <w:lvl w:ilvl="0">
      <w:lvlJc w:val="left"/>
      <w:lvlText w:val="(%1)"/>
      <w:numFmt w:val="lowerLetter"/>
      <w:start w:val="1"/>
    </w:lvl>
  </w:abstractNum>
  <w:abstractNum w:abstractNumId="92">
    <w:nsid w:val="1CDCE2DE"/>
    <w:multiLevelType w:val="hybridMultilevel"/>
    <w:lvl w:ilvl="0">
      <w:lvlJc w:val="left"/>
      <w:lvlText w:val="(%1)"/>
      <w:numFmt w:val="lowerLetter"/>
      <w:start w:val="2"/>
    </w:lvl>
  </w:abstractNum>
  <w:abstractNum w:abstractNumId="93">
    <w:nsid w:val="69D3947C"/>
    <w:multiLevelType w:val="hybridMultilevel"/>
    <w:lvl w:ilvl="0">
      <w:lvlJc w:val="left"/>
      <w:lvlText w:val="(%1)"/>
      <w:numFmt w:val="lowerLetter"/>
      <w:start w:val="1"/>
    </w:lvl>
    <w:lvl w:ilvl="1">
      <w:lvlJc w:val="left"/>
      <w:lvlText w:val="(%2)"/>
      <w:numFmt w:val="lowerRoman"/>
      <w:start w:val="1"/>
    </w:lvl>
  </w:abstractNum>
  <w:abstractNum w:abstractNumId="94">
    <w:nsid w:val="2539DFA5"/>
    <w:multiLevelType w:val="hybridMultilevel"/>
    <w:lvl w:ilvl="0">
      <w:lvlJc w:val="left"/>
      <w:lvlText w:val="(%1)"/>
      <w:numFmt w:val="lowerRoman"/>
      <w:start w:val="4"/>
    </w:lvl>
  </w:abstractNum>
  <w:abstractNum w:abstractNumId="95">
    <w:nsid w:val="2DB88089"/>
    <w:multiLevelType w:val="hybridMultilevel"/>
    <w:lvl w:ilvl="0">
      <w:lvlJc w:val="left"/>
      <w:lvlText w:val="(%1)"/>
      <w:numFmt w:val="lowerLetter"/>
      <w:start w:val="1"/>
    </w:lvl>
  </w:abstractNum>
  <w:abstractNum w:abstractNumId="96">
    <w:nsid w:val="706B674E"/>
    <w:multiLevelType w:val="hybridMultilevel"/>
    <w:lvl w:ilvl="0">
      <w:lvlJc w:val="left"/>
      <w:lvlText w:val="(%1)"/>
      <w:numFmt w:val="lowerLetter"/>
      <w:start w:val="1"/>
    </w:lvl>
    <w:lvl w:ilvl="1">
      <w:lvlJc w:val="left"/>
      <w:lvlText w:val="(%2)"/>
      <w:numFmt w:val="lowerRoman"/>
      <w:start w:val="1"/>
    </w:lvl>
  </w:abstractNum>
  <w:abstractNum w:abstractNumId="97">
    <w:nsid w:val="2C106A57"/>
    <w:multiLevelType w:val="hybridMultilevel"/>
    <w:lvl w:ilvl="0">
      <w:lvlJc w:val="left"/>
      <w:lvlText w:val="%1."/>
      <w:numFmt w:val="decimal"/>
      <w:start w:val="1"/>
    </w:lvl>
  </w:abstractNum>
  <w:abstractNum w:abstractNumId="98">
    <w:nsid w:val="684EED59"/>
    <w:multiLevelType w:val="hybridMultilevel"/>
    <w:lvl w:ilvl="0">
      <w:lvlJc w:val="left"/>
      <w:lvlText w:val="%1."/>
      <w:numFmt w:val="decimal"/>
      <w:start w:val="1"/>
    </w:lvl>
    <w:lvl w:ilvl="1">
      <w:lvlJc w:val="left"/>
      <w:lvlText w:val="%2"/>
      <w:numFmt w:val="lowerLetter"/>
      <w:start w:val="1"/>
    </w:lvl>
  </w:abstractNum>
  <w:abstractNum w:abstractNumId="99">
    <w:nsid w:val="545EE5D3"/>
    <w:multiLevelType w:val="hybridMultilevel"/>
    <w:lvl w:ilvl="0">
      <w:lvlJc w:val="left"/>
      <w:lvlText w:val="(%1)"/>
      <w:numFmt w:val="lowerLetter"/>
      <w:start w:val="2"/>
    </w:lvl>
  </w:abstractNum>
  <w:abstractNum w:abstractNumId="100">
    <w:nsid w:val="4A66051"/>
    <w:multiLevelType w:val="hybridMultilevel"/>
    <w:lvl w:ilvl="0">
      <w:lvlJc w:val="left"/>
      <w:lvlText w:val="(%1)"/>
      <w:numFmt w:val="lowerLetter"/>
      <w:start w:val="2"/>
    </w:lvl>
  </w:abstractNum>
  <w:abstractNum w:abstractNumId="101">
    <w:nsid w:val="20F4BDAD"/>
    <w:multiLevelType w:val="hybridMultilevel"/>
    <w:lvl w:ilvl="0">
      <w:lvlJc w:val="left"/>
      <w:lvlText w:val="(%1)"/>
      <w:numFmt w:val="lowerLetter"/>
      <w:start w:val="2"/>
    </w:lvl>
  </w:abstractNum>
  <w:abstractNum w:abstractNumId="102">
    <w:nsid w:val="639DEFAC"/>
    <w:multiLevelType w:val="hybridMultilevel"/>
    <w:lvl w:ilvl="0">
      <w:lvlJc w:val="left"/>
      <w:lvlText w:val="(%1)"/>
      <w:numFmt w:val="lowerLetter"/>
      <w:start w:val="4"/>
    </w:lvl>
  </w:abstractNum>
  <w:abstractNum w:abstractNumId="103">
    <w:nsid w:val="501F9786"/>
    <w:multiLevelType w:val="hybridMultilevel"/>
    <w:lvl w:ilvl="0">
      <w:lvlJc w:val="left"/>
      <w:lvlText w:val="(%1)"/>
      <w:numFmt w:val="lowerLetter"/>
      <w:start w:val="2"/>
    </w:lvl>
  </w:abstractNum>
  <w:abstractNum w:abstractNumId="104">
    <w:nsid w:val="6B057295"/>
    <w:multiLevelType w:val="hybridMultilevel"/>
    <w:lvl w:ilvl="0">
      <w:lvlJc w:val="left"/>
      <w:lvlText w:val="(%1)"/>
      <w:numFmt w:val="lowerLetter"/>
      <w:start w:val="1"/>
    </w:lvl>
  </w:abstractNum>
  <w:abstractNum w:abstractNumId="105">
    <w:nsid w:val="2771AC80"/>
    <w:multiLevelType w:val="hybridMultilevel"/>
    <w:lvl w:ilvl="0">
      <w:lvlJc w:val="left"/>
      <w:lvlText w:val="(%1)"/>
      <w:numFmt w:val="lowerLetter"/>
      <w:start w:val="1"/>
    </w:lvl>
  </w:abstractNum>
  <w:abstractNum w:abstractNumId="106">
    <w:nsid w:val="1C4A08EC"/>
    <w:multiLevelType w:val="hybridMultilevel"/>
    <w:lvl w:ilvl="0">
      <w:lvlJc w:val="left"/>
      <w:lvlText w:val="(%1)"/>
      <w:numFmt w:val="lowerLetter"/>
      <w:start w:val="2"/>
    </w:lvl>
  </w:abstractNum>
  <w:abstractNum w:abstractNumId="107">
    <w:nsid w:val="1958BD17"/>
    <w:multiLevelType w:val="hybridMultilevel"/>
    <w:lvl w:ilvl="0">
      <w:lvlJc w:val="left"/>
      <w:lvlText w:val="%1."/>
      <w:numFmt w:val="decimal"/>
      <w:start w:val="1"/>
    </w:lvl>
  </w:abstractNum>
  <w:abstractNum w:abstractNumId="108">
    <w:nsid w:val="4E647FE4"/>
    <w:multiLevelType w:val="hybridMultilevel"/>
    <w:lvl w:ilvl="0">
      <w:lvlJc w:val="left"/>
      <w:lvlText w:val="%1."/>
      <w:numFmt w:val="decimal"/>
      <w:start w:val="1"/>
    </w:lvl>
  </w:abstractNum>
  <w:abstractNum w:abstractNumId="109">
    <w:nsid w:val="E0BB885"/>
    <w:multiLevelType w:val="hybridMultilevel"/>
    <w:lvl w:ilvl="0">
      <w:lvlJc w:val="left"/>
      <w:lvlText w:val="%1."/>
      <w:numFmt w:val="decimal"/>
      <w:start w:val="1"/>
    </w:lvl>
  </w:abstractNum>
  <w:abstractNum w:abstractNumId="110">
    <w:nsid w:val="565976F1"/>
    <w:multiLevelType w:val="hybridMultilevel"/>
    <w:lvl w:ilvl="0">
      <w:lvlJc w:val="left"/>
      <w:lvlText w:val="%1."/>
      <w:numFmt w:val="decimal"/>
      <w:start w:val="3"/>
    </w:lvl>
  </w:abstractNum>
  <w:abstractNum w:abstractNumId="111">
    <w:nsid w:val="64212B8C"/>
    <w:multiLevelType w:val="hybridMultilevel"/>
    <w:lvl w:ilvl="0">
      <w:lvlJc w:val="left"/>
      <w:lvlText w:val="1"/>
      <w:numFmt w:val="bullet"/>
      <w:start w:val="1"/>
    </w:lvl>
  </w:abstractNum>
  <w:abstractNum w:abstractNumId="112">
    <w:nsid w:val="5C17530C"/>
    <w:multiLevelType w:val="hybridMultilevel"/>
    <w:lvl w:ilvl="0">
      <w:lvlJc w:val="left"/>
      <w:lvlText w:val="2"/>
      <w:numFmt w:val="bullet"/>
      <w:start w:val="1"/>
    </w:lvl>
  </w:abstractNum>
  <w:abstractNum w:abstractNumId="113">
    <w:nsid w:val="19A52566"/>
    <w:multiLevelType w:val="hybridMultilevel"/>
    <w:lvl w:ilvl="0">
      <w:lvlJc w:val="left"/>
      <w:lvlText w:val="3"/>
      <w:numFmt w:val="bullet"/>
      <w:start w:val="1"/>
    </w:lvl>
  </w:abstractNum>
  <w:abstractNum w:abstractNumId="114">
    <w:nsid w:val="335A1DF1"/>
    <w:multiLevelType w:val="hybridMultilevel"/>
    <w:lvl w:ilvl="0">
      <w:lvlJc w:val="left"/>
      <w:lvlText w:val="4"/>
      <w:numFmt w:val="bullet"/>
      <w:start w:val="1"/>
    </w:lvl>
  </w:abstractNum>
  <w:abstractNum w:abstractNumId="115">
    <w:nsid w:val="28677B7C"/>
    <w:multiLevelType w:val="hybridMultilevel"/>
    <w:lvl w:ilvl="0">
      <w:lvlJc w:val="left"/>
      <w:lvlText w:val="5"/>
      <w:numFmt w:val="bullet"/>
      <w:start w:val="1"/>
    </w:lvl>
  </w:abstractNum>
  <w:abstractNum w:abstractNumId="116">
    <w:nsid w:val="378D97C0"/>
    <w:multiLevelType w:val="hybridMultilevel"/>
    <w:lvl w:ilvl="0">
      <w:lvlJc w:val="left"/>
      <w:lvlText w:val="6"/>
      <w:numFmt w:val="bullet"/>
      <w:start w:val="1"/>
    </w:lvl>
  </w:abstractNum>
  <w:abstractNum w:abstractNumId="117">
    <w:nsid w:val="1D91467C"/>
    <w:multiLevelType w:val="hybridMultilevel"/>
    <w:lvl w:ilvl="0">
      <w:lvlJc w:val="left"/>
      <w:lvlText w:val="(%1)"/>
      <w:numFmt w:val="lowerLetter"/>
      <w:start w:val="1"/>
    </w:lvl>
  </w:abstractNum>
  <w:abstractNum w:abstractNumId="118">
    <w:nsid w:val="316032BB"/>
    <w:multiLevelType w:val="hybridMultilevel"/>
    <w:lvl w:ilvl="0">
      <w:lvlJc w:val="left"/>
      <w:lvlText w:val="%1."/>
      <w:numFmt w:val="decimal"/>
      <w:start w:val="1"/>
    </w:lvl>
  </w:abstractNum>
  <w:abstractNum w:abstractNumId="119">
    <w:nsid w:val="44344C22"/>
    <w:multiLevelType w:val="hybridMultilevel"/>
    <w:lvl w:ilvl="0">
      <w:lvlJc w:val="left"/>
      <w:lvlText w:val="%1."/>
      <w:numFmt w:val="decimal"/>
      <w:start w:val="1"/>
    </w:lvl>
  </w:abstractNum>
  <w:abstractNum w:abstractNumId="120">
    <w:nsid w:val="13CDFCFC"/>
    <w:multiLevelType w:val="hybridMultilevel"/>
    <w:lvl w:ilvl="0">
      <w:lvlJc w:val="left"/>
      <w:lvlText w:val="%1."/>
      <w:numFmt w:val="decimal"/>
      <w:start w:val="4"/>
    </w:lvl>
  </w:abstractNum>
  <w:abstractNum w:abstractNumId="121">
    <w:nsid w:val="471745E4"/>
    <w:multiLevelType w:val="hybridMultilevel"/>
    <w:lvl w:ilvl="0">
      <w:lvlJc w:val="left"/>
      <w:lvlText w:val="%1."/>
      <w:numFmt w:val="decimal"/>
      <w:start w:val="1"/>
    </w:lvl>
  </w:abstractNum>
  <w:abstractNum w:abstractNumId="122">
    <w:nsid w:val="1DDBC66"/>
    <w:multiLevelType w:val="hybridMultilevel"/>
    <w:lvl w:ilvl="0">
      <w:lvlJc w:val="left"/>
      <w:lvlText w:val="%1."/>
      <w:numFmt w:val="decimal"/>
      <w:start w:val="2"/>
    </w:lvl>
  </w:abstractNum>
  <w:abstractNum w:abstractNumId="123">
    <w:nsid w:val="30AADFDA"/>
    <w:multiLevelType w:val="hybridMultilevel"/>
    <w:lvl w:ilvl="0">
      <w:lvlJc w:val="left"/>
      <w:lvlText w:val="7"/>
      <w:numFmt w:val="bullet"/>
      <w:start w:val="1"/>
    </w:lvl>
  </w:abstractNum>
  <w:abstractNum w:abstractNumId="124">
    <w:nsid w:val="30EADA61"/>
    <w:multiLevelType w:val="hybridMultilevel"/>
    <w:lvl w:ilvl="0">
      <w:lvlJc w:val="left"/>
      <w:lvlText w:val="8"/>
      <w:numFmt w:val="bullet"/>
      <w:start w:val="1"/>
    </w:lvl>
  </w:abstractNum>
  <w:abstractNum w:abstractNumId="125">
    <w:nsid w:val="27179C0B"/>
    <w:multiLevelType w:val="hybridMultilevel"/>
    <w:lvl w:ilvl="0">
      <w:lvlJc w:val="left"/>
      <w:lvlText w:val="9"/>
      <w:numFmt w:val="bullet"/>
      <w:start w:val="1"/>
    </w:lvl>
  </w:abstractNum>
  <w:abstractNum w:abstractNumId="126">
    <w:nsid w:val="5E636063"/>
    <w:multiLevelType w:val="hybridMultilevel"/>
    <w:lvl w:ilvl="0">
      <w:lvlJc w:val="left"/>
      <w:lvlText w:val="%1."/>
      <w:numFmt w:val="decimal"/>
      <w:start w:val="1"/>
    </w:lvl>
  </w:abstractNum>
  <w:abstractNum w:abstractNumId="127">
    <w:nsid w:val="215641AF"/>
    <w:multiLevelType w:val="hybridMultilevel"/>
    <w:lvl w:ilvl="0">
      <w:lvlJc w:val="left"/>
      <w:lvlText w:val="(%1)"/>
      <w:numFmt w:val="lowerLetter"/>
      <w:start w:val="22"/>
    </w:lvl>
  </w:abstractNum>
  <w:abstractNum w:abstractNumId="128">
    <w:nsid w:val="53280662"/>
    <w:multiLevelType w:val="hybridMultilevel"/>
    <w:lvl w:ilvl="0">
      <w:lvlJc w:val="left"/>
      <w:lvlText w:val="(%1)"/>
      <w:numFmt w:val="lowerLetter"/>
      <w:start w:val="2"/>
    </w:lvl>
  </w:abstractNum>
  <w:abstractNum w:abstractNumId="129">
    <w:nsid w:val="46B24DBC"/>
    <w:multiLevelType w:val="hybridMultilevel"/>
    <w:lvl w:ilvl="0">
      <w:lvlJc w:val="left"/>
      <w:lvlText w:val="(%1)"/>
      <w:numFmt w:val="lowerLetter"/>
      <w:start w:val="35"/>
    </w:lvl>
  </w:abstractNum>
  <w:abstractNum w:abstractNumId="130">
    <w:nsid w:val="75B52783"/>
    <w:multiLevelType w:val="hybridMultilevel"/>
    <w:lvl w:ilvl="0">
      <w:lvlJc w:val="left"/>
      <w:lvlText w:val="%1."/>
      <w:numFmt w:val="decimal"/>
      <w:start w:val="2"/>
    </w:lvl>
  </w:abstractNum>
  <w:abstractNum w:abstractNumId="131">
    <w:nsid w:val="57CE66B4"/>
    <w:multiLevelType w:val="hybridMultilevel"/>
    <w:lvl w:ilvl="0">
      <w:lvlJc w:val="left"/>
      <w:lvlText w:val="A"/>
      <w:numFmt w:val="bullet"/>
      <w:start w:val="1"/>
    </w:lvl>
  </w:abstractNum>
  <w:abstractNum w:abstractNumId="132">
    <w:nsid w:val="67A70B69"/>
    <w:multiLevelType w:val="hybridMultilevel"/>
    <w:lvl w:ilvl="0">
      <w:lvlJc w:val="left"/>
      <w:lvlText w:val="B"/>
      <w:numFmt w:val="bullet"/>
      <w:start w:val="1"/>
    </w:lvl>
  </w:abstractNum>
  <w:abstractNum w:abstractNumId="133">
    <w:nsid w:val="5953172F"/>
    <w:multiLevelType w:val="hybridMultilevel"/>
    <w:lvl w:ilvl="0">
      <w:lvlJc w:val="left"/>
      <w:lvlText w:val="C"/>
      <w:numFmt w:val="bullet"/>
      <w:start w:val="1"/>
    </w:lvl>
  </w:abstractNum>
  <w:abstractNum w:abstractNumId="134">
    <w:nsid w:val="27EDFE3A"/>
    <w:multiLevelType w:val="hybridMultilevel"/>
    <w:lvl w:ilvl="0">
      <w:lvlJc w:val="left"/>
      <w:lvlText w:val="D"/>
      <w:numFmt w:val="bullet"/>
      <w:start w:val="1"/>
    </w:lvl>
  </w:abstractNum>
  <w:abstractNum w:abstractNumId="135">
    <w:nsid w:val="52AC7DFF"/>
    <w:multiLevelType w:val="hybridMultilevel"/>
    <w:lvl w:ilvl="0">
      <w:lvlJc w:val="left"/>
      <w:lvlText w:val="E"/>
      <w:numFmt w:val="bullet"/>
      <w:start w:val="1"/>
    </w:lvl>
  </w:abstractNum>
  <w:abstractNum w:abstractNumId="136">
    <w:nsid w:val="C4C3AF"/>
    <w:multiLevelType w:val="hybridMultilevel"/>
    <w:lvl w:ilvl="0">
      <w:lvlJc w:val="left"/>
      <w:lvlText w:val="G"/>
      <w:numFmt w:val="bullet"/>
      <w:start w:val="1"/>
    </w:lvl>
  </w:abstractNum>
  <w:abstractNum w:abstractNumId="137">
    <w:nsid w:val="44380727"/>
    <w:multiLevelType w:val="hybridMultilevel"/>
    <w:lvl w:ilvl="0">
      <w:lvlJc w:val="left"/>
      <w:lvlText w:val="A"/>
      <w:numFmt w:val="bullet"/>
      <w:start w:val="1"/>
    </w:lvl>
  </w:abstractNum>
  <w:abstractNum w:abstractNumId="138">
    <w:nsid w:val="6C053B16"/>
    <w:multiLevelType w:val="hybridMultilevel"/>
    <w:lvl w:ilvl="0">
      <w:lvlJc w:val="left"/>
      <w:lvlText w:val="(%1)"/>
      <w:numFmt w:val="lowerLetter"/>
      <w:start w:val="1"/>
    </w:lvl>
  </w:abstractNum>
  <w:abstractNum w:abstractNumId="139">
    <w:nsid w:val="4F294393"/>
    <w:multiLevelType w:val="hybridMultilevel"/>
    <w:lvl w:ilvl="0">
      <w:lvlJc w:val="left"/>
      <w:lvlText w:val="(%1)"/>
      <w:numFmt w:val="lowerLetter"/>
      <w:start w:val="4"/>
    </w:lvl>
  </w:abstractNum>
  <w:abstractNum w:abstractNumId="140">
    <w:nsid w:val="5243BFAC"/>
    <w:multiLevelType w:val="hybridMultilevel"/>
    <w:lvl w:ilvl="0">
      <w:lvlJc w:val="left"/>
      <w:lvlText w:val="(%1)"/>
      <w:numFmt w:val="lowerLetter"/>
      <w:start w:val="1"/>
    </w:lvl>
  </w:abstractNum>
  <w:abstractNum w:abstractNumId="141">
    <w:nsid w:val="425EB207"/>
    <w:multiLevelType w:val="hybridMultilevel"/>
    <w:lvl w:ilvl="0">
      <w:lvlJc w:val="left"/>
      <w:lvlText w:val="(%1)"/>
      <w:numFmt w:val="lowerLetter"/>
      <w:start w:val="1"/>
    </w:lvl>
  </w:abstractNum>
  <w:abstractNum w:abstractNumId="142">
    <w:nsid w:val="334A6F1F"/>
    <w:multiLevelType w:val="hybridMultilevel"/>
    <w:lvl w:ilvl="0">
      <w:lvlJc w:val="left"/>
      <w:lvlText w:val="(%1)"/>
      <w:numFmt w:val="lowerLetter"/>
      <w:start w:val="8"/>
    </w:lvl>
  </w:abstractNum>
  <w:abstractNum w:abstractNumId="143">
    <w:nsid w:val="2E5B12B8"/>
    <w:multiLevelType w:val="hybridMultilevel"/>
    <w:lvl w:ilvl="0">
      <w:lvlJc w:val="left"/>
      <w:lvlText w:val="(%1)"/>
      <w:numFmt w:val="lowerRoman"/>
      <w:start w:val="1"/>
    </w:lvl>
  </w:abstractNum>
  <w:abstractNum w:abstractNumId="144">
    <w:nsid w:val="5C03D76D"/>
    <w:multiLevelType w:val="hybridMultilevel"/>
    <w:lvl w:ilvl="0">
      <w:lvlJc w:val="left"/>
      <w:lvlText w:val="(%1)"/>
      <w:numFmt w:val="lowerRoman"/>
      <w:start w:val="1"/>
    </w:lvl>
  </w:abstractNum>
  <w:abstractNum w:abstractNumId="145">
    <w:nsid w:val="66A48D11"/>
    <w:multiLevelType w:val="hybridMultilevel"/>
    <w:lvl w:ilvl="0">
      <w:lvlJc w:val="left"/>
      <w:lvlText w:val="(%1)"/>
      <w:numFmt w:val="lowerLetter"/>
      <w:start w:val="1"/>
    </w:lvl>
  </w:abstractNum>
  <w:abstractNum w:abstractNumId="146">
    <w:nsid w:val="56C28E34"/>
    <w:multiLevelType w:val="hybridMultilevel"/>
    <w:lvl w:ilvl="0">
      <w:lvlJc w:val="left"/>
      <w:lvlText w:val="(%1)"/>
      <w:numFmt w:val="lowerLetter"/>
      <w:start w:val="1"/>
    </w:lvl>
  </w:abstractNum>
  <w:abstractNum w:abstractNumId="147">
    <w:nsid w:val="13916F2D"/>
    <w:multiLevelType w:val="hybridMultilevel"/>
    <w:lvl w:ilvl="0">
      <w:lvlJc w:val="left"/>
      <w:lvlText w:val="(%1)"/>
      <w:numFmt w:val="lowerLetter"/>
      <w:start w:val="1"/>
    </w:lvl>
  </w:abstractNum>
  <w:abstractNum w:abstractNumId="148">
    <w:nsid w:val="435D38D"/>
    <w:multiLevelType w:val="hybridMultilevel"/>
    <w:lvl w:ilvl="0">
      <w:lvlJc w:val="left"/>
      <w:lvlText w:val="(%1)"/>
      <w:numFmt w:val="lowerLetter"/>
      <w:start w:val="2"/>
    </w:lvl>
  </w:abstractNum>
  <w:abstractNum w:abstractNumId="149">
    <w:nsid w:val="822C0EF"/>
    <w:multiLevelType w:val="hybridMultilevel"/>
    <w:lvl w:ilvl="0">
      <w:lvlJc w:val="left"/>
      <w:lvlText w:val="(%1)"/>
      <w:numFmt w:val="lowerLetter"/>
      <w:start w:val="1"/>
    </w:lvl>
  </w:abstractNum>
  <w:abstractNum w:abstractNumId="150">
    <w:nsid w:val="57C5BB4F"/>
    <w:multiLevelType w:val="hybridMultilevel"/>
    <w:lvl w:ilvl="0">
      <w:lvlJc w:val="left"/>
      <w:lvlText w:val="(%1)"/>
      <w:numFmt w:val="lowerLetter"/>
      <w:start w:val="3"/>
    </w:lvl>
  </w:abstractNum>
  <w:abstractNum w:abstractNumId="151">
    <w:nsid w:val="1803D089"/>
    <w:multiLevelType w:val="hybridMultilevel"/>
    <w:lvl w:ilvl="0">
      <w:lvlJc w:val="left"/>
      <w:lvlText w:val="(%1)"/>
      <w:numFmt w:val="lowerLetter"/>
      <w:start w:val="1"/>
    </w:lvl>
  </w:abstractNum>
  <w:abstractNum w:abstractNumId="152">
    <w:nsid w:val="4F3A06D4"/>
    <w:multiLevelType w:val="hybridMultilevel"/>
    <w:lvl w:ilvl="0">
      <w:lvlJc w:val="left"/>
      <w:lvlText w:val="(%1)"/>
      <w:numFmt w:val="lowerLetter"/>
      <w:start w:val="1"/>
    </w:lvl>
  </w:abstractNum>
  <w:abstractNum w:abstractNumId="153">
    <w:nsid w:val="59A377B6"/>
    <w:multiLevelType w:val="hybridMultilevel"/>
    <w:lvl w:ilvl="0">
      <w:lvlJc w:val="left"/>
      <w:lvlText w:val="(%1)"/>
      <w:numFmt w:val="lowerLetter"/>
      <w:start w:val="2"/>
    </w:lvl>
  </w:abstractNum>
  <w:abstractNum w:abstractNumId="154">
    <w:nsid w:val="48AEB063"/>
    <w:multiLevelType w:val="hybridMultilevel"/>
    <w:lvl w:ilvl="0">
      <w:lvlJc w:val="left"/>
      <w:lvlText w:val="(%1)"/>
      <w:numFmt w:val="lowerLetter"/>
      <w:start w:val="1"/>
    </w:lvl>
  </w:abstractNum>
  <w:abstractNum w:abstractNumId="155">
    <w:nsid w:val="24E135"/>
    <w:multiLevelType w:val="hybridMultilevel"/>
    <w:lvl w:ilvl="0">
      <w:lvlJc w:val="left"/>
      <w:lvlText w:val="(%1)"/>
      <w:numFmt w:val="lowerLetter"/>
      <w:start w:val="1"/>
    </w:lvl>
  </w:abstractNum>
  <w:abstractNum w:abstractNumId="156">
    <w:nsid w:val="BB13C1"/>
    <w:multiLevelType w:val="hybridMultilevel"/>
    <w:lvl w:ilvl="0">
      <w:lvlJc w:val="left"/>
      <w:lvlText w:val="(%1)"/>
      <w:numFmt w:val="lowerLetter"/>
      <w:start w:val="1"/>
    </w:lvl>
  </w:abstractNum>
  <w:abstractNum w:abstractNumId="157">
    <w:nsid w:val="271210C7"/>
    <w:multiLevelType w:val="hybridMultilevel"/>
    <w:lvl w:ilvl="0">
      <w:lvlJc w:val="left"/>
      <w:lvlText w:val="(%1)"/>
      <w:numFmt w:val="lowerLetter"/>
      <w:start w:val="1"/>
    </w:lvl>
    <w:lvl w:ilvl="1">
      <w:lvlJc w:val="left"/>
      <w:lvlText w:val="(%2)"/>
      <w:numFmt w:val="lowerRoman"/>
      <w:start w:val="1"/>
    </w:lvl>
  </w:abstractNum>
  <w:abstractNum w:abstractNumId="158">
    <w:nsid w:val="217B22E4"/>
    <w:multiLevelType w:val="hybridMultilevel"/>
    <w:lvl w:ilvl="0">
      <w:lvlJc w:val="left"/>
      <w:lvlText w:val="(%1)"/>
      <w:numFmt w:val="lowerLetter"/>
      <w:start w:val="5"/>
    </w:lvl>
  </w:abstractNum>
  <w:abstractNum w:abstractNumId="159">
    <w:nsid w:val="53E31A24"/>
    <w:multiLevelType w:val="hybridMultilevel"/>
    <w:lvl w:ilvl="0">
      <w:lvlJc w:val="left"/>
      <w:lvlText w:val="(%1)"/>
      <w:numFmt w:val="lowerLetter"/>
      <w:start w:val="1"/>
    </w:lvl>
  </w:abstractNum>
  <w:abstractNum w:abstractNumId="160">
    <w:nsid w:val="6DC45E83"/>
    <w:multiLevelType w:val="hybridMultilevel"/>
    <w:lvl w:ilvl="0">
      <w:lvlJc w:val="left"/>
      <w:lvlText w:val="(%1)"/>
      <w:numFmt w:val="lowerLetter"/>
      <w:start w:val="1"/>
    </w:lvl>
  </w:abstractNum>
  <w:abstractNum w:abstractNumId="161">
    <w:nsid w:val="17304A67"/>
    <w:multiLevelType w:val="hybridMultilevel"/>
    <w:lvl w:ilvl="0">
      <w:lvlJc w:val="left"/>
      <w:lvlText w:val="(%1)"/>
      <w:numFmt w:val="lowerLetter"/>
      <w:start w:val="3"/>
    </w:lvl>
  </w:abstractNum>
  <w:abstractNum w:abstractNumId="162">
    <w:nsid w:val="2BB180D8"/>
    <w:multiLevelType w:val="hybridMultilevel"/>
    <w:lvl w:ilvl="0">
      <w:lvlJc w:val="left"/>
      <w:lvlText w:val="(%1)"/>
      <w:numFmt w:val="lowerLetter"/>
      <w:start w:val="1"/>
    </w:lvl>
  </w:abstractNum>
  <w:abstractNum w:abstractNumId="163">
    <w:nsid w:val="556B69ED"/>
    <w:multiLevelType w:val="hybridMultilevel"/>
    <w:lvl w:ilvl="0">
      <w:lvlJc w:val="left"/>
      <w:lvlText w:val="(%1)"/>
      <w:numFmt w:val="lowerLetter"/>
      <w:start w:val="2"/>
    </w:lvl>
  </w:abstractNum>
  <w:abstractNum w:abstractNumId="164">
    <w:nsid w:val="70836196"/>
    <w:multiLevelType w:val="hybridMultilevel"/>
    <w:lvl w:ilvl="0">
      <w:lvlJc w:val="left"/>
      <w:lvlText w:val="(%1)"/>
      <w:numFmt w:val="lowerLetter"/>
      <w:start w:val="4"/>
    </w:lvl>
  </w:abstractNum>
  <w:abstractNum w:abstractNumId="165">
    <w:nsid w:val="539F7F12"/>
    <w:multiLevelType w:val="hybridMultilevel"/>
    <w:lvl w:ilvl="0">
      <w:lvlJc w:val="left"/>
      <w:lvlText w:val="(%1)"/>
      <w:numFmt w:val="lowerLetter"/>
      <w:start w:val="1"/>
    </w:lvl>
    <w:lvl w:ilvl="1">
      <w:lvlJc w:val="left"/>
      <w:lvlText w:val="(%2)"/>
      <w:numFmt w:val="lowerRoman"/>
      <w:start w:val="1"/>
    </w:lvl>
  </w:abstractNum>
  <w:abstractNum w:abstractNumId="166">
    <w:nsid w:val="2817E7EC"/>
    <w:multiLevelType w:val="hybridMultilevel"/>
    <w:lvl w:ilvl="0">
      <w:lvlJc w:val="left"/>
      <w:lvlText w:val="(%1)"/>
      <w:numFmt w:val="lowerLetter"/>
      <w:start w:val="1"/>
    </w:lvl>
    <w:lvl w:ilvl="1">
      <w:lvlJc w:val="left"/>
      <w:lvlText w:val="(%2)"/>
      <w:numFmt w:val="lowerRoman"/>
      <w:start w:val="1"/>
    </w:lvl>
  </w:abstractNum>
  <w:abstractNum w:abstractNumId="167">
    <w:nsid w:val="71482545"/>
    <w:multiLevelType w:val="hybridMultilevel"/>
    <w:lvl w:ilvl="0">
      <w:lvlJc w:val="left"/>
      <w:lvlText w:val="(%1)"/>
      <w:numFmt w:val="lowerLetter"/>
      <w:start w:val="2"/>
    </w:lvl>
  </w:abstractNum>
  <w:abstractNum w:abstractNumId="168">
    <w:nsid w:val="17D78639"/>
    <w:multiLevelType w:val="hybridMultilevel"/>
    <w:lvl w:ilvl="0">
      <w:lvlJc w:val="left"/>
      <w:lvlText w:val="(%1)"/>
      <w:numFmt w:val="lowerLetter"/>
      <w:start w:val="3"/>
    </w:lvl>
  </w:abstractNum>
  <w:abstractNum w:abstractNumId="169">
    <w:nsid w:val="141D2302"/>
    <w:multiLevelType w:val="hybridMultilevel"/>
    <w:lvl w:ilvl="0">
      <w:lvlJc w:val="left"/>
      <w:lvlText w:val="(%1)"/>
      <w:numFmt w:val="lowerLetter"/>
      <w:start w:val="1"/>
    </w:lvl>
  </w:abstractNum>
  <w:abstractNum w:abstractNumId="170">
    <w:nsid w:val="407168D8"/>
    <w:multiLevelType w:val="hybridMultilevel"/>
    <w:lvl w:ilvl="0">
      <w:lvlJc w:val="left"/>
      <w:lvlText w:val="(%1)"/>
      <w:numFmt w:val="lowerLetter"/>
      <w:start w:val="1"/>
    </w:lvl>
  </w:abstractNum>
  <w:abstractNum w:abstractNumId="171">
    <w:nsid w:val="6A1B45E5"/>
    <w:multiLevelType w:val="hybridMultilevel"/>
    <w:lvl w:ilvl="0">
      <w:lvlJc w:val="left"/>
      <w:lvlText w:val="(%1)"/>
      <w:numFmt w:val="lowerLetter"/>
      <w:start w:val="1"/>
    </w:lvl>
    <w:lvl w:ilvl="1">
      <w:lvlJc w:val="left"/>
      <w:lvlText w:val="(%2)"/>
      <w:numFmt w:val="lowerRoman"/>
      <w:start w:val="1"/>
    </w:lvl>
  </w:abstractNum>
  <w:abstractNum w:abstractNumId="172">
    <w:nsid w:val="567BD50A"/>
    <w:multiLevelType w:val="hybridMultilevel"/>
    <w:lvl w:ilvl="0">
      <w:lvlJc w:val="left"/>
      <w:lvlText w:val="%1"/>
      <w:numFmt w:val="lowerLetter"/>
      <w:start w:val="1"/>
    </w:lvl>
    <w:lvl w:ilvl="1">
      <w:lvlJc w:val="left"/>
      <w:lvlText w:val="(%2)"/>
      <w:numFmt w:val="lowerLetter"/>
      <w:start w:val="22"/>
    </w:lvl>
  </w:abstractNum>
  <w:abstractNum w:abstractNumId="173">
    <w:nsid w:val="73BBD7F8"/>
    <w:multiLevelType w:val="hybridMultilevel"/>
    <w:lvl w:ilvl="0">
      <w:lvlJc w:val="left"/>
      <w:lvlText w:val="(%1)"/>
      <w:numFmt w:val="lowerLetter"/>
      <w:start w:val="2"/>
    </w:lvl>
    <w:lvl w:ilvl="1">
      <w:lvlJc w:val="left"/>
      <w:lvlText w:val="%2"/>
      <w:numFmt w:val="lowerLetter"/>
      <w:start w:val="1"/>
    </w:lvl>
  </w:abstractNum>
  <w:abstractNum w:abstractNumId="174">
    <w:nsid w:val="1876589D"/>
    <w:multiLevelType w:val="hybridMultilevel"/>
    <w:lvl w:ilvl="0">
      <w:lvlJc w:val="left"/>
      <w:lvlText w:val="(%1)"/>
      <w:numFmt w:val="lowerLetter"/>
      <w:start w:val="1"/>
    </w:lvl>
  </w:abstractNum>
  <w:abstractNum w:abstractNumId="175">
    <w:nsid w:val="327FAC77"/>
    <w:multiLevelType w:val="hybridMultilevel"/>
    <w:lvl w:ilvl="0">
      <w:lvlJc w:val="left"/>
      <w:lvlText w:val="(%1)"/>
      <w:numFmt w:val="lowerLetter"/>
      <w:start w:val="3"/>
    </w:lvl>
  </w:abstractNum>
  <w:abstractNum w:abstractNumId="176">
    <w:nsid w:val="5A606509"/>
    <w:multiLevelType w:val="hybridMultilevel"/>
    <w:lvl w:ilvl="0">
      <w:lvlJc w:val="left"/>
      <w:lvlText w:val="(%1)"/>
      <w:numFmt w:val="lowerLetter"/>
      <w:start w:val="1"/>
    </w:lvl>
  </w:abstractNum>
  <w:abstractNum w:abstractNumId="177">
    <w:nsid w:val="6F38E6D1"/>
    <w:multiLevelType w:val="hybridMultilevel"/>
    <w:lvl w:ilvl="0">
      <w:lvlJc w:val="left"/>
      <w:lvlText w:val="(%1)"/>
      <w:numFmt w:val="lowerLetter"/>
      <w:start w:val="1"/>
    </w:lvl>
  </w:abstractNum>
  <w:abstractNum w:abstractNumId="178">
    <w:nsid w:val="46111BA5"/>
    <w:multiLevelType w:val="hybridMultilevel"/>
    <w:lvl w:ilvl="0">
      <w:lvlJc w:val="left"/>
      <w:lvlText w:val="(%1)"/>
      <w:numFmt w:val="lowerLetter"/>
      <w:start w:val="1"/>
    </w:lvl>
  </w:abstractNum>
  <w:abstractNum w:abstractNumId="179">
    <w:nsid w:val="5E963896"/>
    <w:multiLevelType w:val="hybridMultilevel"/>
    <w:lvl w:ilvl="0">
      <w:lvlJc w:val="left"/>
      <w:lvlText w:val="(%1)"/>
      <w:numFmt w:val="lowerLetter"/>
      <w:start w:val="1"/>
    </w:lvl>
  </w:abstractNum>
  <w:abstractNum w:abstractNumId="180">
    <w:nsid w:val="775BA7C1"/>
    <w:multiLevelType w:val="hybridMultilevel"/>
    <w:lvl w:ilvl="0">
      <w:lvlJc w:val="left"/>
      <w:lvlText w:val="(%1)"/>
      <w:numFmt w:val="lowerLetter"/>
      <w:start w:val="1"/>
    </w:lvl>
  </w:abstractNum>
  <w:abstractNum w:abstractNumId="181">
    <w:nsid w:val="1DD6D6F4"/>
    <w:multiLevelType w:val="hybridMultilevel"/>
    <w:lvl w:ilvl="0">
      <w:lvlJc w:val="left"/>
      <w:lvlText w:val="(%1)"/>
      <w:numFmt w:val="lowerLetter"/>
      <w:start w:val="1"/>
    </w:lvl>
    <w:lvl w:ilvl="1">
      <w:lvlJc w:val="left"/>
      <w:lvlText w:val="(%2)"/>
      <w:numFmt w:val="lowerRoman"/>
      <w:start w:val="1"/>
    </w:lvl>
  </w:abstractNum>
  <w:abstractNum w:abstractNumId="182">
    <w:nsid w:val="769A091F"/>
    <w:multiLevelType w:val="hybridMultilevel"/>
    <w:lvl w:ilvl="0">
      <w:lvlJc w:val="left"/>
      <w:lvlText w:val="(%1)"/>
      <w:numFmt w:val="lowerLetter"/>
      <w:start w:val="2"/>
    </w:lvl>
    <w:lvl w:ilvl="1">
      <w:lvlJc w:val="left"/>
      <w:lvlText w:val="(%2)"/>
      <w:numFmt w:val="lowerLetter"/>
      <w:start w:val="9"/>
    </w:lvl>
  </w:abstractNum>
  <w:abstractNum w:abstractNumId="183">
    <w:nsid w:val="4695AE95"/>
    <w:multiLevelType w:val="hybridMultilevel"/>
    <w:lvl w:ilvl="0">
      <w:lvlJc w:val="left"/>
      <w:lvlText w:val="(%1)"/>
      <w:numFmt w:val="lowerRoman"/>
      <w:start w:val="2"/>
    </w:lvl>
  </w:abstractNum>
  <w:abstractNum w:abstractNumId="184">
    <w:nsid w:val="777A4EAA"/>
    <w:multiLevelType w:val="hybridMultilevel"/>
    <w:lvl w:ilvl="0">
      <w:lvlJc w:val="left"/>
      <w:lvlText w:val="(%1)"/>
      <w:numFmt w:val="lowerLetter"/>
      <w:start w:val="1"/>
    </w:lvl>
  </w:abstractNum>
  <w:abstractNum w:abstractNumId="185">
    <w:nsid w:val="3F48B982"/>
    <w:multiLevelType w:val="hybridMultilevel"/>
    <w:lvl w:ilvl="0">
      <w:lvlJc w:val="left"/>
      <w:lvlText w:val="(%1)"/>
      <w:numFmt w:val="lowerLetter"/>
      <w:start w:val="8"/>
    </w:lvl>
  </w:abstractNum>
  <w:abstractNum w:abstractNumId="186">
    <w:nsid w:val="46BA8FCA"/>
    <w:multiLevelType w:val="hybridMultilevel"/>
    <w:lvl w:ilvl="0">
      <w:lvlJc w:val="left"/>
      <w:lvlText w:val="(%1)"/>
      <w:numFmt w:val="lowerLetter"/>
      <w:start w:val="1"/>
    </w:lvl>
  </w:abstractNum>
  <w:abstractNum w:abstractNumId="187">
    <w:nsid w:val="7835626C"/>
    <w:multiLevelType w:val="hybridMultilevel"/>
    <w:lvl w:ilvl="0">
      <w:lvlJc w:val="left"/>
      <w:lvlText w:val="(%1)"/>
      <w:numFmt w:val="lowerRoman"/>
      <w:start w:val="1"/>
    </w:lvl>
  </w:abstractNum>
  <w:abstractNum w:abstractNumId="188">
    <w:nsid w:val="665ACA49"/>
    <w:multiLevelType w:val="hybridMultilevel"/>
    <w:lvl w:ilvl="0">
      <w:lvlJc w:val="left"/>
      <w:lvlText w:val="%1"/>
      <w:numFmt w:val="lowerLetter"/>
      <w:start w:val="1"/>
    </w:lvl>
    <w:lvl w:ilvl="1">
      <w:lvlJc w:val="left"/>
      <w:lvlText w:val="(%2)"/>
      <w:numFmt w:val="lowerRoman"/>
      <w:start w:val="2"/>
    </w:lvl>
  </w:abstractNum>
  <w:abstractNum w:abstractNumId="189">
    <w:nsid w:val="6835B2AE"/>
    <w:multiLevelType w:val="hybridMultilevel"/>
    <w:lvl w:ilvl="0">
      <w:lvlJc w:val="left"/>
      <w:lvlText w:val="(%1)"/>
      <w:numFmt w:val="lowerLetter"/>
      <w:start w:val="2"/>
    </w:lvl>
    <w:lvl w:ilvl="1">
      <w:lvlJc w:val="left"/>
      <w:lvlText w:val="%2"/>
      <w:numFmt w:val="lowerRoman"/>
      <w:start w:val="1"/>
    </w:lvl>
  </w:abstractNum>
  <w:abstractNum w:abstractNumId="190">
    <w:nsid w:val="4C187C90"/>
    <w:multiLevelType w:val="hybridMultilevel"/>
    <w:lvl w:ilvl="0">
      <w:lvlJc w:val="left"/>
      <w:lvlText w:val="(%1)"/>
      <w:numFmt w:val="lowerRoman"/>
      <w:start w:val="1"/>
    </w:lvl>
  </w:abstractNum>
  <w:abstractNum w:abstractNumId="191">
    <w:nsid w:val="541F28CD"/>
    <w:multiLevelType w:val="hybridMultilevel"/>
    <w:lvl w:ilvl="0">
      <w:lvlJc w:val="left"/>
      <w:lvlText w:val="(%1)"/>
      <w:numFmt w:val="lowerLetter"/>
      <w:start w:val="1"/>
    </w:lvl>
  </w:abstractNum>
  <w:abstractNum w:abstractNumId="192">
    <w:nsid w:val="7F65FD16"/>
    <w:multiLevelType w:val="hybridMultilevel"/>
    <w:lvl w:ilvl="0">
      <w:lvlJc w:val="left"/>
      <w:lvlText w:val="(%1)"/>
      <w:numFmt w:val="lowerLetter"/>
      <w:start w:val="2"/>
    </w:lvl>
  </w:abstractNum>
  <w:abstractNum w:abstractNumId="193">
    <w:nsid w:val="77C9FD68"/>
    <w:multiLevelType w:val="hybridMultilevel"/>
    <w:lvl w:ilvl="0">
      <w:lvlJc w:val="left"/>
      <w:lvlText w:val="(%1)"/>
      <w:numFmt w:val="lowerLetter"/>
      <w:start w:val="1"/>
    </w:lvl>
  </w:abstractNum>
  <w:abstractNum w:abstractNumId="194">
    <w:nsid w:val="298A92BA"/>
    <w:multiLevelType w:val="hybridMultilevel"/>
    <w:lvl w:ilvl="0">
      <w:lvlJc w:val="left"/>
      <w:lvlText w:val="(%1)"/>
      <w:numFmt w:val="lowerLetter"/>
      <w:start w:val="8"/>
    </w:lvl>
  </w:abstractNum>
  <w:abstractNum w:abstractNumId="195">
    <w:nsid w:val="6FE95EAC"/>
    <w:multiLevelType w:val="hybridMultilevel"/>
    <w:lvl w:ilvl="0">
      <w:lvlJc w:val="left"/>
      <w:lvlText w:val="(%1)"/>
      <w:numFmt w:val="lowerLetter"/>
      <w:start w:val="1"/>
    </w:lvl>
    <w:lvl w:ilvl="1">
      <w:lvlJc w:val="left"/>
      <w:lvlText w:val="(%2)"/>
      <w:numFmt w:val="lowerRoman"/>
      <w:start w:val="1"/>
    </w:lvl>
  </w:abstractNum>
  <w:abstractNum w:abstractNumId="196">
    <w:nsid w:val="4B697C7A"/>
    <w:multiLevelType w:val="hybridMultilevel"/>
    <w:lvl w:ilvl="0">
      <w:lvlJc w:val="left"/>
      <w:lvlText w:val="(%1)"/>
      <w:numFmt w:val="lowerLetter"/>
      <w:start w:val="1"/>
    </w:lvl>
  </w:abstractNum>
  <w:abstractNum w:abstractNumId="197">
    <w:nsid w:val="51A27AA6"/>
    <w:multiLevelType w:val="hybridMultilevel"/>
    <w:lvl w:ilvl="0">
      <w:lvlJc w:val="left"/>
      <w:lvlText w:val="(%1)"/>
      <w:numFmt w:val="lowerLetter"/>
      <w:start w:val="3"/>
    </w:lvl>
  </w:abstractNum>
  <w:abstractNum w:abstractNumId="198">
    <w:nsid w:val="613183F2"/>
    <w:multiLevelType w:val="hybridMultilevel"/>
    <w:lvl w:ilvl="0">
      <w:lvlJc w:val="left"/>
      <w:lvlText w:val="(%1)"/>
      <w:numFmt w:val="lowerLetter"/>
      <w:start w:val="2"/>
    </w:lvl>
  </w:abstractNum>
  <w:abstractNum w:abstractNumId="199">
    <w:nsid w:val="634102B4"/>
    <w:multiLevelType w:val="hybridMultilevel"/>
    <w:lvl w:ilvl="0">
      <w:lvlJc w:val="left"/>
      <w:lvlText w:val="(%1)"/>
      <w:numFmt w:val="lowerLetter"/>
      <w:start w:val="1"/>
    </w:lvl>
    <w:lvl w:ilvl="1">
      <w:lvlJc w:val="left"/>
      <w:lvlText w:val="(%2)"/>
      <w:numFmt w:val="lowerLetter"/>
      <w:start w:val="9"/>
    </w:lvl>
  </w:abstractNum>
  <w:abstractNum w:abstractNumId="200">
    <w:nsid w:val="65BF9DA8"/>
    <w:multiLevelType w:val="hybridMultilevel"/>
    <w:lvl w:ilvl="0">
      <w:lvlJc w:val="left"/>
      <w:lvlText w:val="%1"/>
      <w:numFmt w:val="lowerLetter"/>
      <w:start w:val="1"/>
    </w:lvl>
    <w:lvl w:ilvl="1">
      <w:lvlJc w:val="left"/>
      <w:lvlText w:val="(%2)"/>
      <w:numFmt w:val="lowerRoman"/>
      <w:start w:val="2"/>
    </w:lvl>
  </w:abstractNum>
  <w:abstractNum w:abstractNumId="201">
    <w:nsid w:val="21A2ECCA"/>
    <w:multiLevelType w:val="hybridMultilevel"/>
    <w:lvl w:ilvl="0">
      <w:lvlJc w:val="left"/>
      <w:lvlText w:val="(%1)"/>
      <w:numFmt w:val="lowerLetter"/>
      <w:start w:val="2"/>
    </w:lvl>
    <w:lvl w:ilvl="1">
      <w:lvlJc w:val="left"/>
      <w:lvlText w:val="(%2)"/>
      <w:numFmt w:val="lowerRoman"/>
      <w:start w:val="1"/>
    </w:lvl>
  </w:abstractNum>
  <w:abstractNum w:abstractNumId="202">
    <w:nsid w:val="4D5C4899"/>
    <w:multiLevelType w:val="hybridMultilevel"/>
    <w:lvl w:ilvl="0">
      <w:lvlJc w:val="left"/>
      <w:lvlText w:val="%1"/>
      <w:numFmt w:val="lowerLetter"/>
      <w:start w:val="1"/>
    </w:lvl>
    <w:lvl w:ilvl="1">
      <w:lvlJc w:val="left"/>
      <w:lvlText w:val="(%2)"/>
      <w:numFmt w:val="lowerRoman"/>
      <w:start w:val="4"/>
    </w:lvl>
  </w:abstractNum>
  <w:abstractNum w:abstractNumId="203">
    <w:nsid w:val="3C3B72B2"/>
    <w:multiLevelType w:val="hybridMultilevel"/>
    <w:lvl w:ilvl="0">
      <w:lvlJc w:val="left"/>
      <w:lvlText w:val="(%1)"/>
      <w:numFmt w:val="lowerLetter"/>
      <w:start w:val="3"/>
    </w:lvl>
    <w:lvl w:ilvl="1">
      <w:lvlJc w:val="left"/>
      <w:lvlText w:val="%2"/>
      <w:numFmt w:val="lowerRoman"/>
      <w:start w:val="1"/>
    </w:lvl>
  </w:abstractNum>
  <w:abstractNum w:abstractNumId="204">
    <w:nsid w:val="155EC4C2"/>
    <w:multiLevelType w:val="hybridMultilevel"/>
    <w:lvl w:ilvl="0">
      <w:lvlJc w:val="left"/>
      <w:lvlText w:val="(%1)"/>
      <w:numFmt w:val="lowerLetter"/>
      <w:start w:val="1"/>
    </w:lvl>
  </w:abstractNum>
  <w:abstractNum w:abstractNumId="205">
    <w:nsid w:val="65D2A137"/>
    <w:multiLevelType w:val="hybridMultilevel"/>
    <w:lvl w:ilvl="0">
      <w:lvlJc w:val="left"/>
      <w:lvlText w:val="(%1)"/>
      <w:numFmt w:val="lowerLetter"/>
      <w:start w:val="4"/>
    </w:lvl>
  </w:abstractNum>
  <w:abstractNum w:abstractNumId="206">
    <w:nsid w:val="6EBB1F2A"/>
    <w:multiLevelType w:val="hybridMultilevel"/>
    <w:lvl w:ilvl="0">
      <w:lvlJc w:val="left"/>
      <w:lvlText w:val="(%1)"/>
      <w:numFmt w:val="lowerLetter"/>
      <w:start w:val="1"/>
    </w:lvl>
  </w:abstractNum>
  <w:abstractNum w:abstractNumId="207">
    <w:nsid w:val="6FBF29CB"/>
    <w:multiLevelType w:val="hybridMultilevel"/>
    <w:lvl w:ilvl="0">
      <w:lvlJc w:val="left"/>
      <w:lvlText w:val="(%1)"/>
      <w:numFmt w:val="lowerLetter"/>
      <w:start w:val="2"/>
    </w:lvl>
  </w:abstractNum>
  <w:abstractNum w:abstractNumId="208">
    <w:nsid w:val="550B8808"/>
    <w:multiLevelType w:val="hybridMultilevel"/>
    <w:lvl w:ilvl="0">
      <w:lvlJc w:val="left"/>
      <w:lvlText w:val="(%1)"/>
      <w:numFmt w:val="lowerLetter"/>
      <w:start w:val="3"/>
    </w:lvl>
    <w:lvl w:ilvl="1">
      <w:lvlJc w:val="left"/>
      <w:lvlText w:val="(%2)"/>
      <w:numFmt w:val="lowerLetter"/>
      <w:start w:val="9"/>
    </w:lvl>
  </w:abstractNum>
  <w:abstractNum w:abstractNumId="209">
    <w:nsid w:val="34CC3ACF"/>
    <w:multiLevelType w:val="hybridMultilevel"/>
    <w:lvl w:ilvl="0">
      <w:lvlJc w:val="left"/>
      <w:lvlText w:val="(%1)"/>
      <w:numFmt w:val="lowerRoman"/>
      <w:start w:val="2"/>
    </w:lvl>
  </w:abstractNum>
  <w:abstractNum w:abstractNumId="210">
    <w:nsid w:val="4E556261"/>
    <w:multiLevelType w:val="hybridMultilevel"/>
    <w:lvl w:ilvl="0">
      <w:lvlJc w:val="left"/>
      <w:lvlText w:val="(%1)"/>
      <w:numFmt w:val="lowerLetter"/>
      <w:start w:val="1"/>
    </w:lvl>
  </w:abstractNum>
  <w:abstractNum w:abstractNumId="211">
    <w:nsid w:val="4C672FC9"/>
    <w:multiLevelType w:val="hybridMultilevel"/>
    <w:lvl w:ilvl="0">
      <w:lvlJc w:val="left"/>
      <w:lvlText w:val="%1"/>
      <w:numFmt w:val="lowerLetter"/>
      <w:start w:val="1"/>
    </w:lvl>
    <w:lvl w:ilvl="1">
      <w:lvlJc w:val="left"/>
      <w:lvlText w:val="(%2)"/>
      <w:numFmt w:val="lowerLetter"/>
      <w:start w:val="2"/>
    </w:lvl>
  </w:abstractNum>
  <w:abstractNum w:abstractNumId="212">
    <w:nsid w:val="52A311C3"/>
    <w:multiLevelType w:val="hybridMultilevel"/>
    <w:lvl w:ilvl="0">
      <w:lvlJc w:val="left"/>
      <w:lvlText w:val="(%1)"/>
      <w:numFmt w:val="lowerLetter"/>
      <w:start w:val="9"/>
    </w:lvl>
    <w:lvl w:ilvl="1">
      <w:lvlJc w:val="left"/>
      <w:lvlText w:val="%2"/>
      <w:numFmt w:val="lowerLetter"/>
      <w:start w:val="1"/>
    </w:lvl>
  </w:abstractNum>
  <w:abstractNum w:abstractNumId="213">
    <w:nsid w:val="44EF6B80"/>
    <w:multiLevelType w:val="hybridMultilevel"/>
    <w:lvl w:ilvl="0">
      <w:lvlJc w:val="left"/>
      <w:lvlText w:val="(%1)"/>
      <w:numFmt w:val="lowerLetter"/>
      <w:start w:val="1"/>
    </w:lvl>
  </w:abstractNum>
  <w:abstractNum w:abstractNumId="214">
    <w:nsid w:val="12FCDE5E"/>
    <w:multiLevelType w:val="hybridMultilevel"/>
    <w:lvl w:ilvl="0">
      <w:lvlJc w:val="left"/>
      <w:lvlText w:val="(%1)"/>
      <w:numFmt w:val="lowerLetter"/>
      <w:start w:val="3"/>
    </w:lvl>
  </w:abstractNum>
  <w:abstractNum w:abstractNumId="215">
    <w:nsid w:val="4A1D606E"/>
    <w:multiLevelType w:val="hybridMultilevel"/>
    <w:lvl w:ilvl="0">
      <w:lvlJc w:val="left"/>
      <w:lvlText w:val="(%1)"/>
      <w:numFmt w:val="lowerLetter"/>
      <w:start w:val="1"/>
    </w:lvl>
  </w:abstractNum>
  <w:abstractNum w:abstractNumId="216">
    <w:nsid w:val="4382503"/>
    <w:multiLevelType w:val="hybridMultilevel"/>
    <w:lvl w:ilvl="0">
      <w:lvlJc w:val="left"/>
      <w:lvlText w:val="(%1)"/>
      <w:numFmt w:val="lowerLetter"/>
      <w:start w:val="6"/>
    </w:lvl>
  </w:abstractNum>
  <w:abstractNum w:abstractNumId="217">
    <w:nsid w:val="59B76E28"/>
    <w:multiLevelType w:val="hybridMultilevel"/>
    <w:lvl w:ilvl="0">
      <w:lvlJc w:val="left"/>
      <w:lvlText w:val="(%1)"/>
      <w:numFmt w:val="lowerLetter"/>
      <w:start w:val="2"/>
    </w:lvl>
  </w:abstractNum>
  <w:abstractNum w:abstractNumId="218">
    <w:nsid w:val="4252C2D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9">
    <w:nsid w:val="6A92EF4C"/>
    <w:multiLevelType w:val="hybridMultilevel"/>
    <w:lvl w:ilvl="0">
      <w:lvlJc w:val="left"/>
      <w:lvlText w:val="(%1)"/>
      <w:numFmt w:val="lowerLetter"/>
      <w:start w:val="1"/>
    </w:lvl>
  </w:abstractNum>
  <w:abstractNum w:abstractNumId="220">
    <w:nsid w:val="41ED20D7"/>
    <w:multiLevelType w:val="hybridMultilevel"/>
    <w:lvl w:ilvl="0">
      <w:lvlJc w:val="left"/>
      <w:lvlText w:val="(%1)"/>
      <w:numFmt w:val="lowerLetter"/>
      <w:start w:val="1"/>
    </w:lvl>
  </w:abstractNum>
  <w:abstractNum w:abstractNumId="221">
    <w:nsid w:val="E6B3F6A"/>
    <w:multiLevelType w:val="hybridMultilevel"/>
    <w:lvl w:ilvl="0">
      <w:lvlJc w:val="left"/>
      <w:lvlText w:val="(%1)"/>
      <w:numFmt w:val="lowerLetter"/>
      <w:start w:val="2"/>
    </w:lvl>
    <w:lvl w:ilvl="1">
      <w:lvlJc w:val="left"/>
      <w:lvlText w:val="(%2)"/>
      <w:numFmt w:val="lowerRoman"/>
      <w:start w:val="1"/>
    </w:lvl>
  </w:abstractNum>
  <w:abstractNum w:abstractNumId="222">
    <w:nsid w:val="3EB21819"/>
    <w:multiLevelType w:val="hybridMultilevel"/>
    <w:lvl w:ilvl="0">
      <w:lvlJc w:val="left"/>
      <w:lvlText w:val="(%1)"/>
      <w:numFmt w:val="lowerLetter"/>
      <w:start w:val="1"/>
    </w:lvl>
  </w:abstractNum>
  <w:abstractNum w:abstractNumId="223">
    <w:nsid w:val="41531DED"/>
    <w:multiLevelType w:val="hybridMultilevel"/>
    <w:lvl w:ilvl="0">
      <w:lvlJc w:val="left"/>
      <w:lvlText w:val="(%1)"/>
      <w:numFmt w:val="lowerLetter"/>
      <w:start w:val="1"/>
    </w:lvl>
    <w:lvl w:ilvl="1">
      <w:lvlJc w:val="left"/>
      <w:lvlText w:val="(%2)"/>
      <w:numFmt w:val="lowerRoman"/>
      <w:start w:val="1"/>
    </w:lvl>
  </w:abstractNum>
  <w:abstractNum w:abstractNumId="224">
    <w:nsid w:val="6353CD2"/>
    <w:multiLevelType w:val="hybridMultilevel"/>
    <w:lvl w:ilvl="0">
      <w:lvlJc w:val="left"/>
      <w:lvlText w:val="%1."/>
      <w:numFmt w:val="decimal"/>
      <w:start w:val="1"/>
    </w:lvl>
  </w:abstractNum>
  <w:abstractNum w:abstractNumId="225">
    <w:nsid w:val="683CAAD3"/>
    <w:multiLevelType w:val="hybridMultilevel"/>
    <w:lvl w:ilvl="0">
      <w:lvlJc w:val="left"/>
      <w:lvlText w:val="%1."/>
      <w:numFmt w:val="decimal"/>
      <w:start w:val="1"/>
    </w:lvl>
    <w:lvl w:ilvl="1">
      <w:lvlJc w:val="left"/>
      <w:lvlText w:val="%2"/>
      <w:numFmt w:val="lowerLetter"/>
      <w:start w:val="1"/>
    </w:lvl>
  </w:abstractNum>
  <w:abstractNum w:abstractNumId="226">
    <w:nsid w:val="313C7C99"/>
    <w:multiLevelType w:val="hybridMultilevel"/>
    <w:lvl w:ilvl="0">
      <w:lvlJc w:val="left"/>
      <w:lvlText w:val="(%1)"/>
      <w:numFmt w:val="lowerLetter"/>
      <w:start w:val="2"/>
    </w:lvl>
  </w:abstractNum>
  <w:abstractNum w:abstractNumId="227">
    <w:nsid w:val="519EB94C"/>
    <w:multiLevelType w:val="hybridMultilevel"/>
    <w:lvl w:ilvl="0">
      <w:lvlJc w:val="left"/>
      <w:lvlText w:val="(%1)"/>
      <w:numFmt w:val="lowerLetter"/>
      <w:start w:val="2"/>
    </w:lvl>
  </w:abstractNum>
  <w:abstractNum w:abstractNumId="228">
    <w:nsid w:val="39DF2579"/>
    <w:multiLevelType w:val="hybridMultilevel"/>
    <w:lvl w:ilvl="0">
      <w:lvlJc w:val="left"/>
      <w:lvlText w:val="(%1)"/>
      <w:numFmt w:val="lowerLetter"/>
      <w:start w:val="2"/>
    </w:lvl>
  </w:abstractNum>
  <w:abstractNum w:abstractNumId="229">
    <w:nsid w:val="126E008B"/>
    <w:multiLevelType w:val="hybridMultilevel"/>
    <w:lvl w:ilvl="0">
      <w:lvlJc w:val="left"/>
      <w:lvlText w:val="(%1)"/>
      <w:numFmt w:val="lowerLetter"/>
      <w:start w:val="4"/>
    </w:lvl>
  </w:abstractNum>
  <w:abstractNum w:abstractNumId="230">
    <w:nsid w:val="34DFBC00"/>
    <w:multiLevelType w:val="hybridMultilevel"/>
    <w:lvl w:ilvl="0">
      <w:lvlJc w:val="left"/>
      <w:lvlText w:val="(%1)"/>
      <w:numFmt w:val="lowerLetter"/>
      <w:start w:val="2"/>
    </w:lvl>
  </w:abstractNum>
  <w:abstractNum w:abstractNumId="231">
    <w:nsid w:val="1F9EC322"/>
    <w:multiLevelType w:val="hybridMultilevel"/>
    <w:lvl w:ilvl="0">
      <w:lvlJc w:val="left"/>
      <w:lvlText w:val="(%1)"/>
      <w:numFmt w:val="lowerLetter"/>
      <w:start w:val="1"/>
    </w:lvl>
  </w:abstractNum>
  <w:abstractNum w:abstractNumId="232">
    <w:nsid w:val="3410ED56"/>
    <w:multiLevelType w:val="hybridMultilevel"/>
    <w:lvl w:ilvl="0">
      <w:lvlJc w:val="left"/>
      <w:lvlText w:val="(%1)"/>
      <w:numFmt w:val="lowerLetter"/>
      <w:start w:val="1"/>
    </w:lvl>
  </w:abstractNum>
  <w:abstractNum w:abstractNumId="233">
    <w:nsid w:val="23C049A"/>
    <w:multiLevelType w:val="hybridMultilevel"/>
    <w:lvl w:ilvl="0">
      <w:lvlJc w:val="left"/>
      <w:lvlText w:val="(%1)"/>
      <w:numFmt w:val="lowerLetter"/>
      <w:start w:val="2"/>
    </w:lvl>
  </w:abstractNum>
  <w:abstractNum w:abstractNumId="234">
    <w:nsid w:val="5BDA35D4"/>
    <w:multiLevelType w:val="hybridMultilevel"/>
    <w:lvl w:ilvl="0">
      <w:lvlJc w:val="left"/>
      <w:lvlText w:val="%1."/>
      <w:numFmt w:val="decimal"/>
      <w:start w:val="1"/>
    </w:lvl>
  </w:abstractNum>
  <w:abstractNum w:abstractNumId="235">
    <w:nsid w:val="496FB218"/>
    <w:multiLevelType w:val="hybridMultilevel"/>
    <w:lvl w:ilvl="0">
      <w:lvlJc w:val="left"/>
      <w:lvlText w:val="%1."/>
      <w:numFmt w:val="decimal"/>
      <w:start w:val="1"/>
    </w:lvl>
  </w:abstractNum>
  <w:abstractNum w:abstractNumId="236">
    <w:nsid w:val="680EA5D1"/>
    <w:multiLevelType w:val="hybridMultilevel"/>
    <w:lvl w:ilvl="0">
      <w:lvlJc w:val="left"/>
      <w:lvlText w:val="%1."/>
      <w:numFmt w:val="decimal"/>
      <w:start w:val="3"/>
    </w:lvl>
  </w:abstractNum>
  <w:abstractNum w:abstractNumId="237">
    <w:nsid w:val="4A9554FE"/>
    <w:multiLevelType w:val="hybridMultilevel"/>
    <w:lvl w:ilvl="0">
      <w:lvlJc w:val="left"/>
      <w:lvlText w:val="(%1)"/>
      <w:numFmt w:val="lowerLetter"/>
      <w:start w:val="1"/>
    </w:lvl>
  </w:abstractNum>
  <w:abstractNum w:abstractNumId="238">
    <w:nsid w:val="392EDBE4"/>
    <w:multiLevelType w:val="hybridMultilevel"/>
    <w:lvl w:ilvl="0">
      <w:lvlJc w:val="left"/>
      <w:lvlText w:val="1"/>
      <w:numFmt w:val="bullet"/>
      <w:start w:val="1"/>
    </w:lvl>
  </w:abstractNum>
  <w:abstractNum w:abstractNumId="239">
    <w:nsid w:val="3D1A2DD9"/>
    <w:multiLevelType w:val="hybridMultilevel"/>
    <w:lvl w:ilvl="0">
      <w:lvlJc w:val="left"/>
      <w:lvlText w:val="%1."/>
      <w:numFmt w:val="decimal"/>
      <w:start w:val="1"/>
    </w:lvl>
  </w:abstractNum>
  <w:abstractNum w:abstractNumId="240">
    <w:nsid w:val="7F618FCD"/>
    <w:multiLevelType w:val="hybridMultilevel"/>
    <w:lvl w:ilvl="0">
      <w:lvlJc w:val="left"/>
      <w:lvlText w:val="%1."/>
      <w:numFmt w:val="decimal"/>
      <w:start w:val="1"/>
    </w:lvl>
  </w:abstractNum>
  <w:abstractNum w:abstractNumId="241">
    <w:nsid w:val="7843E45"/>
    <w:multiLevelType w:val="hybridMultilevel"/>
    <w:lvl w:ilvl="0">
      <w:lvlJc w:val="left"/>
      <w:lvlText w:val="%1."/>
      <w:numFmt w:val="decimal"/>
      <w:start w:val="4"/>
    </w:lvl>
  </w:abstractNum>
  <w:abstractNum w:abstractNumId="242">
    <w:nsid w:val="9815DA3"/>
    <w:multiLevelType w:val="hybridMultilevel"/>
    <w:lvl w:ilvl="0">
      <w:lvlJc w:val="left"/>
      <w:lvlText w:val="%1."/>
      <w:numFmt w:val="decimal"/>
      <w:start w:val="1"/>
    </w:lvl>
  </w:abstractNum>
  <w:abstractNum w:abstractNumId="243">
    <w:nsid w:val="5204A191"/>
    <w:multiLevelType w:val="hybridMultilevel"/>
    <w:lvl w:ilvl="0">
      <w:lvlJc w:val="left"/>
      <w:lvlText w:val="%1."/>
      <w:numFmt w:val="decimal"/>
      <w:start w:val="6"/>
    </w:lvl>
  </w:abstractNum>
  <w:abstractNum w:abstractNumId="244">
    <w:nsid w:val="4C73A9C6"/>
    <w:multiLevelType w:val="hybridMultilevel"/>
    <w:lvl w:ilvl="0">
      <w:lvlJc w:val="left"/>
      <w:lvlText w:val="2"/>
      <w:numFmt w:val="bullet"/>
      <w:start w:val="1"/>
    </w:lvl>
  </w:abstractNum>
  <w:abstractNum w:abstractNumId="245">
    <w:nsid w:val="1C7E3C01"/>
    <w:multiLevelType w:val="hybridMultilevel"/>
    <w:lvl w:ilvl="0">
      <w:lvlJc w:val="left"/>
      <w:lvlText w:val="3"/>
      <w:numFmt w:val="bullet"/>
      <w:start w:val="1"/>
    </w:lvl>
  </w:abstractNum>
  <w:abstractNum w:abstractNumId="246">
    <w:nsid w:val="1C2201FF"/>
    <w:multiLevelType w:val="hybridMultilevel"/>
    <w:lvl w:ilvl="0">
      <w:lvlJc w:val="left"/>
      <w:lvlText w:val="4"/>
      <w:numFmt w:val="bullet"/>
      <w:start w:val="1"/>
    </w:lvl>
  </w:abstractNum>
  <w:abstractNum w:abstractNumId="247">
    <w:nsid w:val="50ABCEC9"/>
    <w:multiLevelType w:val="hybridMultilevel"/>
    <w:lvl w:ilvl="0">
      <w:lvlJc w:val="left"/>
      <w:lvlText w:val="%1."/>
      <w:numFmt w:val="decimal"/>
      <w:start w:val="1"/>
    </w:lvl>
  </w:abstractNum>
  <w:abstractNum w:abstractNumId="248">
    <w:nsid w:val="7635AA2A"/>
    <w:multiLevelType w:val="hybridMultilevel"/>
    <w:lvl w:ilvl="0">
      <w:lvlJc w:val="left"/>
      <w:lvlText w:val="(%1)"/>
      <w:numFmt w:val="lowerLetter"/>
      <w:start w:val="22"/>
    </w:lvl>
  </w:abstractNum>
  <w:abstractNum w:abstractNumId="249">
    <w:nsid w:val="5E74C4D9"/>
    <w:multiLevelType w:val="hybridMultilevel"/>
    <w:lvl w:ilvl="0">
      <w:lvlJc w:val="left"/>
      <w:lvlText w:val="(%1)"/>
      <w:numFmt w:val="lowerLetter"/>
      <w:start w:val="2"/>
    </w:lvl>
  </w:abstractNum>
  <w:abstractNum w:abstractNumId="250">
    <w:nsid w:val="3B3EBE15"/>
    <w:multiLevelType w:val="hybridMultilevel"/>
    <w:lvl w:ilvl="0">
      <w:lvlJc w:val="left"/>
      <w:lvlText w:val="(%1)"/>
      <w:numFmt w:val="lowerLetter"/>
      <w:start w:val="35"/>
    </w:lvl>
  </w:abstractNum>
  <w:abstractNum w:abstractNumId="251">
    <w:nsid w:val="3822CB01"/>
    <w:multiLevelType w:val="hybridMultilevel"/>
    <w:lvl w:ilvl="0">
      <w:lvlJc w:val="left"/>
      <w:lvlText w:val="%1."/>
      <w:numFmt w:val="decimal"/>
      <w:start w:val="2"/>
    </w:lvl>
  </w:abstractNum>
  <w:abstractNum w:abstractNumId="252">
    <w:nsid w:val="6CE00443"/>
    <w:multiLevelType w:val="hybridMultilevel"/>
    <w:lvl w:ilvl="0">
      <w:lvlJc w:val="left"/>
      <w:lvlText w:val="·"/>
      <w:numFmt w:val="bullet"/>
      <w:start w:val="1"/>
    </w:lvl>
  </w:abstractNum>
  <w:abstractNum w:abstractNumId="253">
    <w:nsid w:val="79F0D62F"/>
    <w:multiLevelType w:val="hybridMultilevel"/>
    <w:lvl w:ilvl="0">
      <w:lvlJc w:val="left"/>
      <w:lvlText w:val="·"/>
      <w:numFmt w:val="bullet"/>
      <w:start w:val="1"/>
    </w:lvl>
  </w:abstractNum>
  <w:abstractNum w:abstractNumId="254">
    <w:nsid w:val="7975E8EE"/>
    <w:multiLevelType w:val="hybridMultilevel"/>
    <w:lvl w:ilvl="0">
      <w:lvlJc w:val="left"/>
      <w:lvlText w:val="·"/>
      <w:numFmt w:val="bullet"/>
      <w:start w:val="1"/>
    </w:lvl>
  </w:abstractNum>
  <w:abstractNum w:abstractNumId="255">
    <w:nsid w:val="73154115"/>
    <w:multiLevelType w:val="hybridMultilevel"/>
    <w:lvl w:ilvl="0">
      <w:lvlJc w:val="left"/>
      <w:lvlText w:val="·"/>
      <w:numFmt w:val="bullet"/>
      <w:start w:val="1"/>
    </w:lvl>
    <w:lvl w:ilvl="1">
      <w:lvlJc w:val="left"/>
      <w:lvlText w:val="·"/>
      <w:numFmt w:val="bullet"/>
      <w:start w:val="1"/>
    </w:lvl>
  </w:abstractNum>
  <w:abstractNum w:abstractNumId="256">
    <w:nsid w:val="622D8102"/>
    <w:multiLevelType w:val="hybridMultilevel"/>
    <w:lvl w:ilvl="0">
      <w:lvlJc w:val="left"/>
      <w:lvlText w:val="·"/>
      <w:numFmt w:val="bullet"/>
      <w:start w:val="1"/>
    </w:lvl>
  </w:abstractNum>
  <w:abstractNum w:abstractNumId="257">
    <w:nsid w:val="2AB26587"/>
    <w:multiLevelType w:val="hybridMultilevel"/>
    <w:lvl w:ilvl="0">
      <w:lvlJc w:val="left"/>
      <w:lvlText w:val="·"/>
      <w:numFmt w:val="bullet"/>
      <w:start w:val="1"/>
    </w:lvl>
  </w:abstractNum>
  <w:abstractNum w:abstractNumId="258">
    <w:nsid w:val="44B3FA61"/>
    <w:multiLevelType w:val="hybridMultilevel"/>
    <w:lvl w:ilvl="0">
      <w:lvlJc w:val="left"/>
      <w:lvlText w:val="·"/>
      <w:numFmt w:val="bullet"/>
      <w:start w:val="1"/>
    </w:lvl>
  </w:abstractNum>
  <w:abstractNum w:abstractNumId="259">
    <w:nsid w:val="1C0CA67C"/>
    <w:multiLevelType w:val="hybridMultilevel"/>
    <w:lvl w:ilvl="0">
      <w:lvlJc w:val="left"/>
      <w:lvlText w:val="·"/>
      <w:numFmt w:val="bullet"/>
      <w:start w:val="1"/>
    </w:lvl>
  </w:abstractNum>
  <w:abstractNum w:abstractNumId="260">
    <w:nsid w:val="3D206613"/>
    <w:multiLevelType w:val="hybridMultilevel"/>
    <w:lvl w:ilvl="0">
      <w:lvlJc w:val="left"/>
      <w:lvlText w:val="%1."/>
      <w:numFmt w:val="decimal"/>
      <w:start w:val="1"/>
    </w:lvl>
  </w:abstractNum>
  <w:abstractNum w:abstractNumId="261">
    <w:nsid w:val="7993B662"/>
    <w:multiLevelType w:val="hybridMultilevel"/>
    <w:lvl w:ilvl="0">
      <w:lvlJc w:val="left"/>
      <w:lvlText w:val="·"/>
      <w:numFmt w:val="bullet"/>
      <w:start w:val="1"/>
    </w:lvl>
  </w:abstractNum>
  <w:abstractNum w:abstractNumId="262">
    <w:nsid w:val="3BAB699E"/>
    <w:multiLevelType w:val="hybridMultilevel"/>
    <w:lvl w:ilvl="0">
      <w:lvlJc w:val="left"/>
      <w:lvlText w:val="%1."/>
      <w:numFmt w:val="decimal"/>
      <w:start w:val="3"/>
    </w:lvl>
    <w:lvl w:ilvl="1">
      <w:lvlJc w:val="left"/>
      <w:lvlText w:val="%2)"/>
      <w:numFmt w:val="upperLetter"/>
      <w:start w:val="1"/>
    </w:lvl>
  </w:abstractNum>
  <w:abstractNum w:abstractNumId="263">
    <w:nsid w:val="71315369"/>
    <w:multiLevelType w:val="hybridMultilevel"/>
    <w:lvl w:ilvl="0">
      <w:lvlJc w:val="left"/>
      <w:lvlText w:val="%1)"/>
      <w:numFmt w:val="upperLetter"/>
      <w:start w:val="2"/>
    </w:lvl>
  </w:abstractNum>
  <w:abstractNum w:abstractNumId="264">
    <w:nsid w:val="7BCFBAFC"/>
    <w:multiLevelType w:val="hybridMultilevel"/>
    <w:lvl w:ilvl="0">
      <w:lvlJc w:val="left"/>
      <w:lvlText w:val="%1."/>
      <w:numFmt w:val="decimal"/>
      <w:start w:val="5"/>
    </w:lvl>
    <w:lvl w:ilvl="1">
      <w:lvlJc w:val="left"/>
      <w:lvlText w:val="·"/>
      <w:numFmt w:val="bullet"/>
      <w:start w:val="1"/>
    </w:lvl>
  </w:abstractNum>
  <w:abstractNum w:abstractNumId="265">
    <w:nsid w:val="17859F72"/>
    <w:multiLevelType w:val="hybridMultilevel"/>
    <w:lvl w:ilvl="0">
      <w:lvlJc w:val="left"/>
      <w:lvlText w:val="%1)"/>
      <w:numFmt w:val="upperLetter"/>
      <w:start w:val="1"/>
    </w:lvl>
  </w:abstractNum>
  <w:abstractNum w:abstractNumId="266">
    <w:nsid w:val="3AA10581"/>
    <w:multiLevelType w:val="hybridMultilevel"/>
    <w:lvl w:ilvl="0">
      <w:lvlJc w:val="left"/>
      <w:lvlText w:val="(%1)"/>
      <w:numFmt w:val="lowerLetter"/>
      <w:start w:val="1"/>
    </w:lvl>
  </w:abstractNum>
  <w:abstractNum w:abstractNumId="267">
    <w:nsid w:val="63DE60CD"/>
    <w:multiLevelType w:val="hybridMultilevel"/>
    <w:lvl w:ilvl="0">
      <w:lvlJc w:val="left"/>
      <w:lvlText w:val="%1)"/>
      <w:numFmt w:val="upperLetter"/>
      <w:start w:val="2"/>
    </w:lvl>
    <w:lvl w:ilvl="1">
      <w:lvlJc w:val="left"/>
      <w:lvlText w:val="(%2)"/>
      <w:numFmt w:val="lowerLetter"/>
      <w:start w:val="1"/>
    </w:lvl>
  </w:abstractNum>
  <w:abstractNum w:abstractNumId="268">
    <w:nsid w:val="621AF471"/>
    <w:multiLevelType w:val="hybridMultilevel"/>
    <w:lvl w:ilvl="0">
      <w:lvlJc w:val="left"/>
      <w:lvlText w:val="%1)"/>
      <w:numFmt w:val="upperLetter"/>
      <w:start w:val="3"/>
    </w:lvl>
  </w:abstractNum>
  <w:abstractNum w:abstractNumId="269">
    <w:nsid w:val="73CFE165"/>
    <w:multiLevelType w:val="hybridMultilevel"/>
    <w:lvl w:ilvl="0">
      <w:lvlJc w:val="left"/>
      <w:lvlText w:val="%1."/>
      <w:numFmt w:val="decimal"/>
      <w:start w:val="6"/>
    </w:lvl>
  </w:abstractNum>
  <w:abstractNum w:abstractNumId="270">
    <w:nsid w:val="20F88EA6"/>
    <w:multiLevelType w:val="hybridMultilevel"/>
    <w:lvl w:ilvl="0">
      <w:lvlJc w:val="left"/>
      <w:lvlText w:val="%1."/>
      <w:numFmt w:val="decimal"/>
      <w:start w:val="7"/>
    </w:lvl>
    <w:lvl w:ilvl="1">
      <w:lvlJc w:val="left"/>
      <w:lvlText w:val="·"/>
      <w:numFmt w:val="bullet"/>
      <w:start w:val="1"/>
    </w:lvl>
  </w:abstractNum>
  <w:abstractNum w:abstractNumId="271">
    <w:nsid w:val="617C843E"/>
    <w:multiLevelType w:val="hybridMultilevel"/>
    <w:lvl w:ilvl="0">
      <w:lvlJc w:val="left"/>
      <w:lvlText w:val="·"/>
      <w:numFmt w:val="bullet"/>
      <w:start w:val="1"/>
    </w:lvl>
  </w:abstractNum>
  <w:abstractNum w:abstractNumId="272">
    <w:nsid w:val="7B541FAB"/>
    <w:multiLevelType w:val="hybridMultilevel"/>
    <w:lvl w:ilvl="0">
      <w:lvlJc w:val="left"/>
      <w:lvlText w:val="%1."/>
      <w:numFmt w:val="decimal"/>
      <w:start w:val="8"/>
    </w:lvl>
  </w:abstractNum>
  <w:abstractNum w:abstractNumId="273">
    <w:nsid w:val="2A79EC49"/>
    <w:multiLevelType w:val="hybridMultilevel"/>
    <w:lvl w:ilvl="0">
      <w:lvlJc w:val="left"/>
      <w:lvlText w:val="%1."/>
      <w:numFmt w:val="decimal"/>
      <w:start w:val="9"/>
    </w:lvl>
  </w:abstractNum>
  <w:abstractNum w:abstractNumId="274">
    <w:nsid w:val="338125CF"/>
    <w:multiLevelType w:val="hybridMultilevel"/>
    <w:lvl w:ilvl="0">
      <w:lvlJc w:val="left"/>
      <w:lvlText w:val="%1."/>
      <w:numFmt w:val="decimal"/>
      <w:start w:val="11"/>
    </w:lvl>
    <w:lvl w:ilvl="1">
      <w:lvlJc w:val="left"/>
      <w:lvlText w:val="(%2)"/>
      <w:numFmt w:val="lowerLetter"/>
      <w:start w:val="1"/>
    </w:lvl>
  </w:abstractNum>
  <w:abstractNum w:abstractNumId="275">
    <w:nsid w:val="47C7C971"/>
    <w:multiLevelType w:val="hybridMultilevel"/>
    <w:lvl w:ilvl="0">
      <w:lvlJc w:val="left"/>
      <w:lvlText w:val="%1."/>
      <w:numFmt w:val="decimal"/>
      <w:start w:val="13"/>
    </w:lvl>
  </w:abstractNum>
  <w:abstractNum w:abstractNumId="276">
    <w:nsid w:val="46F8284B"/>
    <w:multiLevelType w:val="hybridMultilevel"/>
    <w:lvl w:ilvl="0">
      <w:lvlJc w:val="left"/>
      <w:lvlText w:val="%1."/>
      <w:numFmt w:val="decimal"/>
      <w:start w:val="15"/>
    </w:lvl>
    <w:lvl w:ilvl="1">
      <w:lvlJc w:val="left"/>
      <w:lvlText w:val="(%2)"/>
      <w:numFmt w:val="lowerLetter"/>
      <w:start w:val="1"/>
    </w:lvl>
  </w:abstractNum>
  <w:abstractNum w:abstractNumId="277">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8">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9">
    <w:nsid w:val="3D2DD27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0">
    <w:nsid w:val="2E17ECA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1">
    <w:nsid w:val="53B2564F"/>
    <w:multiLevelType w:val="hybridMultilevel"/>
    <w:lvl w:ilvl="0">
      <w:lvlJc w:val="left"/>
      <w:lvlText w:val="%1."/>
      <w:numFmt w:val="decimal"/>
      <w:start w:val="1"/>
    </w:lvl>
    <w:lvl w:ilvl="1">
      <w:lvlJc w:val="left"/>
      <w:lvlText w:val="(%2)"/>
      <w:numFmt w:val="lowerLetter"/>
      <w:start w:val="1"/>
    </w:lvl>
  </w:abstractNum>
  <w:abstractNum w:abstractNumId="282">
    <w:nsid w:val="75509D76"/>
    <w:multiLevelType w:val="hybridMultilevel"/>
    <w:lvl w:ilvl="0">
      <w:lvlJc w:val="left"/>
      <w:lvlText w:val="%1."/>
      <w:numFmt w:val="decimal"/>
      <w:start w:val="2"/>
    </w:lvl>
    <w:lvl w:ilvl="1">
      <w:lvlJc w:val="left"/>
      <w:lvlText w:val="(%2)"/>
      <w:numFmt w:val="lowerLetter"/>
      <w:start w:val="1"/>
    </w:lvl>
  </w:abstractNum>
  <w:abstractNum w:abstractNumId="283">
    <w:nsid w:val="1AF7F0E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84">
    <w:nsid w:val="4DA32C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5">
    <w:nsid w:val="6EC686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6">
    <w:nsid w:val="E0D31FF"/>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87">
    <w:nsid w:val="2FD0AD81"/>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288">
    <w:nsid w:val="1978EBEB"/>
    <w:multiLevelType w:val="hybridMultilevel"/>
    <w:lvl w:ilvl="0">
      <w:lvlJc w:val="left"/>
      <w:lvlText w:val="(%1)"/>
      <w:numFmt w:val="lowerRoman"/>
      <w:start w:val="2"/>
    </w:lvl>
    <w:lvl w:ilvl="1">
      <w:lvlJc w:val="left"/>
      <w:lvlText w:val="(%2)"/>
      <w:numFmt w:val="upperLetter"/>
      <w:start w:val="1"/>
    </w:lvl>
  </w:abstractNum>
  <w:abstractNum w:abstractNumId="289">
    <w:nsid w:val="52C12C61"/>
    <w:multiLevelType w:val="hybridMultilevel"/>
    <w:lvl w:ilvl="0">
      <w:lvlJc w:val="left"/>
      <w:lvlText w:val="%1."/>
      <w:numFmt w:val="upperLetter"/>
      <w:start w:val="9"/>
    </w:lvl>
  </w:abstractNum>
  <w:abstractNum w:abstractNumId="290">
    <w:nsid w:val="4BDD53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5"/>
    </w:lvl>
  </w:abstractNum>
  <w:abstractNum w:abstractNumId="291">
    <w:nsid w:val="569951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292">
    <w:nsid w:val="4C54E2C3"/>
    <w:multiLevelType w:val="hybridMultilevel"/>
    <w:lvl w:ilvl="0">
      <w:lvlJc w:val="left"/>
      <w:lvlText w:val="(%1)"/>
      <w:numFmt w:val="lowerLetter"/>
      <w:start w:val="5"/>
    </w:lvl>
    <w:lvl w:ilvl="1">
      <w:lvlJc w:val="left"/>
      <w:lvlText w:val="(%2)"/>
      <w:numFmt w:val="lowerLetter"/>
      <w:start w:val="9"/>
    </w:lvl>
    <w:lvl w:ilvl="2">
      <w:lvlJc w:val="left"/>
      <w:lvlText w:val="%3"/>
      <w:numFmt w:val="upperLetter"/>
      <w:start w:val="1"/>
    </w:lvl>
    <w:lvl w:ilvl="3">
      <w:lvlJc w:val="left"/>
      <w:lvlText w:val="%4"/>
      <w:numFmt w:val="upperLetter"/>
      <w:start w:val="1"/>
    </w:lvl>
  </w:abstractNum>
  <w:abstractNum w:abstractNumId="293">
    <w:nsid w:val="788BD9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94">
    <w:nsid w:val="47CAA567"/>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95">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96">
    <w:nsid w:val="1F0E5D0D"/>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297">
    <w:nsid w:val="26BAA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8">
    <w:nsid w:val="2C02FE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299">
    <w:nsid w:val="12951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00">
    <w:nsid w:val="763B8C4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301">
    <w:nsid w:val="4CFB8D3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02">
    <w:nsid w:val="62A5D5B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03">
    <w:nsid w:val="718FABF9"/>
    <w:multiLevelType w:val="hybridMultilevel"/>
    <w:lvl w:ilvl="0">
      <w:lvlJc w:val="left"/>
      <w:lvlText w:val="(%1)"/>
      <w:numFmt w:val="lowerRoman"/>
      <w:start w:val="2"/>
    </w:lvl>
  </w:abstractNum>
  <w:abstractNum w:abstractNumId="304">
    <w:nsid w:val="7775797C"/>
    <w:multiLevelType w:val="hybridMultilevel"/>
    <w:lvl w:ilvl="0">
      <w:lvlJc w:val="left"/>
      <w:lvlText w:val="%1."/>
      <w:numFmt w:val="decimal"/>
      <w:start w:val="7"/>
    </w:lvl>
    <w:lvl w:ilvl="1">
      <w:lvlJc w:val="left"/>
      <w:lvlText w:val="(%2)"/>
      <w:numFmt w:val="lowerLetter"/>
      <w:start w:val="1"/>
    </w:lvl>
  </w:abstractNum>
  <w:abstractNum w:abstractNumId="305">
    <w:nsid w:val="1626FB8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6">
    <w:nsid w:val="3957756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7">
    <w:nsid w:val="3E6DA1C7"/>
    <w:multiLevelType w:val="hybridMultilevel"/>
    <w:lvl w:ilvl="0">
      <w:lvlJc w:val="left"/>
      <w:lvlText w:val="%1."/>
      <w:numFmt w:val="decimal"/>
      <w:start w:val="12"/>
    </w:lvl>
    <w:lvl w:ilvl="1">
      <w:lvlJc w:val="left"/>
      <w:lvlText w:val="(%2)"/>
      <w:numFmt w:val="lowerLetter"/>
      <w:start w:val="1"/>
    </w:lvl>
  </w:abstractNum>
  <w:abstractNum w:abstractNumId="308">
    <w:nsid w:val="65CA235B"/>
    <w:multiLevelType w:val="hybridMultilevel"/>
    <w:lvl w:ilvl="0">
      <w:lvlJc w:val="left"/>
      <w:lvlText w:val="%1."/>
      <w:numFmt w:val="decimal"/>
      <w:start w:val="13"/>
    </w:lvl>
    <w:lvl w:ilvl="1">
      <w:lvlJc w:val="left"/>
      <w:lvlText w:val="(%2)"/>
      <w:numFmt w:val="lowerLetter"/>
      <w:start w:val="1"/>
    </w:lvl>
  </w:abstractNum>
  <w:abstractNum w:abstractNumId="309">
    <w:nsid w:val="51CB0DA4"/>
    <w:multiLevelType w:val="hybridMultilevel"/>
    <w:lvl w:ilvl="0">
      <w:lvlJc w:val="left"/>
      <w:lvlText w:val="(%1)"/>
      <w:numFmt w:val="lowerLetter"/>
      <w:start w:val="6"/>
    </w:lvl>
  </w:abstractNum>
  <w:abstractNum w:abstractNumId="310">
    <w:nsid w:val="7B9B743C"/>
    <w:multiLevelType w:val="hybridMultilevel"/>
    <w:lvl w:ilvl="0">
      <w:lvlJc w:val="left"/>
      <w:lvlText w:val="%1."/>
      <w:numFmt w:val="decimal"/>
      <w:start w:val="15"/>
    </w:lvl>
  </w:abstractNum>
  <w:abstractNum w:abstractNumId="311">
    <w:nsid w:val="13E21002"/>
    <w:multiLevelType w:val="hybridMultilevel"/>
    <w:lvl w:ilvl="0">
      <w:lvlJc w:val="left"/>
      <w:lvlText w:val="(%1)"/>
      <w:numFmt w:val="lowerLetter"/>
      <w:start w:val="1"/>
    </w:lvl>
  </w:abstractNum>
  <w:abstractNum w:abstractNumId="312">
    <w:nsid w:val="257D63F4"/>
    <w:multiLevelType w:val="hybridMultilevel"/>
    <w:lvl w:ilvl="0">
      <w:lvlJc w:val="left"/>
      <w:lvlText w:val="%1."/>
      <w:numFmt w:val="decimal"/>
      <w:start w:val="17"/>
    </w:lvl>
    <w:lvl w:ilvl="1">
      <w:lvlJc w:val="left"/>
      <w:lvlText w:val="(%2)"/>
      <w:numFmt w:val="lowerLetter"/>
      <w:start w:val="1"/>
    </w:lvl>
  </w:abstractNum>
  <w:abstractNum w:abstractNumId="313">
    <w:nsid w:val="70EC11B2"/>
    <w:multiLevelType w:val="hybridMultilevel"/>
    <w:lvl w:ilvl="0">
      <w:lvlJc w:val="left"/>
      <w:lvlText w:val="(%1)"/>
      <w:numFmt w:val="lowerLetter"/>
      <w:start w:val="3"/>
    </w:lvl>
  </w:abstractNum>
  <w:abstractNum w:abstractNumId="314">
    <w:nsid w:val="2EDA00ED"/>
    <w:multiLevelType w:val="hybridMultilevel"/>
    <w:lvl w:ilvl="0">
      <w:lvlJc w:val="left"/>
      <w:lvlText w:val="(%1)"/>
      <w:numFmt w:val="lowerLetter"/>
      <w:start w:val="14"/>
    </w:lvl>
    <w:lvl w:ilvl="1">
      <w:lvlJc w:val="left"/>
      <w:lvlText w:val="(%2)"/>
      <w:numFmt w:val="lowerRoman"/>
      <w:start w:val="1"/>
    </w:lvl>
  </w:abstractNum>
  <w:abstractNum w:abstractNumId="315">
    <w:nsid w:val="73209072"/>
    <w:multiLevelType w:val="hybridMultilevel"/>
    <w:lvl w:ilvl="0">
      <w:lvlJc w:val="left"/>
      <w:lvlText w:val="%1."/>
      <w:numFmt w:val="decimal"/>
      <w:start w:val="18"/>
    </w:lvl>
    <w:lvl w:ilvl="1">
      <w:lvlJc w:val="left"/>
      <w:lvlText w:val="(%2)"/>
      <w:numFmt w:val="lowerLetter"/>
      <w:start w:val="1"/>
    </w:lvl>
  </w:abstractNum>
  <w:abstractNum w:abstractNumId="316">
    <w:nsid w:val="5FB29816"/>
    <w:multiLevelType w:val="hybridMultilevel"/>
    <w:lvl w:ilvl="0">
      <w:lvlJc w:val="left"/>
      <w:lvlText w:val="%1."/>
      <w:numFmt w:val="decimal"/>
      <w:start w:val="19"/>
    </w:lvl>
    <w:lvl w:ilvl="1">
      <w:lvlJc w:val="left"/>
      <w:lvlText w:val="(%2)"/>
      <w:numFmt w:val="lowerLetter"/>
      <w:start w:val="1"/>
    </w:lvl>
  </w:abstractNum>
  <w:abstractNum w:abstractNumId="317">
    <w:nsid w:val="3CE732EC"/>
    <w:multiLevelType w:val="hybridMultilevel"/>
    <w:lvl w:ilvl="0">
      <w:lvlJc w:val="left"/>
      <w:lvlText w:val="%1."/>
      <w:numFmt w:val="decimal"/>
      <w:start w:val="21"/>
    </w:lvl>
  </w:abstractNum>
  <w:abstractNum w:abstractNumId="318">
    <w:nsid w:val="22F13DF3"/>
    <w:multiLevelType w:val="hybridMultilevel"/>
    <w:lvl w:ilvl="0">
      <w:lvlJc w:val="left"/>
      <w:lvlText w:val="(%1)"/>
      <w:numFmt w:val="lowerLetter"/>
      <w:start w:val="1"/>
    </w:lvl>
  </w:abstractNum>
  <w:abstractNum w:abstractNumId="319">
    <w:nsid w:val="792B8401"/>
    <w:multiLevelType w:val="hybridMultilevel"/>
    <w:lvl w:ilvl="0">
      <w:lvlJc w:val="left"/>
      <w:lvlText w:val="(%1)"/>
      <w:numFmt w:val="lowerLetter"/>
      <w:start w:val="2"/>
    </w:lvl>
  </w:abstractNum>
  <w:abstractNum w:abstractNumId="320">
    <w:nsid w:val="FA85F4D"/>
    <w:multiLevelType w:val="hybridMultilevel"/>
    <w:lvl w:ilvl="0">
      <w:lvlJc w:val="left"/>
      <w:lvlText w:val="%1."/>
      <w:numFmt w:val="decimal"/>
      <w:start w:val="1"/>
    </w:lvl>
  </w:abstractNum>
  <w:abstractNum w:abstractNumId="321">
    <w:nsid w:val="6ECE91F0"/>
    <w:multiLevelType w:val="hybridMultilevel"/>
    <w:lvl w:ilvl="0">
      <w:lvlJc w:val="left"/>
      <w:lvlText w:val="%1."/>
      <w:numFmt w:val="decimal"/>
      <w:start w:val="2"/>
    </w:lvl>
  </w:abstractNum>
  <w:abstractNum w:abstractNumId="322">
    <w:nsid w:val="4FC4D600"/>
    <w:multiLevelType w:val="hybridMultilevel"/>
    <w:lvl w:ilvl="0">
      <w:lvlJc w:val="left"/>
      <w:lvlText w:val="%1."/>
      <w:numFmt w:val="decimal"/>
      <w:start w:val="1"/>
    </w:lvl>
  </w:abstractNum>
  <w:abstractNum w:abstractNumId="323">
    <w:nsid w:val="5BFD4210"/>
    <w:multiLevelType w:val="hybridMultilevel"/>
    <w:lvl w:ilvl="0">
      <w:lvlJc w:val="left"/>
      <w:lvlText w:val="%1."/>
      <w:numFmt w:val="decimal"/>
      <w:start w:val="2"/>
    </w:lvl>
  </w:abstractNum>
  <w:abstractNum w:abstractNumId="324">
    <w:nsid w:val="76574F8B"/>
    <w:multiLevelType w:val="hybridMultilevel"/>
    <w:lvl w:ilvl="0">
      <w:lvlJc w:val="left"/>
      <w:lvlText w:val="%1."/>
      <w:numFmt w:val="decimal"/>
      <w:start w:val="3"/>
    </w:lvl>
  </w:abstractNum>
  <w:abstractNum w:abstractNumId="325">
    <w:nsid w:val="178F7B67"/>
    <w:multiLevelType w:val="hybridMultilevel"/>
    <w:lvl w:ilvl="0">
      <w:lvlJc w:val="left"/>
      <w:lvlText w:val="%1."/>
      <w:numFmt w:val="decimal"/>
      <w:start w:val="4"/>
    </w:lvl>
  </w:abstractNum>
  <w:abstractNum w:abstractNumId="326">
    <w:nsid w:val="2421DFCF"/>
    <w:multiLevelType w:val="hybridMultilevel"/>
    <w:lvl w:ilvl="0">
      <w:lvlJc w:val="left"/>
      <w:lvlText w:val="%1."/>
      <w:numFmt w:val="decimal"/>
      <w:start w:val="5"/>
    </w:lvl>
  </w:abstractNum>
  <w:abstractNum w:abstractNumId="327">
    <w:nsid w:val="1565AC99"/>
    <w:multiLevelType w:val="hybridMultilevel"/>
    <w:lvl w:ilvl="0">
      <w:lvlJc w:val="left"/>
      <w:lvlText w:val="%1."/>
      <w:numFmt w:val="decimal"/>
      <w:start w:val="6"/>
    </w:lvl>
  </w:abstractNum>
  <w:abstractNum w:abstractNumId="328">
    <w:nsid w:val="19FB265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2019-12-28T22:54:19Z</dcterms:created>
  <dcterms:modified xsi:type="dcterms:W3CDTF">2019-12-28T22:54:19Z</dcterms:modified>
</cp:coreProperties>
</file>