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Exchange Act of 1934</w:t>
      </w:r>
    </w:p>
    <w:p>
      <w:pPr>
        <w:spacing w:after="0" w:line="233"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January 29, 2015 (January 28, 2015)</w:t>
      </w:r>
    </w:p>
    <w:p>
      <w:pPr>
        <w:spacing w:after="0" w:line="207"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Comcast Corporation</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1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Pennsylvania</w:t>
            </w:r>
          </w:p>
        </w:tc>
        <w:tc>
          <w:tcPr>
            <w:tcW w:w="54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001-32871</w:t>
            </w:r>
          </w:p>
        </w:tc>
        <w:tc>
          <w:tcPr>
            <w:tcW w:w="16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27-0000798</w:t>
            </w:r>
          </w:p>
        </w:tc>
      </w:tr>
      <w:tr>
        <w:trPr>
          <w:trHeight w:val="216"/>
        </w:trPr>
        <w:tc>
          <w:tcPr>
            <w:tcW w:w="2160" w:type="dxa"/>
            <w:vAlign w:val="bottom"/>
          </w:tcPr>
          <w:p>
            <w:pPr>
              <w:jc w:val="center"/>
              <w:ind w:right="110"/>
              <w:spacing w:after="0"/>
              <w:rPr>
                <w:sz w:val="20"/>
                <w:szCs w:val="20"/>
                <w:color w:val="auto"/>
              </w:rPr>
            </w:pPr>
            <w:r>
              <w:rPr>
                <w:rFonts w:ascii="Arial" w:cs="Arial" w:eastAsia="Arial" w:hAnsi="Arial"/>
                <w:sz w:val="18"/>
                <w:szCs w:val="18"/>
                <w:color w:val="auto"/>
                <w:w w:val="91"/>
              </w:rPr>
              <w:t>(State or Other Jurisdiction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ind w:right="50"/>
              <w:spacing w:after="0"/>
              <w:rPr>
                <w:sz w:val="20"/>
                <w:szCs w:val="20"/>
                <w:color w:val="auto"/>
              </w:rPr>
            </w:pPr>
            <w:r>
              <w:rPr>
                <w:rFonts w:ascii="Arial" w:cs="Arial" w:eastAsia="Arial" w:hAnsi="Arial"/>
                <w:sz w:val="18"/>
                <w:szCs w:val="18"/>
                <w:color w:val="auto"/>
                <w:w w:val="93"/>
              </w:rPr>
              <w:t>of Incorporation)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One Comcast Center</w:t>
            </w:r>
          </w:p>
        </w:tc>
        <w:tc>
          <w:tcPr>
            <w:tcW w:w="1660" w:type="dxa"/>
            <w:vAlign w:val="bottom"/>
          </w:tcPr>
          <w:p>
            <w:pPr>
              <w:spacing w:after="0"/>
              <w:rPr>
                <w:sz w:val="24"/>
                <w:szCs w:val="24"/>
                <w:color w:val="auto"/>
              </w:rPr>
            </w:pPr>
          </w:p>
        </w:tc>
      </w:tr>
      <w:tr>
        <w:trPr>
          <w:trHeight w:val="220"/>
        </w:trPr>
        <w:tc>
          <w:tcPr>
            <w:tcW w:w="2160" w:type="dxa"/>
            <w:vAlign w:val="bottom"/>
          </w:tcPr>
          <w:p>
            <w:pPr>
              <w:spacing w:after="0"/>
              <w:rPr>
                <w:sz w:val="19"/>
                <w:szCs w:val="19"/>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Philadelphia, PA 19103-2838</w:t>
            </w:r>
          </w:p>
        </w:tc>
        <w:tc>
          <w:tcPr>
            <w:tcW w:w="1660" w:type="dxa"/>
            <w:vAlign w:val="bottom"/>
          </w:tcPr>
          <w:p>
            <w:pPr>
              <w:spacing w:after="0"/>
              <w:rPr>
                <w:sz w:val="19"/>
                <w:szCs w:val="19"/>
                <w:color w:val="auto"/>
              </w:rPr>
            </w:pPr>
          </w:p>
        </w:tc>
      </w:tr>
      <w:tr>
        <w:trPr>
          <w:trHeight w:val="230"/>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(215) 286-1700</w:t>
            </w:r>
          </w:p>
        </w:tc>
        <w:tc>
          <w:tcPr>
            <w:tcW w:w="1660" w:type="dxa"/>
            <w:vAlign w:val="bottom"/>
          </w:tcPr>
          <w:p>
            <w:pPr>
              <w:spacing w:after="0"/>
              <w:rPr>
                <w:sz w:val="24"/>
                <w:szCs w:val="24"/>
                <w:color w:val="auto"/>
              </w:rPr>
            </w:pPr>
          </w:p>
        </w:tc>
      </w:tr>
      <w:tr>
        <w:trPr>
          <w:trHeight w:val="418"/>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N/A</w:t>
            </w:r>
          </w:p>
        </w:tc>
        <w:tc>
          <w:tcPr>
            <w:tcW w:w="166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6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459" w:right="779" w:bottom="1440" w:gutter="0" w:footer="0" w:header="0"/>
        </w:sectPr>
      </w:pPr>
    </w:p>
    <w:bookmarkStart w:id="1" w:name="page2"/>
    <w:bookmarkEnd w:id="1"/>
    <w:p>
      <w:pPr>
        <w:spacing w:after="0"/>
        <w:tabs>
          <w:tab w:leader="none" w:pos="11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Pursuant to a letter dated January 28, 2015, and as contemplated by the Agreement and Plan of Merger, dated as of February 12, 2014, among Comcast Corporation, Tango Acquisition Sub, Inc. and Time Warner Cable Inc. (the “Merger Agreement”), the "End Date" of the Merger Agreement has been extended to August 12, 2015.</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foregoing descriptions of the letter, which is filed herewith as Exhibit 99.1, and the Merger Agreement, which was filed as Exhibit 2.1 to the Current Report on Form 8-K filed by Comcast Corporation on February 13, 2014, are qualified in their entirety by reference to the full text of such documents, both of which are incorporated herein by reference.</w:t>
      </w:r>
    </w:p>
    <w:p>
      <w:pPr>
        <w:spacing w:after="0" w:line="200" w:lineRule="exact"/>
        <w:rPr>
          <w:sz w:val="20"/>
          <w:szCs w:val="20"/>
          <w:color w:val="auto"/>
        </w:rPr>
      </w:pPr>
    </w:p>
    <w:p>
      <w:pPr>
        <w:spacing w:after="0" w:line="24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Letter dated January 28, 2015 among Comcast Corporation, Tango Acquisition Sub, Inc. and Time Warner Cable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680" w:val="left"/>
          <w:tab w:leader="none" w:pos="6280" w:val="left"/>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366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9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Arthur R. Block</w:t>
            </w:r>
          </w:p>
        </w:tc>
        <w:tc>
          <w:tcPr>
            <w:tcW w:w="11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Senior Vice President, General</w:t>
            </w:r>
          </w:p>
        </w:tc>
        <w:tc>
          <w:tcPr>
            <w:tcW w:w="114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Counsel and Secretary</w:t>
            </w:r>
          </w:p>
        </w:tc>
        <w:tc>
          <w:tcPr>
            <w:tcW w:w="1140" w:type="dxa"/>
            <w:vAlign w:val="bottom"/>
          </w:tcPr>
          <w:p>
            <w:pPr>
              <w:spacing w:after="0"/>
              <w:rPr>
                <w:sz w:val="20"/>
                <w:szCs w:val="20"/>
                <w:color w:val="auto"/>
              </w:rPr>
            </w:pPr>
          </w:p>
        </w:tc>
      </w:tr>
      <w:tr>
        <w:trPr>
          <w:trHeight w:val="902"/>
        </w:trPr>
        <w:tc>
          <w:tcPr>
            <w:tcW w:w="70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Letter dated January 28, 2015 among Comcast Corporation, Tango Acquisition Sub, Inc. and Time Warner Cable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756" w:right="1440"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color w:val="auto"/>
        </w:rPr>
        <w:t>[COMCAST LETTERHEAD]</w:t>
      </w:r>
    </w:p>
    <w:p>
      <w:pPr>
        <w:spacing w:after="0" w:line="23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January 28,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234" w:lineRule="auto"/>
        <w:rPr>
          <w:sz w:val="20"/>
          <w:szCs w:val="20"/>
          <w:color w:val="auto"/>
        </w:rPr>
      </w:pPr>
      <w:r>
        <w:rPr>
          <w:rFonts w:ascii="Arial" w:cs="Arial" w:eastAsia="Arial" w:hAnsi="Arial"/>
          <w:sz w:val="18"/>
          <w:szCs w:val="18"/>
          <w:color w:val="auto"/>
        </w:rPr>
        <w:t>60 Columbus Circle</w:t>
      </w:r>
    </w:p>
    <w:p>
      <w:pPr>
        <w:spacing w:after="0" w:line="235" w:lineRule="auto"/>
        <w:rPr>
          <w:sz w:val="20"/>
          <w:szCs w:val="20"/>
          <w:color w:val="auto"/>
        </w:rPr>
      </w:pPr>
      <w:r>
        <w:rPr>
          <w:rFonts w:ascii="Arial" w:cs="Arial" w:eastAsia="Arial" w:hAnsi="Arial"/>
          <w:sz w:val="18"/>
          <w:szCs w:val="18"/>
          <w:color w:val="auto"/>
        </w:rPr>
        <w:t>New York, NY 10023</w:t>
      </w:r>
    </w:p>
    <w:p>
      <w:pPr>
        <w:spacing w:after="0" w:line="235" w:lineRule="auto"/>
        <w:tabs>
          <w:tab w:leader="none" w:pos="12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Facsimile No.:</w:t>
        <w:tab/>
        <w:t>(212) 364-8459</w:t>
      </w:r>
    </w:p>
    <w:p>
      <w:pPr>
        <w:spacing w:after="0" w:line="2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Extension of “End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Reference is made to that certain Agreement and Plan of Merger (as amended or supplemented, the “</w:t>
      </w:r>
      <w:r>
        <w:rPr>
          <w:rFonts w:ascii="Arial" w:cs="Arial" w:eastAsia="Arial" w:hAnsi="Arial"/>
          <w:sz w:val="18"/>
          <w:szCs w:val="18"/>
          <w:b w:val="1"/>
          <w:bCs w:val="1"/>
          <w:color w:val="auto"/>
        </w:rPr>
        <w:t>Merger Agreement</w:t>
      </w:r>
      <w:r>
        <w:rPr>
          <w:rFonts w:ascii="Arial" w:cs="Arial" w:eastAsia="Arial" w:hAnsi="Arial"/>
          <w:sz w:val="18"/>
          <w:szCs w:val="18"/>
          <w:color w:val="auto"/>
        </w:rPr>
        <w:t>”), dated as of February 12, 2014, among Time Warner Cable Inc. (“</w:t>
      </w:r>
      <w:r>
        <w:rPr>
          <w:rFonts w:ascii="Arial" w:cs="Arial" w:eastAsia="Arial" w:hAnsi="Arial"/>
          <w:sz w:val="18"/>
          <w:szCs w:val="18"/>
          <w:b w:val="1"/>
          <w:bCs w:val="1"/>
          <w:color w:val="auto"/>
        </w:rPr>
        <w:t>Time Warner Cable</w:t>
      </w:r>
      <w:r>
        <w:rPr>
          <w:rFonts w:ascii="Arial" w:cs="Arial" w:eastAsia="Arial" w:hAnsi="Arial"/>
          <w:sz w:val="18"/>
          <w:szCs w:val="18"/>
          <w:color w:val="auto"/>
        </w:rPr>
        <w:t>”),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and Tango Acquisition Sub, Inc. Capitalized terms used and not otherwise defined herein shall have the respective meanings assigned thereto in the Merger Agreement.</w:t>
      </w:r>
    </w:p>
    <w:p>
      <w:pPr>
        <w:spacing w:after="0" w:line="2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Section 10.01(b)(i) of the Merger Agreement contemplates that the “End Date” of the Merger Agreement may be extended by a period of six months to August 12, 2015. Comcast and Time Warner Cable agree that the End Date is hereby extended to August 12, 2015, as contemplated by the Merger Agreement.</w:t>
      </w:r>
    </w:p>
    <w:p>
      <w:pPr>
        <w:spacing w:after="0" w:line="23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This letter shall be governed by, and construed in accordance with, the Merger Agreement. Except as expressly provided herein, the Merger Agreement shall remain in full force and effect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625" w:right="439" w:bottom="1440" w:gutter="0" w:footer="0" w:header="0"/>
        </w:sectPr>
      </w:pPr>
    </w:p>
    <w:bookmarkStart w:id="5" w:name="page6"/>
    <w:bookmarkEnd w:id="5"/>
    <w:p>
      <w:pPr>
        <w:ind w:left="550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jc w:val="right"/>
        <w:ind w:right="3660"/>
        <w:spacing w:after="0"/>
        <w:rPr>
          <w:sz w:val="20"/>
          <w:szCs w:val="20"/>
          <w:color w:val="auto"/>
        </w:rPr>
      </w:pPr>
      <w:r>
        <w:rPr>
          <w:rFonts w:ascii="Arial" w:cs="Arial" w:eastAsia="Arial" w:hAnsi="Arial"/>
          <w:sz w:val="18"/>
          <w:szCs w:val="18"/>
          <w:color w:val="auto"/>
        </w:rPr>
        <w:t>COMCAST CORPORATION</w:t>
      </w:r>
    </w:p>
    <w:p>
      <w:pPr>
        <w:spacing w:after="0" w:line="212" w:lineRule="exact"/>
        <w:rPr>
          <w:sz w:val="20"/>
          <w:szCs w:val="20"/>
          <w:color w:val="auto"/>
        </w:rPr>
      </w:pPr>
    </w:p>
    <w:tbl>
      <w:tblPr>
        <w:tblLayout w:type="fixed"/>
        <w:tblInd w:w="5500" w:type="dxa"/>
        <w:tblCellMar>
          <w:top w:w="0" w:type="dxa"/>
          <w:left w:w="0" w:type="dxa"/>
          <w:bottom w:w="0" w:type="dxa"/>
          <w:right w:w="0" w:type="dxa"/>
        </w:tblCellMar>
      </w:tblPr>
      <w:tr>
        <w:trPr>
          <w:trHeight w:val="21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09"/>
        </w:trPr>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Name: Arthur R. Block</w:t>
            </w:r>
          </w:p>
        </w:tc>
      </w:tr>
      <w:tr>
        <w:trPr>
          <w:trHeight w:val="203"/>
        </w:trPr>
        <w:tc>
          <w:tcPr>
            <w:tcW w:w="46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Title:  Senior Vice President, General Counsel and</w:t>
            </w:r>
          </w:p>
        </w:tc>
      </w:tr>
      <w:tr>
        <w:trPr>
          <w:trHeight w:val="217"/>
        </w:trPr>
        <w:tc>
          <w:tcPr>
            <w:tcW w:w="460" w:type="dxa"/>
            <w:vAlign w:val="bottom"/>
          </w:tcPr>
          <w:p>
            <w:pPr>
              <w:spacing w:after="0"/>
              <w:rPr>
                <w:sz w:val="18"/>
                <w:szCs w:val="18"/>
                <w:color w:val="auto"/>
              </w:rPr>
            </w:pPr>
          </w:p>
        </w:tc>
        <w:tc>
          <w:tcPr>
            <w:tcW w:w="5460" w:type="dxa"/>
            <w:vAlign w:val="bottom"/>
          </w:tcPr>
          <w:p>
            <w:pPr>
              <w:ind w:left="580"/>
              <w:spacing w:after="0"/>
              <w:rPr>
                <w:sz w:val="20"/>
                <w:szCs w:val="20"/>
                <w:color w:val="auto"/>
              </w:rPr>
            </w:pPr>
            <w:r>
              <w:rPr>
                <w:rFonts w:ascii="Arial" w:cs="Arial" w:eastAsia="Arial" w:hAnsi="Arial"/>
                <w:sz w:val="18"/>
                <w:szCs w:val="18"/>
                <w:color w:val="auto"/>
              </w:rPr>
              <w:t>Secretary</w:t>
            </w:r>
          </w:p>
        </w:tc>
      </w:tr>
      <w:tr>
        <w:trPr>
          <w:trHeight w:val="635"/>
        </w:trPr>
        <w:tc>
          <w:tcPr>
            <w:tcW w:w="5920" w:type="dxa"/>
            <w:vAlign w:val="bottom"/>
            <w:gridSpan w:val="2"/>
          </w:tcPr>
          <w:p>
            <w:pPr>
              <w:spacing w:after="0"/>
              <w:rPr>
                <w:sz w:val="20"/>
                <w:szCs w:val="20"/>
                <w:color w:val="auto"/>
              </w:rPr>
            </w:pPr>
            <w:r>
              <w:rPr>
                <w:rFonts w:ascii="Arial" w:cs="Arial" w:eastAsia="Arial" w:hAnsi="Arial"/>
                <w:sz w:val="18"/>
                <w:szCs w:val="18"/>
                <w:color w:val="auto"/>
              </w:rPr>
              <w:t>TANGO ACQUISITION SUB, INC.</w:t>
            </w:r>
          </w:p>
        </w:tc>
      </w:tr>
      <w:tr>
        <w:trPr>
          <w:trHeight w:val="41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09"/>
        </w:trPr>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Name: Arthur R. Block</w:t>
            </w:r>
          </w:p>
        </w:tc>
      </w:tr>
      <w:tr>
        <w:trPr>
          <w:trHeight w:val="217"/>
        </w:trPr>
        <w:tc>
          <w:tcPr>
            <w:tcW w:w="4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Secretary and Treasurer</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date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Christian Lee</w:t>
            </w:r>
          </w:p>
        </w:tc>
      </w:tr>
      <w:tr>
        <w:trPr>
          <w:trHeight w:val="209"/>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Name: Christian Lee</w:t>
            </w:r>
          </w:p>
        </w:tc>
      </w:tr>
      <w:tr>
        <w:trPr>
          <w:trHeight w:val="217"/>
        </w:trPr>
        <w:tc>
          <w:tcPr>
            <w:tcW w:w="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Title:  SVP Mergers &amp; Acquisitions</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264160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2019-12-08T00:16:50Z</dcterms:created>
  <dcterms:modified xsi:type="dcterms:W3CDTF">2019-12-08T00:16:50Z</dcterms:modified>
</cp:coreProperties>
</file>