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October 26, 2006</w:t>
      </w:r>
    </w:p>
    <w:p>
      <w:pPr>
        <w:spacing w:after="0" w:line="1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Comcast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Specified in Charter)</w:t>
      </w:r>
    </w:p>
    <w:p>
      <w:pPr>
        <w:spacing w:after="0" w:line="1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Pennsylvania</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176" w:lineRule="exact"/>
        <w:rPr>
          <w:sz w:val="24"/>
          <w:szCs w:val="24"/>
          <w:color w:val="auto"/>
        </w:rPr>
      </w:pPr>
    </w:p>
    <w:tbl>
      <w:tblPr>
        <w:tblLayout w:type="fixed"/>
        <w:tblInd w:w="1720" w:type="dxa"/>
        <w:tblCellMar>
          <w:top w:w="0" w:type="dxa"/>
          <w:left w:w="0" w:type="dxa"/>
          <w:bottom w:w="0" w:type="dxa"/>
          <w:right w:w="0" w:type="dxa"/>
        </w:tblCellMar>
      </w:tblPr>
      <w:tr>
        <w:trPr>
          <w:trHeight w:val="216"/>
        </w:trPr>
        <w:tc>
          <w:tcPr>
            <w:tcW w:w="4140" w:type="dxa"/>
            <w:vAlign w:val="bottom"/>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7"/>
              </w:rPr>
              <w:t>001-32871</w:t>
            </w:r>
          </w:p>
        </w:tc>
        <w:tc>
          <w:tcPr>
            <w:tcW w:w="3800" w:type="dxa"/>
            <w:vAlign w:val="bottom"/>
          </w:tcPr>
          <w:p>
            <w:pPr>
              <w:jc w:val="center"/>
              <w:ind w:left="1762"/>
              <w:spacing w:after="0"/>
              <w:rPr>
                <w:sz w:val="20"/>
                <w:szCs w:val="20"/>
                <w:color w:val="auto"/>
              </w:rPr>
            </w:pPr>
            <w:r>
              <w:rPr>
                <w:rFonts w:ascii="Times New Roman" w:cs="Times New Roman" w:eastAsia="Times New Roman" w:hAnsi="Times New Roman"/>
                <w:sz w:val="18"/>
                <w:szCs w:val="18"/>
                <w:b w:val="1"/>
                <w:bCs w:val="1"/>
                <w:color w:val="auto"/>
                <w:w w:val="96"/>
              </w:rPr>
              <w:t>27-0000798</w:t>
            </w:r>
          </w:p>
        </w:tc>
      </w:tr>
      <w:tr>
        <w:trPr>
          <w:trHeight w:val="178"/>
        </w:trPr>
        <w:tc>
          <w:tcPr>
            <w:tcW w:w="4140" w:type="dxa"/>
            <w:vAlign w:val="bottom"/>
          </w:tcPr>
          <w:p>
            <w:pPr>
              <w:jc w:val="center"/>
              <w:ind w:right="1780"/>
              <w:spacing w:after="0"/>
              <w:rPr>
                <w:sz w:val="20"/>
                <w:szCs w:val="20"/>
                <w:color w:val="auto"/>
              </w:rPr>
            </w:pPr>
            <w:r>
              <w:rPr>
                <w:rFonts w:ascii="Times New Roman" w:cs="Times New Roman" w:eastAsia="Times New Roman" w:hAnsi="Times New Roman"/>
                <w:sz w:val="14"/>
                <w:szCs w:val="14"/>
                <w:b w:val="1"/>
                <w:bCs w:val="1"/>
                <w:color w:val="auto"/>
                <w:w w:val="95"/>
              </w:rPr>
              <w:t>(Commission File Number)</w:t>
            </w:r>
          </w:p>
        </w:tc>
        <w:tc>
          <w:tcPr>
            <w:tcW w:w="3800" w:type="dxa"/>
            <w:vAlign w:val="bottom"/>
          </w:tcPr>
          <w:p>
            <w:pPr>
              <w:jc w:val="center"/>
              <w:ind w:left="1762"/>
              <w:spacing w:after="0"/>
              <w:rPr>
                <w:sz w:val="20"/>
                <w:szCs w:val="20"/>
                <w:color w:val="auto"/>
              </w:rPr>
            </w:pPr>
            <w:r>
              <w:rPr>
                <w:rFonts w:ascii="Times New Roman" w:cs="Times New Roman" w:eastAsia="Times New Roman" w:hAnsi="Times New Roman"/>
                <w:sz w:val="14"/>
                <w:szCs w:val="14"/>
                <w:b w:val="1"/>
                <w:bCs w:val="1"/>
                <w:color w:val="auto"/>
                <w:w w:val="96"/>
              </w:rPr>
              <w:t>(IRS Employer Identification No.)</w:t>
            </w:r>
          </w:p>
        </w:tc>
      </w:tr>
      <w:tr>
        <w:trPr>
          <w:trHeight w:val="403"/>
        </w:trPr>
        <w:tc>
          <w:tcPr>
            <w:tcW w:w="4140" w:type="dxa"/>
            <w:vAlign w:val="bottom"/>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6"/>
              </w:rPr>
              <w:t>1500 Market Street</w:t>
            </w:r>
          </w:p>
        </w:tc>
        <w:tc>
          <w:tcPr>
            <w:tcW w:w="3800" w:type="dxa"/>
            <w:vAlign w:val="bottom"/>
          </w:tcPr>
          <w:p>
            <w:pPr>
              <w:spacing w:after="0"/>
              <w:rPr>
                <w:sz w:val="24"/>
                <w:szCs w:val="24"/>
                <w:color w:val="auto"/>
              </w:rPr>
            </w:pPr>
          </w:p>
        </w:tc>
      </w:tr>
      <w:tr>
        <w:trPr>
          <w:trHeight w:val="229"/>
        </w:trPr>
        <w:tc>
          <w:tcPr>
            <w:tcW w:w="4140" w:type="dxa"/>
            <w:vAlign w:val="bottom"/>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6"/>
              </w:rPr>
              <w:t>Philadelphia, PA</w:t>
            </w:r>
          </w:p>
        </w:tc>
        <w:tc>
          <w:tcPr>
            <w:tcW w:w="3800" w:type="dxa"/>
            <w:vAlign w:val="bottom"/>
          </w:tcPr>
          <w:p>
            <w:pPr>
              <w:jc w:val="center"/>
              <w:ind w:left="1762"/>
              <w:spacing w:after="0"/>
              <w:rPr>
                <w:sz w:val="20"/>
                <w:szCs w:val="20"/>
                <w:color w:val="auto"/>
              </w:rPr>
            </w:pPr>
            <w:r>
              <w:rPr>
                <w:rFonts w:ascii="Times New Roman" w:cs="Times New Roman" w:eastAsia="Times New Roman" w:hAnsi="Times New Roman"/>
                <w:sz w:val="18"/>
                <w:szCs w:val="18"/>
                <w:b w:val="1"/>
                <w:bCs w:val="1"/>
                <w:color w:val="auto"/>
                <w:w w:val="96"/>
              </w:rPr>
              <w:t>19102-2148</w:t>
            </w:r>
          </w:p>
        </w:tc>
      </w:tr>
      <w:tr>
        <w:trPr>
          <w:trHeight w:val="178"/>
        </w:trPr>
        <w:tc>
          <w:tcPr>
            <w:tcW w:w="4140" w:type="dxa"/>
            <w:vAlign w:val="bottom"/>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3800" w:type="dxa"/>
            <w:vAlign w:val="bottom"/>
          </w:tcPr>
          <w:p>
            <w:pPr>
              <w:jc w:val="center"/>
              <w:ind w:left="1782"/>
              <w:spacing w:after="0"/>
              <w:rPr>
                <w:sz w:val="20"/>
                <w:szCs w:val="20"/>
                <w:color w:val="auto"/>
              </w:rPr>
            </w:pPr>
            <w:r>
              <w:rPr>
                <w:rFonts w:ascii="Times New Roman" w:cs="Times New Roman" w:eastAsia="Times New Roman" w:hAnsi="Times New Roman"/>
                <w:sz w:val="14"/>
                <w:szCs w:val="14"/>
                <w:b w:val="1"/>
                <w:bCs w:val="1"/>
                <w:color w:val="auto"/>
                <w:w w:val="95"/>
              </w:rPr>
              <w:t>(Zip Code)</w:t>
            </w:r>
          </w:p>
        </w:tc>
      </w:tr>
    </w:tbl>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 (215) 665-1700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122555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81"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313055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October 26, 2006, Comcast Corporation (“Comcast”) issued a press release reporting the results of its operations for the three months and nine months ended September 30, 2006. The press release is attached hereto as Exhibit 99.1. Comcast does not intend for this Item 2.02 or Exhibit 99.1 to be treated as “filed” under the Securities Exchange Act of 1934, as amended, or incorporated by reference into its filings under the Securities Act of 1933, as amended.</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the press release, Comcast presented non-GAAP financial measures, as defined in Regulation G and Item 10(e) of Regulation S-K promulgated by the Securities and Exchange Commission, as well as other financial measures. Non-GAAP financial measures differ from financial measures reported in conformity with U.S. generally accepted accounting principles (“GAAP”). Comcast provided reconciliations of the non-GAAP financial measures to the most directly comparable financial GAAP measures in the tables accompanying the press release. In addition, in Table 7, entitled </w:t>
      </w:r>
      <w:r>
        <w:rPr>
          <w:rFonts w:ascii="Times New Roman" w:cs="Times New Roman" w:eastAsia="Times New Roman" w:hAnsi="Times New Roman"/>
          <w:sz w:val="18"/>
          <w:szCs w:val="18"/>
          <w:i w:val="1"/>
          <w:iCs w:val="1"/>
          <w:color w:val="auto"/>
        </w:rPr>
        <w:t>Non-GAAP and Other Financial Measures</w:t>
      </w:r>
      <w:r>
        <w:rPr>
          <w:rFonts w:ascii="Times New Roman" w:cs="Times New Roman" w:eastAsia="Times New Roman" w:hAnsi="Times New Roman"/>
          <w:sz w:val="18"/>
          <w:szCs w:val="18"/>
          <w:color w:val="auto"/>
        </w:rPr>
        <w:t>, Comcast disclosed why management believes the presentation of the non-GAAP financial measures it customarily presents provided useful information to investors in understanding Comcast’s financial condition and results of operations as well as any additional purposes for which Comcast’s management uses these as performance measures.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press release, Comcast provided one additional non-GAAP financial measure to those described in Table 7, along with a reconciliation of this measure in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7C:</w:t>
      </w:r>
    </w:p>
    <w:p>
      <w:pPr>
        <w:spacing w:after="0" w:line="78" w:lineRule="exact"/>
        <w:rPr>
          <w:sz w:val="20"/>
          <w:szCs w:val="20"/>
          <w:color w:val="auto"/>
        </w:rPr>
      </w:pPr>
    </w:p>
    <w:p>
      <w:pPr>
        <w:ind w:left="1020" w:right="1240" w:hanging="215"/>
        <w:spacing w:after="0" w:line="275"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adjusted to eliminate the effect of the gain on discontinued operations, net of tax and the gain on the Adelphia/Time Warner transactions, net of tax</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Comcast believes this additional non-GAAP measure provides useful information to investors. Among other things, it may help investors evaluate Comcast’s ongoing operations, can assist in making meaningful period-over-period comparisons and can help identify trends that could otherwise be masked or distorted by the excluded items. In particular, net income in 2006 includes significant non-operating investment income and a gain on discontinued operations resulting from the closing of transactions with Adelphia Communications Corporation and Time Warner Inc. that did not occur in 2005.</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Exhibits</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p>
      <w:pPr>
        <w:ind w:left="20"/>
        <w:spacing w:after="0"/>
        <w:tabs>
          <w:tab w:leader="none" w:pos="1020" w:val="left"/>
        </w:tabs>
        <w:rPr>
          <w:sz w:val="20"/>
          <w:szCs w:val="20"/>
          <w:color w:val="auto"/>
        </w:rPr>
      </w:pPr>
      <w:r>
        <w:rPr>
          <w:rFonts w:ascii="Times New Roman" w:cs="Times New Roman" w:eastAsia="Times New Roman" w:hAnsi="Times New Roman"/>
          <w:sz w:val="14"/>
          <w:szCs w:val="14"/>
          <w:b w:val="1"/>
          <w:bCs w:val="1"/>
          <w:u w:val="single" w:color="auto"/>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0</wp:posOffset>
            </wp:positionV>
            <wp:extent cx="65862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87" w:lineRule="exact"/>
        <w:rPr>
          <w:sz w:val="20"/>
          <w:szCs w:val="20"/>
          <w:color w:val="auto"/>
        </w:rPr>
      </w:pPr>
    </w:p>
    <w:p>
      <w:pPr>
        <w:ind w:left="100"/>
        <w:spacing w:after="0"/>
        <w:tabs>
          <w:tab w:leader="none" w:pos="10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6"/>
          <w:szCs w:val="16"/>
          <w:color w:val="auto"/>
        </w:rPr>
        <w:t>Comcast Corporation press release dated October 26, 2006.</w:t>
      </w:r>
    </w:p>
    <w:p>
      <w:pPr>
        <w:sectPr>
          <w:pgSz w:w="11900" w:h="16838" w:orient="portrait"/>
          <w:cols w:equalWidth="0" w:num="1">
            <w:col w:w="11420"/>
          </w:cols>
          <w:pgMar w:left="240" w:top="25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3860" w:type="dxa"/>
            <w:vAlign w:val="bottom"/>
          </w:tcPr>
          <w:p>
            <w:pPr>
              <w:spacing w:after="0"/>
              <w:rPr>
                <w:sz w:val="24"/>
                <w:szCs w:val="24"/>
                <w:color w:val="auto"/>
              </w:rPr>
            </w:pPr>
          </w:p>
        </w:tc>
        <w:tc>
          <w:tcPr>
            <w:tcW w:w="7560" w:type="dxa"/>
            <w:vAlign w:val="bottom"/>
            <w:gridSpan w:val="2"/>
          </w:tcPr>
          <w:p>
            <w:pPr>
              <w:ind w:left="2180"/>
              <w:spacing w:after="0"/>
              <w:rPr>
                <w:sz w:val="20"/>
                <w:szCs w:val="20"/>
                <w:color w:val="auto"/>
              </w:rPr>
            </w:pPr>
            <w:r>
              <w:rPr>
                <w:rFonts w:ascii="Arial" w:cs="Arial" w:eastAsia="Arial" w:hAnsi="Arial"/>
                <w:sz w:val="22"/>
                <w:szCs w:val="22"/>
                <w:b w:val="1"/>
                <w:bCs w:val="1"/>
                <w:color w:val="auto"/>
              </w:rPr>
              <w:t>COMCAST CORPORATION</w:t>
            </w:r>
          </w:p>
        </w:tc>
      </w:tr>
      <w:tr>
        <w:trPr>
          <w:trHeight w:val="405"/>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26, 2006</w:t>
            </w:r>
          </w:p>
        </w:tc>
        <w:tc>
          <w:tcPr>
            <w:tcW w:w="756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 /s/ Lawrence J. Salva</w:t>
            </w:r>
          </w:p>
        </w:tc>
      </w:tr>
      <w:tr>
        <w:trPr>
          <w:trHeight w:val="196"/>
        </w:trPr>
        <w:tc>
          <w:tcPr>
            <w:tcW w:w="38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120" w:type="dxa"/>
            <w:vAlign w:val="bottom"/>
            <w:tcBorders>
              <w:top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Lawrence J. Salva</w:t>
            </w:r>
          </w:p>
        </w:tc>
      </w:tr>
      <w:tr>
        <w:trPr>
          <w:trHeight w:val="216"/>
        </w:trPr>
        <w:tc>
          <w:tcPr>
            <w:tcW w:w="38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Vice President, Chief Accounting Officer and Controller</w:t>
            </w:r>
          </w:p>
        </w:tc>
      </w:tr>
      <w:tr>
        <w:trPr>
          <w:trHeight w:val="228"/>
        </w:trPr>
        <w:tc>
          <w:tcPr>
            <w:tcW w:w="38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420"/>
          </w:cols>
          <w:pgMar w:left="240" w:top="252"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90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w w:val="94"/>
              </w:rPr>
              <w:t>Exhibit 99.1</w:t>
            </w:r>
          </w:p>
        </w:tc>
      </w:tr>
      <w:tr>
        <w:trPr>
          <w:trHeight w:val="689"/>
        </w:trPr>
        <w:tc>
          <w:tcPr>
            <w:tcW w:w="22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900" w:type="dxa"/>
            <w:vAlign w:val="bottom"/>
          </w:tcPr>
          <w:p>
            <w:pPr>
              <w:jc w:val="center"/>
              <w:ind w:left="74"/>
              <w:spacing w:after="0"/>
              <w:rPr>
                <w:sz w:val="20"/>
                <w:szCs w:val="20"/>
                <w:color w:val="auto"/>
              </w:rPr>
            </w:pPr>
            <w:r>
              <w:rPr>
                <w:rFonts w:ascii="Arial" w:cs="Arial" w:eastAsia="Arial" w:hAnsi="Arial"/>
                <w:sz w:val="32"/>
                <w:szCs w:val="32"/>
                <w:b w:val="1"/>
                <w:bCs w:val="1"/>
                <w:color w:val="auto"/>
              </w:rPr>
              <w:t>PRESS RELEASE</w:t>
            </w:r>
          </w:p>
        </w:tc>
      </w:tr>
      <w:tr>
        <w:trPr>
          <w:trHeight w:val="272"/>
        </w:trPr>
        <w:tc>
          <w:tcPr>
            <w:tcW w:w="2280" w:type="dxa"/>
            <w:vAlign w:val="bottom"/>
            <w:tcBorders>
              <w:bottom w:val="single" w:sz="8" w:color="auto"/>
            </w:tcBorders>
          </w:tcPr>
          <w:p>
            <w:pPr>
              <w:spacing w:after="0"/>
              <w:rPr>
                <w:sz w:val="23"/>
                <w:szCs w:val="23"/>
                <w:color w:val="auto"/>
              </w:rPr>
            </w:pPr>
          </w:p>
        </w:tc>
        <w:tc>
          <w:tcPr>
            <w:tcW w:w="3200" w:type="dxa"/>
            <w:vAlign w:val="bottom"/>
            <w:tcBorders>
              <w:bottom w:val="single" w:sz="8" w:color="auto"/>
            </w:tcBorders>
          </w:tcPr>
          <w:p>
            <w:pPr>
              <w:spacing w:after="0"/>
              <w:rPr>
                <w:sz w:val="23"/>
                <w:szCs w:val="23"/>
                <w:color w:val="auto"/>
              </w:rPr>
            </w:pPr>
          </w:p>
        </w:tc>
        <w:tc>
          <w:tcPr>
            <w:tcW w:w="5940" w:type="dxa"/>
            <w:vAlign w:val="bottom"/>
            <w:tcBorders>
              <w:bottom w:val="single" w:sz="8" w:color="auto"/>
            </w:tcBorders>
            <w:gridSpan w:val="2"/>
          </w:tcPr>
          <w:p>
            <w:pPr>
              <w:spacing w:after="0"/>
              <w:rPr>
                <w:sz w:val="23"/>
                <w:szCs w:val="23"/>
                <w:color w:val="auto"/>
              </w:rPr>
            </w:pPr>
          </w:p>
        </w:tc>
      </w:tr>
      <w:tr>
        <w:trPr>
          <w:trHeight w:val="330"/>
        </w:trPr>
        <w:tc>
          <w:tcPr>
            <w:tcW w:w="2280" w:type="dxa"/>
            <w:vAlign w:val="bottom"/>
          </w:tcPr>
          <w:p>
            <w:pPr>
              <w:spacing w:after="0"/>
              <w:rPr>
                <w:sz w:val="20"/>
                <w:szCs w:val="20"/>
                <w:color w:val="auto"/>
              </w:rPr>
            </w:pPr>
            <w:r>
              <w:rPr>
                <w:rFonts w:ascii="Arial" w:cs="Arial" w:eastAsia="Arial" w:hAnsi="Arial"/>
                <w:sz w:val="22"/>
                <w:szCs w:val="22"/>
                <w:b w:val="1"/>
                <w:bCs w:val="1"/>
                <w:color w:val="auto"/>
              </w:rPr>
              <w:t>Investor Contacts:</w:t>
            </w:r>
          </w:p>
        </w:tc>
        <w:tc>
          <w:tcPr>
            <w:tcW w:w="3200" w:type="dxa"/>
            <w:vAlign w:val="bottom"/>
          </w:tcPr>
          <w:p>
            <w:pPr>
              <w:spacing w:after="0"/>
              <w:rPr>
                <w:sz w:val="24"/>
                <w:szCs w:val="24"/>
                <w:color w:val="auto"/>
              </w:rPr>
            </w:pPr>
          </w:p>
        </w:tc>
        <w:tc>
          <w:tcPr>
            <w:tcW w:w="5940" w:type="dxa"/>
            <w:vAlign w:val="bottom"/>
            <w:gridSpan w:val="2"/>
          </w:tcPr>
          <w:p>
            <w:pPr>
              <w:ind w:left="1740"/>
              <w:spacing w:after="0"/>
              <w:rPr>
                <w:sz w:val="20"/>
                <w:szCs w:val="20"/>
                <w:color w:val="auto"/>
              </w:rPr>
            </w:pPr>
            <w:r>
              <w:rPr>
                <w:rFonts w:ascii="Arial" w:cs="Arial" w:eastAsia="Arial" w:hAnsi="Arial"/>
                <w:sz w:val="22"/>
                <w:szCs w:val="22"/>
                <w:b w:val="1"/>
                <w:bCs w:val="1"/>
                <w:color w:val="auto"/>
              </w:rPr>
              <w:t>Press Contacts:</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Marlene S. Dooner</w:t>
            </w:r>
          </w:p>
        </w:tc>
        <w:tc>
          <w:tcPr>
            <w:tcW w:w="3200" w:type="dxa"/>
            <w:vAlign w:val="bottom"/>
          </w:tcPr>
          <w:p>
            <w:pPr>
              <w:jc w:val="right"/>
              <w:ind w:right="1652"/>
              <w:spacing w:after="0"/>
              <w:rPr>
                <w:sz w:val="20"/>
                <w:szCs w:val="20"/>
                <w:color w:val="auto"/>
              </w:rPr>
            </w:pPr>
            <w:r>
              <w:rPr>
                <w:rFonts w:ascii="Times New Roman" w:cs="Times New Roman" w:eastAsia="Times New Roman" w:hAnsi="Times New Roman"/>
                <w:sz w:val="18"/>
                <w:szCs w:val="18"/>
                <w:color w:val="auto"/>
              </w:rPr>
              <w:t>(215) 981-7392</w:t>
            </w:r>
          </w:p>
        </w:tc>
        <w:tc>
          <w:tcPr>
            <w:tcW w:w="304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D’Arcy Rudnay</w:t>
            </w:r>
          </w:p>
        </w:tc>
        <w:tc>
          <w:tcPr>
            <w:tcW w:w="290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w w:val="97"/>
              </w:rPr>
              <w:t>(215) 981-8582</w:t>
            </w:r>
          </w:p>
        </w:tc>
      </w:tr>
      <w:tr>
        <w:trPr>
          <w:trHeight w:val="228"/>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Daniel J. Goodwin</w:t>
            </w:r>
          </w:p>
        </w:tc>
        <w:tc>
          <w:tcPr>
            <w:tcW w:w="3200" w:type="dxa"/>
            <w:vAlign w:val="bottom"/>
          </w:tcPr>
          <w:p>
            <w:pPr>
              <w:jc w:val="right"/>
              <w:ind w:right="1652"/>
              <w:spacing w:after="0"/>
              <w:rPr>
                <w:sz w:val="20"/>
                <w:szCs w:val="20"/>
                <w:color w:val="auto"/>
              </w:rPr>
            </w:pPr>
            <w:r>
              <w:rPr>
                <w:rFonts w:ascii="Times New Roman" w:cs="Times New Roman" w:eastAsia="Times New Roman" w:hAnsi="Times New Roman"/>
                <w:sz w:val="18"/>
                <w:szCs w:val="18"/>
                <w:color w:val="auto"/>
              </w:rPr>
              <w:t>(215) 981-7518</w:t>
            </w:r>
          </w:p>
        </w:tc>
        <w:tc>
          <w:tcPr>
            <w:tcW w:w="304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Vibha Agrawal</w:t>
            </w:r>
          </w:p>
        </w:tc>
        <w:tc>
          <w:tcPr>
            <w:tcW w:w="290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w w:val="97"/>
              </w:rPr>
              <w:t>(215) 981-8410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-1061720</wp:posOffset>
            </wp:positionV>
            <wp:extent cx="1389380" cy="3600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89380" cy="360045"/>
                    </a:xfrm>
                    <a:prstGeom prst="rect">
                      <a:avLst/>
                    </a:prstGeom>
                    <a:noFill/>
                  </pic:spPr>
                </pic:pic>
              </a:graphicData>
            </a:graphic>
          </wp:anchor>
        </w:drawing>
      </w:r>
    </w:p>
    <w:p>
      <w:pPr>
        <w:spacing w:after="0" w:line="189"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COMCAST REPORTS THIRD QUARTER 2006 RESULTS</w:t>
      </w:r>
    </w:p>
    <w:p>
      <w:pPr>
        <w:spacing w:after="0" w:line="152" w:lineRule="exact"/>
        <w:rPr>
          <w:sz w:val="20"/>
          <w:szCs w:val="20"/>
          <w:color w:val="auto"/>
        </w:rPr>
      </w:pPr>
    </w:p>
    <w:p>
      <w:pPr>
        <w:ind w:left="1680"/>
        <w:spacing w:after="0"/>
        <w:rPr>
          <w:sz w:val="20"/>
          <w:szCs w:val="20"/>
          <w:color w:val="auto"/>
        </w:rPr>
      </w:pPr>
      <w:r>
        <w:rPr>
          <w:rFonts w:ascii="Arial" w:cs="Arial" w:eastAsia="Arial" w:hAnsi="Arial"/>
          <w:sz w:val="22"/>
          <w:szCs w:val="22"/>
          <w:b w:val="1"/>
          <w:bCs w:val="1"/>
          <w:color w:val="auto"/>
        </w:rPr>
        <w:t>Triple Play powers highest level of quarterly RGU additions in Comcast history</w:t>
      </w:r>
    </w:p>
    <w:p>
      <w:pPr>
        <w:spacing w:after="0" w:line="152" w:lineRule="exact"/>
        <w:rPr>
          <w:sz w:val="20"/>
          <w:szCs w:val="20"/>
          <w:color w:val="auto"/>
        </w:rPr>
      </w:pPr>
    </w:p>
    <w:p>
      <w:pPr>
        <w:ind w:left="2200"/>
        <w:spacing w:after="0"/>
        <w:rPr>
          <w:sz w:val="20"/>
          <w:szCs w:val="20"/>
          <w:color w:val="auto"/>
        </w:rPr>
      </w:pPr>
      <w:r>
        <w:rPr>
          <w:rFonts w:ascii="Arial" w:cs="Arial" w:eastAsia="Arial" w:hAnsi="Arial"/>
          <w:sz w:val="22"/>
          <w:szCs w:val="22"/>
          <w:b w:val="1"/>
          <w:bCs w:val="1"/>
          <w:color w:val="auto"/>
        </w:rPr>
        <w:t>Record additions fuel 15% growth in cable Operating Cash Flow and</w:t>
      </w:r>
    </w:p>
    <w:p>
      <w:pPr>
        <w:spacing w:after="0" w:line="20"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12% growth in cable revenue</w:t>
      </w:r>
    </w:p>
    <w:p>
      <w:pPr>
        <w:spacing w:after="0" w:line="122" w:lineRule="exact"/>
        <w:rPr>
          <w:sz w:val="20"/>
          <w:szCs w:val="20"/>
          <w:color w:val="auto"/>
        </w:rPr>
      </w:pPr>
    </w:p>
    <w:p>
      <w:pPr>
        <w:ind w:left="2320"/>
        <w:spacing w:after="0"/>
        <w:rPr>
          <w:sz w:val="20"/>
          <w:szCs w:val="20"/>
          <w:color w:val="auto"/>
        </w:rPr>
      </w:pPr>
      <w:r>
        <w:rPr>
          <w:rFonts w:ascii="Arial" w:cs="Arial" w:eastAsia="Arial" w:hAnsi="Arial"/>
          <w:sz w:val="22"/>
          <w:szCs w:val="22"/>
          <w:b w:val="1"/>
          <w:bCs w:val="1"/>
          <w:color w:val="auto"/>
        </w:rPr>
        <w:t>Third consecutive quarter of accelerating growth in cable revenue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cable Operating Cash Flow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Philadelphia, PA – October 26, 2006…Comcast Corporation (NASDAQ: CMCSA, CMCSK) today reported results for the quarter ended September 30, 2006.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highlights results for the quarter (dollars in millions, except per share amounts; units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40" w:type="dxa"/>
            <w:vAlign w:val="bottom"/>
            <w:vMerge w:val="restart"/>
          </w:tcPr>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Consolidated</w:t>
            </w:r>
          </w:p>
        </w:tc>
        <w:tc>
          <w:tcPr>
            <w:tcW w:w="1900" w:type="dxa"/>
            <w:vAlign w:val="bottom"/>
            <w:tcBorders>
              <w:bottom w:val="single" w:sz="8" w:color="auto"/>
            </w:tcBorders>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rPr>
              <w:t>3Q06</w:t>
            </w:r>
          </w:p>
        </w:tc>
        <w:tc>
          <w:tcPr>
            <w:tcW w:w="19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Growth Q/Q</w:t>
            </w:r>
          </w:p>
        </w:tc>
        <w:tc>
          <w:tcPr>
            <w:tcW w:w="13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w w:val="92"/>
              </w:rPr>
              <w:t>Growth YTD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040" w:type="dxa"/>
            <w:vAlign w:val="bottom"/>
            <w:vMerge w:val="continue"/>
          </w:tcPr>
          <w:p>
            <w:pPr>
              <w:spacing w:after="0"/>
              <w:rPr>
                <w:sz w:val="16"/>
                <w:szCs w:val="16"/>
                <w:color w:val="auto"/>
              </w:rPr>
            </w:pPr>
          </w:p>
        </w:tc>
        <w:tc>
          <w:tcPr>
            <w:tcW w:w="19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Revenue</w:t>
            </w:r>
          </w:p>
        </w:tc>
        <w:tc>
          <w:tcPr>
            <w:tcW w:w="1900" w:type="dxa"/>
            <w:vAlign w:val="bottom"/>
          </w:tcPr>
          <w:p>
            <w:pPr>
              <w:jc w:val="center"/>
              <w:ind w:left="95"/>
              <w:spacing w:after="0"/>
              <w:rPr>
                <w:sz w:val="20"/>
                <w:szCs w:val="20"/>
                <w:color w:val="auto"/>
              </w:rPr>
            </w:pPr>
            <w:r>
              <w:rPr>
                <w:rFonts w:ascii="Times New Roman" w:cs="Times New Roman" w:eastAsia="Times New Roman" w:hAnsi="Times New Roman"/>
                <w:sz w:val="18"/>
                <w:szCs w:val="18"/>
                <w:color w:val="auto"/>
                <w:w w:val="96"/>
              </w:rPr>
              <w:t>$6,432</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22%</w:t>
            </w:r>
          </w:p>
        </w:tc>
        <w:tc>
          <w:tcPr>
            <w:tcW w:w="1380" w:type="dxa"/>
            <w:vAlign w:val="bottom"/>
          </w:tcPr>
          <w:p>
            <w:pPr>
              <w:jc w:val="center"/>
              <w:ind w:left="535"/>
              <w:spacing w:after="0"/>
              <w:rPr>
                <w:sz w:val="20"/>
                <w:szCs w:val="20"/>
                <w:color w:val="auto"/>
              </w:rPr>
            </w:pPr>
            <w:r>
              <w:rPr>
                <w:rFonts w:ascii="Times New Roman" w:cs="Times New Roman" w:eastAsia="Times New Roman" w:hAnsi="Times New Roman"/>
                <w:sz w:val="18"/>
                <w:szCs w:val="18"/>
                <w:color w:val="auto"/>
                <w:w w:val="96"/>
              </w:rPr>
              <w:t>15%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140"/>
              <w:spacing w:after="0" w:line="216" w:lineRule="exact"/>
              <w:rPr>
                <w:sz w:val="20"/>
                <w:szCs w:val="20"/>
                <w:color w:val="auto"/>
              </w:rPr>
            </w:pPr>
            <w:r>
              <w:rPr>
                <w:rFonts w:ascii="Times New Roman" w:cs="Times New Roman" w:eastAsia="Times New Roman" w:hAnsi="Times New Roman"/>
                <w:sz w:val="18"/>
                <w:szCs w:val="18"/>
                <w:color w:val="auto"/>
              </w:rPr>
              <w:t>Operating Cash Flow</w:t>
            </w:r>
            <w:r>
              <w:rPr>
                <w:rFonts w:ascii="Times New Roman" w:cs="Times New Roman" w:eastAsia="Times New Roman" w:hAnsi="Times New Roman"/>
                <w:sz w:val="22"/>
                <w:szCs w:val="22"/>
                <w:color w:val="auto"/>
                <w:vertAlign w:val="superscript"/>
              </w:rPr>
              <w:t>1</w:t>
            </w:r>
          </w:p>
        </w:tc>
        <w:tc>
          <w:tcPr>
            <w:tcW w:w="1900" w:type="dxa"/>
            <w:vAlign w:val="bottom"/>
          </w:tcPr>
          <w:p>
            <w:pPr>
              <w:jc w:val="center"/>
              <w:ind w:left="95"/>
              <w:spacing w:after="0"/>
              <w:rPr>
                <w:sz w:val="20"/>
                <w:szCs w:val="20"/>
                <w:color w:val="auto"/>
              </w:rPr>
            </w:pPr>
            <w:r>
              <w:rPr>
                <w:rFonts w:ascii="Times New Roman" w:cs="Times New Roman" w:eastAsia="Times New Roman" w:hAnsi="Times New Roman"/>
                <w:sz w:val="18"/>
                <w:szCs w:val="18"/>
                <w:color w:val="auto"/>
                <w:w w:val="96"/>
              </w:rPr>
              <w:t>$2,437</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380" w:type="dxa"/>
            <w:vAlign w:val="bottom"/>
          </w:tcPr>
          <w:p>
            <w:pPr>
              <w:jc w:val="center"/>
              <w:ind w:left="535"/>
              <w:spacing w:after="0"/>
              <w:rPr>
                <w:sz w:val="20"/>
                <w:szCs w:val="20"/>
                <w:color w:val="auto"/>
              </w:rPr>
            </w:pPr>
            <w:r>
              <w:rPr>
                <w:rFonts w:ascii="Times New Roman" w:cs="Times New Roman" w:eastAsia="Times New Roman" w:hAnsi="Times New Roman"/>
                <w:sz w:val="18"/>
                <w:szCs w:val="18"/>
                <w:color w:val="auto"/>
                <w:w w:val="96"/>
              </w:rPr>
              <w:t>16%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140"/>
              <w:spacing w:after="0" w:line="216" w:lineRule="exact"/>
              <w:rPr>
                <w:sz w:val="20"/>
                <w:szCs w:val="20"/>
                <w:color w:val="auto"/>
              </w:rPr>
            </w:pPr>
            <w:r>
              <w:rPr>
                <w:rFonts w:ascii="Times New Roman" w:cs="Times New Roman" w:eastAsia="Times New Roman" w:hAnsi="Times New Roman"/>
                <w:sz w:val="18"/>
                <w:szCs w:val="18"/>
                <w:color w:val="auto"/>
              </w:rPr>
              <w:t>Operating Income</w:t>
            </w:r>
            <w:r>
              <w:rPr>
                <w:rFonts w:ascii="Times New Roman" w:cs="Times New Roman" w:eastAsia="Times New Roman" w:hAnsi="Times New Roman"/>
                <w:sz w:val="22"/>
                <w:szCs w:val="22"/>
                <w:color w:val="auto"/>
                <w:vertAlign w:val="superscript"/>
              </w:rPr>
              <w:t>1</w:t>
            </w:r>
          </w:p>
        </w:tc>
        <w:tc>
          <w:tcPr>
            <w:tcW w:w="1900" w:type="dxa"/>
            <w:vAlign w:val="bottom"/>
          </w:tcPr>
          <w:p>
            <w:pPr>
              <w:jc w:val="center"/>
              <w:ind w:left="95"/>
              <w:spacing w:after="0"/>
              <w:rPr>
                <w:sz w:val="20"/>
                <w:szCs w:val="20"/>
                <w:color w:val="auto"/>
              </w:rPr>
            </w:pPr>
            <w:r>
              <w:rPr>
                <w:rFonts w:ascii="Times New Roman" w:cs="Times New Roman" w:eastAsia="Times New Roman" w:hAnsi="Times New Roman"/>
                <w:sz w:val="18"/>
                <w:szCs w:val="18"/>
                <w:color w:val="auto"/>
                <w:w w:val="96"/>
              </w:rPr>
              <w:t>$1,224</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46%</w:t>
            </w:r>
          </w:p>
        </w:tc>
        <w:tc>
          <w:tcPr>
            <w:tcW w:w="1380" w:type="dxa"/>
            <w:vAlign w:val="bottom"/>
          </w:tcPr>
          <w:p>
            <w:pPr>
              <w:jc w:val="center"/>
              <w:ind w:left="535"/>
              <w:spacing w:after="0"/>
              <w:rPr>
                <w:sz w:val="20"/>
                <w:szCs w:val="20"/>
                <w:color w:val="auto"/>
              </w:rPr>
            </w:pPr>
            <w:r>
              <w:rPr>
                <w:rFonts w:ascii="Times New Roman" w:cs="Times New Roman" w:eastAsia="Times New Roman" w:hAnsi="Times New Roman"/>
                <w:sz w:val="18"/>
                <w:szCs w:val="18"/>
                <w:color w:val="auto"/>
                <w:w w:val="96"/>
              </w:rPr>
              <w:t>27%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50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Earnings per Share</w:t>
            </w:r>
            <w:r>
              <w:rPr>
                <w:rFonts w:ascii="Times New Roman" w:cs="Times New Roman" w:eastAsia="Times New Roman" w:hAnsi="Times New Roman"/>
                <w:sz w:val="22"/>
                <w:szCs w:val="22"/>
                <w:color w:val="auto"/>
                <w:vertAlign w:val="superscript"/>
              </w:rPr>
              <w:t>1</w:t>
            </w:r>
          </w:p>
        </w:tc>
        <w:tc>
          <w:tcPr>
            <w:tcW w:w="1900" w:type="dxa"/>
            <w:vAlign w:val="bottom"/>
          </w:tcPr>
          <w:p>
            <w:pPr>
              <w:jc w:val="center"/>
              <w:ind w:left="95"/>
              <w:spacing w:after="0"/>
              <w:rPr>
                <w:sz w:val="20"/>
                <w:szCs w:val="20"/>
                <w:color w:val="auto"/>
              </w:rPr>
            </w:pPr>
            <w:r>
              <w:rPr>
                <w:rFonts w:ascii="Times New Roman" w:cs="Times New Roman" w:eastAsia="Times New Roman" w:hAnsi="Times New Roman"/>
                <w:sz w:val="18"/>
                <w:szCs w:val="18"/>
                <w:color w:val="auto"/>
                <w:w w:val="98"/>
              </w:rPr>
              <w:t>$0.58</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480%</w:t>
            </w:r>
          </w:p>
        </w:tc>
        <w:tc>
          <w:tcPr>
            <w:tcW w:w="1380" w:type="dxa"/>
            <w:vAlign w:val="bottom"/>
          </w:tcPr>
          <w:p>
            <w:pPr>
              <w:jc w:val="center"/>
              <w:ind w:left="515"/>
              <w:spacing w:after="0"/>
              <w:rPr>
                <w:sz w:val="20"/>
                <w:szCs w:val="20"/>
                <w:color w:val="auto"/>
              </w:rPr>
            </w:pPr>
            <w:r>
              <w:rPr>
                <w:rFonts w:ascii="Times New Roman" w:cs="Times New Roman" w:eastAsia="Times New Roman" w:hAnsi="Times New Roman"/>
                <w:sz w:val="18"/>
                <w:szCs w:val="18"/>
                <w:color w:val="auto"/>
                <w:w w:val="99"/>
              </w:rPr>
              <w:t>181%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04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Cable</w:t>
            </w:r>
            <w:r>
              <w:rPr>
                <w:rFonts w:ascii="Times New Roman" w:cs="Times New Roman" w:eastAsia="Times New Roman" w:hAnsi="Times New Roman"/>
                <w:sz w:val="22"/>
                <w:szCs w:val="22"/>
                <w:b w:val="1"/>
                <w:bCs w:val="1"/>
                <w:i w:val="1"/>
                <w:iCs w:val="1"/>
                <w:color w:val="auto"/>
                <w:vertAlign w:val="superscript"/>
              </w:rPr>
              <w:t>2</w:t>
            </w:r>
          </w:p>
        </w:tc>
        <w:tc>
          <w:tcPr>
            <w:tcW w:w="19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Revenue</w:t>
            </w:r>
          </w:p>
        </w:tc>
        <w:tc>
          <w:tcPr>
            <w:tcW w:w="1900" w:type="dxa"/>
            <w:vAlign w:val="bottom"/>
          </w:tcPr>
          <w:p>
            <w:pPr>
              <w:jc w:val="center"/>
              <w:ind w:left="95"/>
              <w:spacing w:after="0"/>
              <w:rPr>
                <w:sz w:val="20"/>
                <w:szCs w:val="20"/>
                <w:color w:val="auto"/>
              </w:rPr>
            </w:pPr>
            <w:r>
              <w:rPr>
                <w:rFonts w:ascii="Times New Roman" w:cs="Times New Roman" w:eastAsia="Times New Roman" w:hAnsi="Times New Roman"/>
                <w:sz w:val="18"/>
                <w:szCs w:val="18"/>
                <w:color w:val="auto"/>
                <w:w w:val="96"/>
              </w:rPr>
              <w:t>$6,630</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c>
          <w:tcPr>
            <w:tcW w:w="1380" w:type="dxa"/>
            <w:vAlign w:val="bottom"/>
          </w:tcPr>
          <w:p>
            <w:pPr>
              <w:jc w:val="center"/>
              <w:ind w:left="535"/>
              <w:spacing w:after="0"/>
              <w:rPr>
                <w:sz w:val="20"/>
                <w:szCs w:val="20"/>
                <w:color w:val="auto"/>
              </w:rPr>
            </w:pPr>
            <w:r>
              <w:rPr>
                <w:rFonts w:ascii="Times New Roman" w:cs="Times New Roman" w:eastAsia="Times New Roman" w:hAnsi="Times New Roman"/>
                <w:sz w:val="18"/>
                <w:szCs w:val="18"/>
                <w:color w:val="auto"/>
                <w:w w:val="96"/>
              </w:rPr>
              <w:t>11%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Operating Cash Flow</w:t>
            </w:r>
          </w:p>
        </w:tc>
        <w:tc>
          <w:tcPr>
            <w:tcW w:w="1900" w:type="dxa"/>
            <w:vAlign w:val="bottom"/>
          </w:tcPr>
          <w:p>
            <w:pPr>
              <w:jc w:val="center"/>
              <w:ind w:left="95"/>
              <w:spacing w:after="0"/>
              <w:rPr>
                <w:sz w:val="20"/>
                <w:szCs w:val="20"/>
                <w:color w:val="auto"/>
              </w:rPr>
            </w:pPr>
            <w:r>
              <w:rPr>
                <w:rFonts w:ascii="Times New Roman" w:cs="Times New Roman" w:eastAsia="Times New Roman" w:hAnsi="Times New Roman"/>
                <w:sz w:val="18"/>
                <w:szCs w:val="18"/>
                <w:color w:val="auto"/>
                <w:w w:val="96"/>
              </w:rPr>
              <w:t>$2,624</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1380" w:type="dxa"/>
            <w:vAlign w:val="bottom"/>
          </w:tcPr>
          <w:p>
            <w:pPr>
              <w:jc w:val="center"/>
              <w:ind w:left="535"/>
              <w:spacing w:after="0"/>
              <w:rPr>
                <w:sz w:val="20"/>
                <w:szCs w:val="20"/>
                <w:color w:val="auto"/>
              </w:rPr>
            </w:pPr>
            <w:r>
              <w:rPr>
                <w:rFonts w:ascii="Times New Roman" w:cs="Times New Roman" w:eastAsia="Times New Roman" w:hAnsi="Times New Roman"/>
                <w:sz w:val="18"/>
                <w:szCs w:val="18"/>
                <w:color w:val="auto"/>
                <w:w w:val="96"/>
              </w:rPr>
              <w:t>14%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Revenue Generating Unit Additions</w:t>
            </w:r>
          </w:p>
        </w:tc>
        <w:tc>
          <w:tcPr>
            <w:tcW w:w="1900" w:type="dxa"/>
            <w:vAlign w:val="bottom"/>
          </w:tcPr>
          <w:p>
            <w:pPr>
              <w:jc w:val="center"/>
              <w:ind w:left="95"/>
              <w:spacing w:after="0"/>
              <w:rPr>
                <w:sz w:val="20"/>
                <w:szCs w:val="20"/>
                <w:color w:val="auto"/>
              </w:rPr>
            </w:pPr>
            <w:r>
              <w:rPr>
                <w:rFonts w:ascii="Times New Roman" w:cs="Times New Roman" w:eastAsia="Times New Roman" w:hAnsi="Times New Roman"/>
                <w:sz w:val="18"/>
                <w:szCs w:val="18"/>
                <w:color w:val="auto"/>
                <w:w w:val="98"/>
              </w:rPr>
              <w:t>1,486</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82%</w:t>
            </w:r>
          </w:p>
        </w:tc>
        <w:tc>
          <w:tcPr>
            <w:tcW w:w="1380" w:type="dxa"/>
            <w:vAlign w:val="bottom"/>
          </w:tcPr>
          <w:p>
            <w:pPr>
              <w:jc w:val="center"/>
              <w:ind w:left="535"/>
              <w:spacing w:after="0"/>
              <w:rPr>
                <w:sz w:val="20"/>
                <w:szCs w:val="20"/>
                <w:color w:val="auto"/>
              </w:rPr>
            </w:pPr>
            <w:r>
              <w:rPr>
                <w:rFonts w:ascii="Times New Roman" w:cs="Times New Roman" w:eastAsia="Times New Roman" w:hAnsi="Times New Roman"/>
                <w:sz w:val="18"/>
                <w:szCs w:val="18"/>
                <w:color w:val="auto"/>
                <w:w w:val="96"/>
              </w:rPr>
              <w:t>66%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504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Brian L. Roberts, Chairman and CEO of Comcast Corporation said, “We’re setting new records in the third quarter, underscoring the strong momentum in our cable business. All our key metrics are accelerating, including revenue and operating cash flow, as well as RGU additions, which reached their highest quarterly level in our Company’s history. Cable’s outstanding results reflect both great execution and growing demand for our Triple Play offering. Our strategy of bringing value to consumers through a set of superior services is driving the business to new levels of performance. We are confident that we will broaden our relationships with our customers, strengthen our competitive advantage and accelerate our operational and financial performance as we expand the availability of Triple Play throughout our markets.”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Segment Results</w:t>
      </w:r>
      <w:r>
        <w:rPr>
          <w:rFonts w:ascii="Arial" w:cs="Arial" w:eastAsia="Arial" w:hAnsi="Arial"/>
          <w:sz w:val="11"/>
          <w:szCs w:val="11"/>
          <w:b w:val="1"/>
          <w:bCs w:val="1"/>
          <w:color w:val="auto"/>
        </w:rPr>
        <w:t>2</w:t>
      </w:r>
    </w:p>
    <w:p>
      <w:pPr>
        <w:spacing w:after="0" w:line="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Cable results are presented as if the acquisition of Susquehanna Communications and the Adelphia/Time Warner transactions were effective on January 1, 2005. Cable results also include the results of the Houston, TX cable systems that will be received with the expected dissolution of the Texas/Kansas City cable partnership as if the transaction was effective on January 1, 2005. (See note 2 for additional details).</w:t>
      </w:r>
    </w:p>
    <w:p>
      <w:pPr>
        <w:spacing w:after="0" w:line="12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 xml:space="preserve">Revenue </w:t>
      </w:r>
      <w:r>
        <w:rPr>
          <w:rFonts w:ascii="Times New Roman" w:cs="Times New Roman" w:eastAsia="Times New Roman" w:hAnsi="Times New Roman"/>
          <w:sz w:val="18"/>
          <w:szCs w:val="18"/>
          <w:color w:val="auto"/>
        </w:rPr>
        <w:t>increased 12% to $6.6 billion in the third quarter of 2006 as demand for our video, voice and high-speed Internet services accelerated. The rollout of</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our Triple Play offering contributed to the record-setting RGU net additions for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6000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on page 4</w:t>
      </w:r>
    </w:p>
    <w:p>
      <w:pPr>
        <w:sectPr>
          <w:pgSz w:w="11900" w:h="16838" w:orient="portrait"/>
          <w:cols w:equalWidth="0" w:num="1">
            <w:col w:w="11420"/>
          </w:cols>
          <w:pgMar w:left="240" w:top="123" w:right="239" w:bottom="1440" w:gutter="0" w:footer="0" w:header="0"/>
        </w:sectPr>
      </w:pPr>
    </w:p>
    <w:bookmarkStart w:id="4" w:name="page5"/>
    <w:bookmarkEnd w:id="4"/>
    <w:p>
      <w:pPr>
        <w:jc w:val="both"/>
        <w:spacing w:after="0" w:line="223"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Revenue generating units </w:t>
      </w:r>
      <w:r>
        <w:rPr>
          <w:rFonts w:ascii="Times New Roman" w:cs="Times New Roman" w:eastAsia="Times New Roman" w:hAnsi="Times New Roman"/>
          <w:sz w:val="18"/>
          <w:szCs w:val="18"/>
          <w:color w:val="auto"/>
        </w:rPr>
        <w:t>(RGUs)</w:t>
      </w:r>
      <w:r>
        <w:rPr>
          <w:rFonts w:ascii="Times New Roman" w:cs="Times New Roman" w:eastAsia="Times New Roman" w:hAnsi="Times New Roman"/>
          <w:sz w:val="22"/>
          <w:szCs w:val="22"/>
          <w:color w:val="auto"/>
          <w:vertAlign w:val="superscript"/>
        </w:rPr>
        <w:t>3</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increased 1.486 million in the third quarter of 2006 or 82% from prior year net additions. RGU growth was concentrated</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in Historical Comcast Systems</w:t>
      </w:r>
      <w:r>
        <w:rPr>
          <w:rFonts w:ascii="Times New Roman" w:cs="Times New Roman" w:eastAsia="Times New Roman" w:hAnsi="Times New Roman"/>
          <w:sz w:val="22"/>
          <w:szCs w:val="22"/>
          <w:color w:val="auto"/>
          <w:vertAlign w:val="superscript"/>
        </w:rPr>
        <w:t>4</w:t>
      </w:r>
      <w:r>
        <w:rPr>
          <w:rFonts w:ascii="Times New Roman" w:cs="Times New Roman" w:eastAsia="Times New Roman" w:hAnsi="Times New Roman"/>
          <w:sz w:val="18"/>
          <w:szCs w:val="18"/>
          <w:color w:val="auto"/>
        </w:rPr>
        <w:t xml:space="preserve"> with 1.402 million or 94% of the net additions in those markets. Comcast ended the third quarter of 2006 with 49.2 million RGUs, an increase of 4.3 million units from one year ago.</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Operating Cash Flow </w:t>
      </w:r>
      <w:r>
        <w:rPr>
          <w:rFonts w:ascii="Times New Roman" w:cs="Times New Roman" w:eastAsia="Times New Roman" w:hAnsi="Times New Roman"/>
          <w:sz w:val="18"/>
          <w:szCs w:val="18"/>
          <w:color w:val="auto"/>
        </w:rPr>
        <w:t>(as defined in Table 7) grew 15% to $2.6 billion in the third quarter of 2006 resulting in an Operating Cash Flow margin of 39.6%, an</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increase from the 38.5% reported in the same quarter of 2005. The margin improvement reflects strong revenue growth and our continuing success in controlling the growth of operating costs, even as we experience higher service and installation activity from record RGU additions and incorporate lower-margin operations from cable systems received in the Adelphia/Time Warner and expected Texas/Kansas City transactions.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7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Added 558,000 new digital subscribers during the quarter - digital penetration now exceeds 50%</w:t>
      </w:r>
    </w:p>
    <w:p>
      <w:pPr>
        <w:spacing w:after="0" w:line="90" w:lineRule="exact"/>
        <w:rPr>
          <w:rFonts w:ascii="Times New Roman" w:cs="Times New Roman" w:eastAsia="Times New Roman" w:hAnsi="Times New Roman"/>
          <w:sz w:val="18"/>
          <w:szCs w:val="18"/>
          <w:i w:val="1"/>
          <w:iCs w:val="1"/>
          <w:color w:val="auto"/>
        </w:rPr>
      </w:pPr>
    </w:p>
    <w:p>
      <w:pPr>
        <w:ind w:left="220" w:hanging="212"/>
        <w:spacing w:after="0"/>
        <w:tabs>
          <w:tab w:leader="none" w:pos="2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Historical Comcast Systems added 24,000 basic video subscribers during the quarter compared to a loss of 39,000 in the prior year</w:t>
      </w:r>
    </w:p>
    <w:p>
      <w:pPr>
        <w:spacing w:after="0" w:line="17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Video revenue increased 9% to $4.2 billion in the third quarter of 2006, reflecting growth in digital customers and increased demand for new digital features including ON DEMAND, digital video recorders (DVR) and HDTV programming, as well as higher basic cable rates and subscribers.</w:t>
      </w:r>
    </w:p>
    <w:p>
      <w:pPr>
        <w:spacing w:after="0" w:line="1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Basic video subscribers increased by 10,000 subscribers to 24.1 million during the third quarter of 2006 compared to a decline of 44,000 subscribers in the third quarter of 2005. The 10,000 basic video subscriber net additions include a gain of 24,000 basic video subscribers from Historical Comcast Systems, offset by a loss of 14,000 basic video subscribers in systems received in the Adelphia/Time Warner and expected Texas/Kansas City transactions.</w:t>
      </w:r>
    </w:p>
    <w:p>
      <w:pPr>
        <w:spacing w:after="0" w:line="132"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6"/>
          <w:szCs w:val="16"/>
          <w:color w:val="auto"/>
        </w:rPr>
        <w:t>Comcast ended the quarter with 12.1 million or 50% of video subscribers taking digital services, a 1.6 million or 16% increase from one year ago. The number of digital subscribers includes various levels of digital service. As of September 30, 2006, 52% or 6.2 million customers subscribed to Comcast digital cable, 34% or 4.1 million subscribed to digital cable with advanced services (DVR and/or HDTV) and 14% or 1.7 million customers subscribed to enhanced cable.</w:t>
      </w:r>
    </w:p>
    <w:p>
      <w:pPr>
        <w:spacing w:after="0" w:line="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Growth in the number of subscribers receiving the enhanced cable service has increased steadily in 2006 as Comcast incorporates this service into our Triple Play offer. In the third quarter, Comcast added 558,000 digital customers, including 135,000 digital cable and 423,000 enhanced cable subscribers. At the same time, 315,000 digital cable customers subscribed to advanced services either by upgrading their digital service or as new customers. Comcast added more than 1.5 million digital cable customers with advanced services (DVR and/or HDTV) since the third quarter of last year.</w:t>
      </w:r>
    </w:p>
    <w:p>
      <w:pPr>
        <w:spacing w:after="0" w:line="13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Growth in video revenue and digital cable subscribers also reflects increasing consumer demand for new digital features including ON DEMAND, driving a pay-per-view revenue increase of 31% in the third quarter of 2006 from the same time in 2005.</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79"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6"/>
          <w:szCs w:val="16"/>
          <w:i w:val="1"/>
          <w:iCs w:val="1"/>
          <w:color w:val="auto"/>
        </w:rPr>
        <w:t>Added 536,000 high-speed Internet subscribers during the quarter - most quarterly additions in two years</w:t>
      </w:r>
    </w:p>
    <w:p>
      <w:pPr>
        <w:spacing w:after="0" w:line="1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High-Speed Internet revenues increased 22% to $1.4 billion in the third quarter of 2006, reflecting a 1.8 million or 20% increase in subscribers from the prior year and stable average monthly revenue per subscriber. Comcast ended the third quarter of 2006 with 11.0 million high-speed Internet subscribers or 24% penetration of available homes.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Phone</w:t>
      </w:r>
    </w:p>
    <w:p>
      <w:pPr>
        <w:spacing w:after="0" w:line="79"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Added 483,000 Comcast Digital Voice (CDV) customers during the quarter</w:t>
      </w:r>
    </w:p>
    <w:p>
      <w:pPr>
        <w:spacing w:after="0" w:line="90" w:lineRule="exact"/>
        <w:rPr>
          <w:rFonts w:ascii="Times New Roman" w:cs="Times New Roman" w:eastAsia="Times New Roman" w:hAnsi="Times New Roman"/>
          <w:sz w:val="18"/>
          <w:szCs w:val="18"/>
          <w:i w:val="1"/>
          <w:iCs w:val="1"/>
          <w:color w:val="auto"/>
        </w:rPr>
      </w:pPr>
    </w:p>
    <w:p>
      <w:pPr>
        <w:ind w:left="220" w:hanging="212"/>
        <w:spacing w:after="0"/>
        <w:tabs>
          <w:tab w:leader="none" w:pos="2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CDV service now marketed to 31 million homes or 65% of Comcast’s footprint</w:t>
      </w:r>
    </w:p>
    <w:p>
      <w:pPr>
        <w:spacing w:after="0" w:line="17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Phone revenue increased 51% to $252 million reflecting a significant increase in CDV subscriber additions, reduced by a $39 million decline in circuit-switched phone revenues as Comcast continues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6000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on page 4</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69" w:right="239" w:bottom="1440" w:gutter="0" w:footer="0" w:header="0"/>
        </w:sectPr>
      </w:pPr>
    </w:p>
    <w:bookmarkStart w:id="5" w:name="page6"/>
    <w:bookmarkEnd w:id="5"/>
    <w:p>
      <w:pPr>
        <w:jc w:val="both"/>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focus on marketing CDV. Comcast ended the third quarter of 2006 with a total of 2.1 million phone customers. Customer additions in the third quarter of 2006 include 483,000 new CDV customers offset by the loss of 102,000 circuit-switched customers.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Advertising </w:t>
      </w:r>
      <w:r>
        <w:rPr>
          <w:rFonts w:ascii="Times New Roman" w:cs="Times New Roman" w:eastAsia="Times New Roman" w:hAnsi="Times New Roman"/>
          <w:sz w:val="18"/>
          <w:szCs w:val="18"/>
          <w:color w:val="auto"/>
        </w:rPr>
        <w:t>revenue increased 10% to $395 million in the third quarter of 2006 when compared to 2005, reflecting strong growth in political advertising.</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Times New Roman" w:cs="Times New Roman" w:eastAsia="Times New Roman" w:hAnsi="Times New Roman"/>
          <w:sz w:val="18"/>
          <w:szCs w:val="18"/>
          <w:color w:val="auto"/>
        </w:rPr>
        <w:t>of $1.25 billion in the third quarter of 2006 were 25% higher compared to the third quarter of 2005 driven by an 82% increase in RGU</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net additions over the same time period. In the third quarter of 2006, and consistent with historical trends, more than 75% of cable capital expenditures were variable and directly associated with new product offerings and strong consumer demand for our products.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Content Segment Results</w:t>
      </w:r>
      <w:r>
        <w:rPr>
          <w:rFonts w:ascii="Arial" w:cs="Arial" w:eastAsia="Arial" w:hAnsi="Arial"/>
          <w:sz w:val="11"/>
          <w:szCs w:val="11"/>
          <w:b w:val="1"/>
          <w:bCs w:val="1"/>
          <w:color w:val="auto"/>
        </w:rPr>
        <w:t>5</w:t>
      </w:r>
    </w:p>
    <w:p>
      <w:pPr>
        <w:spacing w:after="0" w:line="9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Comcast’s Content segment consists of our national cable networks E! Entertainment Television and Style Network (E! Networks), The Golf Channel, VERSUS (formerly OLN), G4 and AZN Television.</w:t>
      </w:r>
    </w:p>
    <w:p>
      <w:pPr>
        <w:spacing w:after="0" w:line="12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Content segment reported third quarter 2006 revenue of $258 million, a 9% increase from 2005 and Operating Cash Flow of $88 million, a 22% increase from 2005, reflecting increases in network ratings, advertising revenue and distribution revenue.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and Other</w:t>
      </w:r>
      <w:r>
        <w:rPr>
          <w:rFonts w:ascii="Arial" w:cs="Arial" w:eastAsia="Arial" w:hAnsi="Arial"/>
          <w:sz w:val="11"/>
          <w:szCs w:val="11"/>
          <w:b w:val="1"/>
          <w:bCs w:val="1"/>
          <w:color w:val="auto"/>
        </w:rPr>
        <w:t>5</w:t>
      </w:r>
    </w:p>
    <w:p>
      <w:pPr>
        <w:spacing w:after="0" w:line="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Corporate and Other includes Comcast Spectacor, corporate overhead and other operations, and eliminations between Comcast’s businesses. In the third quarter of 2006, Comcast reported Corporate and Other revenue of $16 million and an Operating Cash Flow loss of $104 million, as compared to revenue of $21 million and an Operating Cash Flow loss of $105 million in 2005.</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Results</w:t>
      </w:r>
    </w:p>
    <w:p>
      <w:pPr>
        <w:spacing w:after="0" w:line="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Consolidated results include all acquisitions as of the date of their closing. Comcast acquired Susquehanna Communications in April 2006 and completed the Adelphia/Time Warner transactions in July 2006. As part of the Adelphia/Time Warner transactions Comcast transferred cable systems serving Los Angeles, Dallas and Cleveland to Time Warner (presented as discontinued operations for all periods). Consolidated results, as of September 30, 2006, include our interest in the Texas/Kansas City cable partnership as an equity method investment.</w:t>
      </w:r>
    </w:p>
    <w:p>
      <w:pPr>
        <w:spacing w:after="0" w:line="132"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 xml:space="preserve">Operating Income </w:t>
      </w:r>
      <w:r>
        <w:rPr>
          <w:rFonts w:ascii="Times New Roman" w:cs="Times New Roman" w:eastAsia="Times New Roman" w:hAnsi="Times New Roman"/>
          <w:sz w:val="18"/>
          <w:szCs w:val="18"/>
          <w:color w:val="auto"/>
        </w:rPr>
        <w:t>increased 46% to $1.2 billion in the third quarter of 2006 due to strong results at Comcast Cable, including record-setting RGU additions as</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described above. Similarly, consolidated operating income increased 27% to $3.4 billion for the nine months ended September 30, 2006.</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Net Income </w:t>
      </w:r>
      <w:r>
        <w:rPr>
          <w:rFonts w:ascii="Times New Roman" w:cs="Times New Roman" w:eastAsia="Times New Roman" w:hAnsi="Times New Roman"/>
          <w:sz w:val="18"/>
          <w:szCs w:val="18"/>
          <w:color w:val="auto"/>
        </w:rPr>
        <w:t>increased to $1.2 billion, or $0.58 per share, in the third quarter of 2006, compared to net income of $222 million or $0.10 per share in the third</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quarter of 2005. In addition to strong operating results at Comcast Cable, the current quarter includes an estimated one-time gain, included in investment income, of $694 million (or $435 million net of tax) related to the Adelphia/Time Warner transactions. Also included in this quarter’s results is a one-time gain of $234 million, net of tax, on discontinued operations related to the transfer of cable systems to Time Warner. Excluding these gains and reconciled in Table 7-C, Adjusted Net Income for the third quarter of 2006 would be $548 million or $0.26 per share.</w:t>
      </w:r>
    </w:p>
    <w:p>
      <w:pPr>
        <w:spacing w:after="0" w:line="137"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auto"/>
        </w:rPr>
        <w:t>Net income increased to $2.1 billion, or $1.01 per share, in the nine months ended September 30, 2006 compared to net income of $795 million, or $0.36 per share, in the prior year. Strong operating results at Comcast Cable and the gains described above contributed to the growth in net income on a year-to-date basis. Excluding these gains, and reconciled in Table 7-C, Adjusted Net Income for the nine months ended September 30, 2006 would be $1.5 billion or $0.69 per share.</w:t>
      </w:r>
    </w:p>
    <w:p>
      <w:pPr>
        <w:spacing w:after="0" w:line="9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Times New Roman" w:cs="Times New Roman" w:eastAsia="Times New Roman" w:hAnsi="Times New Roman"/>
          <w:sz w:val="18"/>
          <w:szCs w:val="18"/>
          <w:color w:val="auto"/>
        </w:rPr>
        <w:t>increased to $5.1 billion for the nine months ended September 30, 2006 from $3.9 billion in 2005 due primarily</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to stronger operating results and changes in operating assets and liabilities.</w:t>
      </w:r>
    </w:p>
    <w:p>
      <w:pPr>
        <w:spacing w:after="0" w:line="113" w:lineRule="exact"/>
        <w:rPr>
          <w:sz w:val="20"/>
          <w:szCs w:val="20"/>
          <w:color w:val="auto"/>
        </w:rPr>
      </w:pPr>
    </w:p>
    <w:p>
      <w:pPr>
        <w:jc w:val="both"/>
        <w:spacing w:after="0" w:line="344" w:lineRule="auto"/>
        <w:rPr>
          <w:sz w:val="20"/>
          <w:szCs w:val="20"/>
          <w:color w:val="auto"/>
        </w:rPr>
      </w:pPr>
      <w:r>
        <w:rPr>
          <w:rFonts w:ascii="Arial" w:cs="Arial" w:eastAsia="Arial" w:hAnsi="Arial"/>
          <w:sz w:val="16"/>
          <w:szCs w:val="16"/>
          <w:b w:val="1"/>
          <w:bCs w:val="1"/>
          <w:i w:val="1"/>
          <w:iCs w:val="1"/>
          <w:color w:val="auto"/>
        </w:rPr>
        <w:t xml:space="preserve">Free Cash Flow </w:t>
      </w:r>
      <w:r>
        <w:rPr>
          <w:rFonts w:ascii="Times New Roman" w:cs="Times New Roman" w:eastAsia="Times New Roman" w:hAnsi="Times New Roman"/>
          <w:sz w:val="16"/>
          <w:szCs w:val="16"/>
          <w:color w:val="auto"/>
        </w:rPr>
        <w:t>(described further on Table 4) increased $812 million to $2.2 billion for the nine months ended September 30, 2006 compared to $1.4 billion in</w:t>
      </w:r>
      <w:r>
        <w:rPr>
          <w:rFonts w:ascii="Arial" w:cs="Arial" w:eastAsia="Arial" w:hAnsi="Arial"/>
          <w:sz w:val="16"/>
          <w:szCs w:val="16"/>
          <w:b w:val="1"/>
          <w:bCs w:val="1"/>
          <w:i w:val="1"/>
          <w:iCs w:val="1"/>
          <w:color w:val="auto"/>
        </w:rPr>
        <w:t xml:space="preserve"> </w:t>
      </w:r>
      <w:r>
        <w:rPr>
          <w:rFonts w:ascii="Times New Roman" w:cs="Times New Roman" w:eastAsia="Times New Roman" w:hAnsi="Times New Roman"/>
          <w:sz w:val="16"/>
          <w:szCs w:val="16"/>
          <w:color w:val="auto"/>
        </w:rPr>
        <w:t>2005, due primarily to growth in consolidated Operating Cash Flow and changes in working capital. The conversion rate of Operating Cash Flow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6000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on page 4</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Free Cash Flow increased to 32% for the nine months ended September 30, 2006 from 23% in the same period of 2005.</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 Forma Consolidated Results</w:t>
      </w:r>
      <w:r>
        <w:rPr>
          <w:rFonts w:ascii="Arial" w:cs="Arial" w:eastAsia="Arial" w:hAnsi="Arial"/>
          <w:sz w:val="11"/>
          <w:szCs w:val="11"/>
          <w:b w:val="1"/>
          <w:bCs w:val="1"/>
          <w:color w:val="auto"/>
        </w:rPr>
        <w:t>6</w:t>
      </w:r>
    </w:p>
    <w:p>
      <w:pPr>
        <w:spacing w:after="0" w:line="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Pro forma consolidated results are being presented as if the following were effective on January 1, 2005 (see note 6 for additional details): the acquisition of Susquehanna Communications, the Adelphia/Time Warner transactions and the results of the cable systems serving Houston, TX to be received with the expected dissolution of the Texas/Kansas City cable partnership.</w:t>
      </w:r>
    </w:p>
    <w:p>
      <w:pPr>
        <w:spacing w:after="0" w:line="12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 xml:space="preserve">Revenue </w:t>
      </w:r>
      <w:r>
        <w:rPr>
          <w:rFonts w:ascii="Times New Roman" w:cs="Times New Roman" w:eastAsia="Times New Roman" w:hAnsi="Times New Roman"/>
          <w:sz w:val="18"/>
          <w:szCs w:val="18"/>
          <w:color w:val="auto"/>
        </w:rPr>
        <w:t>increased 12% to $6.9 billion in the third quarter of 2006 while</w:t>
      </w:r>
      <w:r>
        <w:rPr>
          <w:rFonts w:ascii="Arial" w:cs="Arial" w:eastAsia="Arial" w:hAnsi="Arial"/>
          <w:sz w:val="18"/>
          <w:szCs w:val="18"/>
          <w:b w:val="1"/>
          <w:bCs w:val="1"/>
          <w:i w:val="1"/>
          <w:iCs w:val="1"/>
          <w:color w:val="auto"/>
        </w:rPr>
        <w:t xml:space="preserve"> Operating Cash Flow </w:t>
      </w:r>
      <w:r>
        <w:rPr>
          <w:rFonts w:ascii="Times New Roman" w:cs="Times New Roman" w:eastAsia="Times New Roman" w:hAnsi="Times New Roman"/>
          <w:sz w:val="18"/>
          <w:szCs w:val="18"/>
          <w:color w:val="auto"/>
        </w:rPr>
        <w:t>increased 16% to $2.6 billion in the third quarter reflecting</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strong growth in both the cable and content divisions.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 Repurchase Program</w:t>
      </w:r>
    </w:p>
    <w:p>
      <w:pPr>
        <w:spacing w:after="0" w:line="9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Comcast repurchased $493 million or 15 million shares of its Class A Special Common Stock during the third quarter of 2006. On a year-to-date basis, Comcast repurchased $1.9 billion or 64 million shares, reducing the number of shares outstanding by 3%.</w:t>
      </w:r>
    </w:p>
    <w:p>
      <w:pPr>
        <w:spacing w:after="0" w:line="1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Remaining availability under the Company’s stock repurchase program is $3.5 billion. Comcast expects such repurchases to occur from time to time in the open market or in private transactions, subject to market conditions.</w:t>
      </w:r>
    </w:p>
    <w:p>
      <w:pPr>
        <w:spacing w:after="0" w:line="1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Since the inception of the repurchase program in December 2003, the Company has invested $6.9 billion in its common stock and related securities reducing the number of shares outstanding by over 10%. These investments include repurchasing $5.5 billion or 191 million shares of common stock and paying $1.4 billion to redeem several debt issues exchangeable into 47 million shares of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2006 Financial Outlook</w:t>
      </w:r>
    </w:p>
    <w:p>
      <w:pPr>
        <w:spacing w:after="0" w:line="9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Comcast reaffirms all previously issued guidance for 2006 and updates cable guidance to include the Adelphia/Time Warner transactions and the Houston system, as follows:</w:t>
      </w:r>
    </w:p>
    <w:p>
      <w:pPr>
        <w:spacing w:after="0" w:line="39" w:lineRule="exact"/>
        <w:rPr>
          <w:sz w:val="20"/>
          <w:szCs w:val="20"/>
          <w:color w:val="auto"/>
        </w:rPr>
      </w:pPr>
    </w:p>
    <w:p>
      <w:pPr>
        <w:ind w:left="1020" w:right="1240" w:hanging="215"/>
        <w:spacing w:after="0" w:line="275"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revenue growth of 10-11% above 2005 pro forma cable revenue of $23.6 billion which includes a net $2.4 billion related to acquisitions and dispositions;</w:t>
      </w:r>
    </w:p>
    <w:p>
      <w:pPr>
        <w:spacing w:after="0" w:line="38" w:lineRule="exact"/>
        <w:rPr>
          <w:rFonts w:ascii="Times New Roman" w:cs="Times New Roman" w:eastAsia="Times New Roman" w:hAnsi="Times New Roman"/>
          <w:sz w:val="18"/>
          <w:szCs w:val="18"/>
          <w:color w:val="auto"/>
        </w:rPr>
      </w:pPr>
    </w:p>
    <w:p>
      <w:pPr>
        <w:ind w:left="1020" w:right="1240" w:hanging="215"/>
        <w:spacing w:after="0" w:line="275"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Operating Cash Flow growth of at least 13% above 2005 pro forma cable operating cash flow of $9.1 billion which includes a net $800 million related to acquisitions and dispositions;</w:t>
      </w:r>
    </w:p>
    <w:p>
      <w:pPr>
        <w:spacing w:after="0" w:line="38" w:lineRule="exact"/>
        <w:rPr>
          <w:rFonts w:ascii="Times New Roman" w:cs="Times New Roman" w:eastAsia="Times New Roman" w:hAnsi="Times New Roman"/>
          <w:sz w:val="18"/>
          <w:szCs w:val="18"/>
          <w:color w:val="auto"/>
        </w:rPr>
      </w:pPr>
    </w:p>
    <w:p>
      <w:pPr>
        <w:ind w:left="1020" w:hanging="215"/>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RGU net additions approximately 60% above 2005 pro forma RGUs of 3 million net additions;</w:t>
      </w:r>
    </w:p>
    <w:p>
      <w:pPr>
        <w:spacing w:after="0" w:line="90" w:lineRule="exact"/>
        <w:rPr>
          <w:rFonts w:ascii="Times New Roman" w:cs="Times New Roman" w:eastAsia="Times New Roman" w:hAnsi="Times New Roman"/>
          <w:sz w:val="18"/>
          <w:szCs w:val="18"/>
          <w:color w:val="auto"/>
        </w:rPr>
      </w:pPr>
    </w:p>
    <w:p>
      <w:pPr>
        <w:ind w:left="1020" w:right="1260" w:hanging="215"/>
        <w:spacing w:after="0" w:line="275"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capital expenditures of approximately $4.5 billion supporting RGU growth in 2006 and including capital expenditures for the Adelphia/Time Warner transactions and the Houston systems of approximately $500 million.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w:t>
      </w:r>
    </w:p>
    <w:p>
      <w:pPr>
        <w:spacing w:after="0" w:line="21" w:lineRule="exact"/>
        <w:rPr>
          <w:sz w:val="20"/>
          <w:szCs w:val="20"/>
          <w:color w:val="auto"/>
        </w:rPr>
      </w:pPr>
    </w:p>
    <w:p>
      <w:pPr>
        <w:ind w:left="460" w:right="20" w:hanging="452"/>
        <w:spacing w:after="0" w:line="227" w:lineRule="auto"/>
        <w:tabs>
          <w:tab w:leader="none" w:pos="46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Operating Cash Flow percentage growth is adjusted as if stock options had been expensed in 2005. Operating income and earnings per share percentage growth are unadjusted. See Tables 7-A and 7-B for reconciliation of “as adjusted” financial data.</w:t>
      </w:r>
    </w:p>
    <w:p>
      <w:pPr>
        <w:spacing w:after="0" w:line="69" w:lineRule="exact"/>
        <w:rPr>
          <w:sz w:val="20"/>
          <w:szCs w:val="20"/>
          <w:color w:val="auto"/>
        </w:rPr>
      </w:pPr>
    </w:p>
    <w:p>
      <w:pPr>
        <w:jc w:val="both"/>
        <w:ind w:left="460" w:hanging="452"/>
        <w:spacing w:after="0" w:line="246" w:lineRule="auto"/>
        <w:tabs>
          <w:tab w:leader="none" w:pos="46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Cable results are presented on a pro forma, as adjusted, basis. Pro forma results adjust only for certain acquisitions and dispositions, including Susquehanna Communications (April 2006), the Adelphia/Time Warner transactions (July 2006) and the expected dissolution of the Texas/Kansas City cable partnership. Comcast will receive, subject to certain approvals, the cable systems serving Houston, TX with the dissolution of the Texas/Kansas City cable partnership. Effective August 1, 2006, our economic interest in the Texas/Kansas City cable partnership tracks solely the performance of the Houston, TX cable systems. Accordingly, we included the systems’ results in Cable pro forma data. Cable results are presented as if the transactions noted above were effective on January 1, 2005. The net impact of these transactions was to increase the number of basic cable subscribers by 2.6 million. These “As Adjusted” results are presented as if stock options had been expensed in 2005. Please refer to Tables 7-A and 7-B for a reconciliation of pro forma, “As Adjusted” financial data.</w:t>
      </w:r>
    </w:p>
    <w:p>
      <w:pPr>
        <w:spacing w:after="0" w:line="65" w:lineRule="exact"/>
        <w:rPr>
          <w:sz w:val="20"/>
          <w:szCs w:val="20"/>
          <w:color w:val="auto"/>
        </w:rPr>
      </w:pPr>
    </w:p>
    <w:p>
      <w:pPr>
        <w:ind w:left="460" w:hanging="452"/>
        <w:spacing w:after="0" w:line="231" w:lineRule="auto"/>
        <w:tabs>
          <w:tab w:leader="none" w:pos="46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Represents the sum of basic and digital video, high-speed Internet and net phone subscribers, excluding additional outlets. Subscriptions to DVR and/or HDTV services by existing Comcast Digital customers do not result in additional RGUs.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7" w:name="page8"/>
    <w:bookmarkEnd w:id="7"/>
    <w:p>
      <w:pPr>
        <w:ind w:left="460" w:right="20" w:hanging="452"/>
        <w:spacing w:after="0" w:line="231" w:lineRule="auto"/>
        <w:tabs>
          <w:tab w:leader="none" w:pos="46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Historical Cable Systems include those systems owned by Comcast prior to the Adelphia/Time Warner transactions and the expected dissolution of the Texas/Kansas City cable partnership.</w:t>
      </w:r>
    </w:p>
    <w:p>
      <w:pPr>
        <w:sectPr>
          <w:pgSz w:w="11900" w:h="16838" w:orient="portrait"/>
          <w:cols w:equalWidth="0" w:num="1">
            <w:col w:w="11420"/>
          </w:cols>
          <w:pgMar w:left="240" w:top="274" w:right="239" w:bottom="1440" w:gutter="0" w:footer="0" w:header="0"/>
        </w:sectPr>
      </w:pP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6</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Cash Flow adjusted as if stock options had been expensed in 2005.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 forma consolidated results are presented on a pro forma, as adjusted, basis as described in note 2.</w:t>
      </w:r>
    </w:p>
    <w:p>
      <w:pPr>
        <w:spacing w:after="0" w:line="11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w:t>
      </w:r>
    </w:p>
    <w:p>
      <w:pPr>
        <w:spacing w:after="0" w:line="149" w:lineRule="exact"/>
        <w:rPr>
          <w:sz w:val="20"/>
          <w:szCs w:val="20"/>
          <w:color w:val="auto"/>
        </w:rPr>
      </w:pPr>
    </w:p>
    <w:p>
      <w:pPr>
        <w:sectPr>
          <w:pgSz w:w="11900" w:h="16838" w:orient="portrait"/>
          <w:cols w:equalWidth="0" w:num="2">
            <w:col w:w="60" w:space="400"/>
            <w:col w:w="10960"/>
          </w:cols>
          <w:pgMar w:left="240" w:top="274" w:right="239" w:bottom="1440" w:gutter="0" w:footer="0" w:header="0"/>
          <w:type w:val="continuous"/>
        </w:sectPr>
      </w:pPr>
    </w:p>
    <w:p>
      <w:pPr>
        <w:spacing w:after="0"/>
        <w:rPr>
          <w:sz w:val="20"/>
          <w:szCs w:val="20"/>
          <w:color w:val="auto"/>
        </w:rPr>
      </w:pPr>
      <w:r>
        <w:rPr>
          <w:rFonts w:ascii="Arial" w:cs="Arial" w:eastAsia="Arial" w:hAnsi="Arial"/>
          <w:sz w:val="22"/>
          <w:szCs w:val="22"/>
          <w:b w:val="1"/>
          <w:bCs w:val="1"/>
          <w:color w:val="auto"/>
        </w:rPr>
        <w:t>Conference Call Information</w:t>
      </w:r>
    </w:p>
    <w:p>
      <w:pPr>
        <w:spacing w:after="0" w:line="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Comcast Corporation will host a conference call with the financial community today October 26, 2006 at 8:30 a.m. Eastern Time (ET). The conference call will be broadcast live on the Company’s Investor Relations website at www.cmcsa.com or www.cmcsk.com. A recording of the call will be available on the Investor Relations website starting at 12:30 p.m. ET on Thursday, October 26, 2006. To participate via telephone, please dial (800) 263-8495 with the conference ID number 7359179. A telephone replay will begin immediately following the call and will be available until Friday, October 27, 2006 at midnight Eastern Time (ET). To access the rebroadcast, please dial (800) 642-1687 and enter passcode number 7359179. To automatically receive Comcast financial news by email, please visit www.cmcsa.com or www.cmcsk.com and subscribe to email alerts.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pacing w:after="0" w:line="1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this discussion we sometimes refer to financial measures that are not presented according to generally accepted accounting principles (GAAP). Certain of these measures are considered “non-GAAP financial measures” under the SEC regulations; those rules require the supplemental explanation and reconciliation provided in Table 7 of this release. All percentages are calculated based on actual amounts. Minor differences may exist due to rounding.</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w:t>
      </w:r>
    </w:p>
    <w:p>
      <w:pPr>
        <w:spacing w:after="0" w:line="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Comcast Corporation (NASDAQ: CMCSA, CMCSK) (http://www.comcast.com) is the nation’s leading provider of cable, entertainment and communications products and services. With 24.1 million cable customers, 11.0 million high-speed Internet customers, and 2.1 million voice customers, Comcast is principally involved in the development, management and operation of broadband cable networks and in the delivery of programming content.</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Comcast’s content networks and investments include E! Entertainment Television, Style Network, The Golf Channel, VERSUS (formerly OLN), G4, AZN Television, PBS KIDS Sprout, TV One and four regional Comcast SportsNets. Comcast also has a majority ownership in Comcast-Spectacor, whose major holdings include the Philadelphia Flyers NHL hockey team, the Philadelphia 76ers NBA basketball team and two large multipurpose arenas in Philadelphia.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1</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Operations</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760" w:type="dxa"/>
            <w:vAlign w:val="bottom"/>
            <w:gridSpan w:val="4"/>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400" w:type="dxa"/>
            <w:vAlign w:val="bottom"/>
            <w:gridSpan w:val="3"/>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0" w:type="dxa"/>
            <w:vAlign w:val="bottom"/>
          </w:tcPr>
          <w:p>
            <w:pPr>
              <w:spacing w:after="0"/>
              <w:rPr>
                <w:sz w:val="1"/>
                <w:szCs w:val="1"/>
                <w:color w:val="auto"/>
              </w:rPr>
            </w:pPr>
          </w:p>
        </w:tc>
      </w:tr>
      <w:tr>
        <w:trPr>
          <w:trHeight w:val="165"/>
        </w:trPr>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millions, except per share data)</w:t>
            </w:r>
          </w:p>
        </w:tc>
        <w:tc>
          <w:tcPr>
            <w:tcW w:w="3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920" w:type="dxa"/>
            <w:vAlign w:val="bottom"/>
            <w:gridSpan w:val="2"/>
            <w:vMerge w:val="continue"/>
          </w:tcPr>
          <w:p>
            <w:pPr>
              <w:spacing w:after="0"/>
              <w:rPr>
                <w:sz w:val="12"/>
                <w:szCs w:val="12"/>
                <w:color w:val="auto"/>
              </w:rPr>
            </w:pPr>
          </w:p>
        </w:tc>
        <w:tc>
          <w:tcPr>
            <w:tcW w:w="3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2006</w:t>
            </w:r>
          </w:p>
        </w:tc>
        <w:tc>
          <w:tcPr>
            <w:tcW w:w="220" w:type="dxa"/>
            <w:vAlign w:val="bottom"/>
          </w:tcPr>
          <w:p>
            <w:pPr>
              <w:spacing w:after="0"/>
              <w:rPr>
                <w:sz w:val="12"/>
                <w:szCs w:val="12"/>
                <w:color w:val="auto"/>
              </w:rPr>
            </w:pPr>
          </w:p>
        </w:tc>
        <w:tc>
          <w:tcPr>
            <w:tcW w:w="62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2005</w:t>
            </w:r>
          </w:p>
        </w:tc>
        <w:tc>
          <w:tcPr>
            <w:tcW w:w="200" w:type="dxa"/>
            <w:vAlign w:val="bottom"/>
          </w:tcPr>
          <w:p>
            <w:pPr>
              <w:spacing w:after="0"/>
              <w:rPr>
                <w:sz w:val="12"/>
                <w:szCs w:val="12"/>
                <w:color w:val="auto"/>
              </w:rPr>
            </w:pPr>
          </w:p>
        </w:tc>
        <w:tc>
          <w:tcPr>
            <w:tcW w:w="64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200" w:type="dxa"/>
            <w:vAlign w:val="bottom"/>
          </w:tcPr>
          <w:p>
            <w:pPr>
              <w:spacing w:after="0"/>
              <w:rPr>
                <w:sz w:val="12"/>
                <w:szCs w:val="12"/>
                <w:color w:val="auto"/>
              </w:rPr>
            </w:pPr>
          </w:p>
        </w:tc>
        <w:tc>
          <w:tcPr>
            <w:tcW w:w="56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Revenues</w:t>
            </w:r>
          </w:p>
        </w:tc>
        <w:tc>
          <w:tcPr>
            <w:tcW w:w="3460" w:type="dxa"/>
            <w:vAlign w:val="bottom"/>
            <w:tcBorders>
              <w:top w:val="single" w:sz="8" w:color="auto"/>
            </w:tcBorders>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tcBorders>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6,432</w:t>
            </w:r>
          </w:p>
        </w:tc>
        <w:tc>
          <w:tcPr>
            <w:tcW w:w="22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E5E5E5"/>
          </w:tcPr>
          <w:p>
            <w:pPr>
              <w:jc w:val="right"/>
              <w:ind w:right="73"/>
              <w:spacing w:after="0"/>
              <w:rPr>
                <w:sz w:val="20"/>
                <w:szCs w:val="20"/>
                <w:color w:val="auto"/>
              </w:rPr>
            </w:pPr>
            <w:r>
              <w:rPr>
                <w:rFonts w:ascii="Times New Roman" w:cs="Times New Roman" w:eastAsia="Times New Roman" w:hAnsi="Times New Roman"/>
                <w:sz w:val="18"/>
                <w:szCs w:val="18"/>
                <w:color w:val="auto"/>
              </w:rPr>
              <w:t>5,284</w:t>
            </w:r>
          </w:p>
        </w:tc>
        <w:tc>
          <w:tcPr>
            <w:tcW w:w="20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tcBorders>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w w:val="92"/>
              </w:rPr>
              <w:t>17,935</w:t>
            </w:r>
          </w:p>
        </w:tc>
        <w:tc>
          <w:tcPr>
            <w:tcW w:w="20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w w:val="96"/>
              </w:rPr>
              <w:t>15,659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expenses</w:t>
            </w:r>
          </w:p>
        </w:tc>
        <w:tc>
          <w:tcPr>
            <w:tcW w:w="3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2,300</w:t>
            </w:r>
          </w:p>
        </w:tc>
        <w:tc>
          <w:tcPr>
            <w:tcW w:w="220" w:type="dxa"/>
            <w:vAlign w:val="bottom"/>
          </w:tcPr>
          <w:p>
            <w:pPr>
              <w:spacing w:after="0"/>
              <w:rPr>
                <w:sz w:val="18"/>
                <w:szCs w:val="18"/>
                <w:color w:val="auto"/>
              </w:rPr>
            </w:pPr>
          </w:p>
        </w:tc>
        <w:tc>
          <w:tcPr>
            <w:tcW w:w="6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1,894</w:t>
            </w:r>
          </w:p>
        </w:tc>
        <w:tc>
          <w:tcPr>
            <w:tcW w:w="200" w:type="dxa"/>
            <w:vAlign w:val="bottom"/>
          </w:tcPr>
          <w:p>
            <w:pPr>
              <w:spacing w:after="0"/>
              <w:rPr>
                <w:sz w:val="18"/>
                <w:szCs w:val="18"/>
                <w:color w:val="auto"/>
              </w:rPr>
            </w:pP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6,559</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bottom w:val="single" w:sz="8" w:color="E5E5E5"/>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140" w:type="dxa"/>
            <w:vAlign w:val="bottom"/>
            <w:tcBorders>
              <w:bottom w:val="single" w:sz="8" w:color="E5E5E5"/>
            </w:tcBorders>
            <w:shd w:val="clear" w:color="auto" w:fill="E5E5E5"/>
          </w:tcPr>
          <w:p>
            <w:pPr>
              <w:spacing w:after="0"/>
              <w:rPr>
                <w:sz w:val="18"/>
                <w:szCs w:val="18"/>
                <w:color w:val="auto"/>
              </w:rPr>
            </w:pP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1,695</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73"/>
              <w:spacing w:after="0"/>
              <w:rPr>
                <w:sz w:val="20"/>
                <w:szCs w:val="20"/>
                <w:color w:val="auto"/>
              </w:rPr>
            </w:pPr>
            <w:r>
              <w:rPr>
                <w:rFonts w:ascii="Times New Roman" w:cs="Times New Roman" w:eastAsia="Times New Roman" w:hAnsi="Times New Roman"/>
                <w:sz w:val="18"/>
                <w:szCs w:val="18"/>
                <w:color w:val="auto"/>
              </w:rPr>
              <w:t>1,394</w:t>
            </w:r>
          </w:p>
        </w:tc>
        <w:tc>
          <w:tcPr>
            <w:tcW w:w="2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4,528</w:t>
            </w:r>
          </w:p>
        </w:tc>
        <w:tc>
          <w:tcPr>
            <w:tcW w:w="2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3,995</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3,288</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w w:val="92"/>
              </w:rPr>
              <w:t>11,087</w:t>
            </w: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cash flow</w:t>
            </w:r>
          </w:p>
        </w:tc>
        <w:tc>
          <w:tcPr>
            <w:tcW w:w="31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2,437</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73"/>
              <w:spacing w:after="0"/>
              <w:rPr>
                <w:sz w:val="20"/>
                <w:szCs w:val="20"/>
                <w:color w:val="auto"/>
              </w:rPr>
            </w:pPr>
            <w:r>
              <w:rPr>
                <w:rFonts w:ascii="Times New Roman" w:cs="Times New Roman" w:eastAsia="Times New Roman" w:hAnsi="Times New Roman"/>
                <w:sz w:val="18"/>
                <w:szCs w:val="18"/>
                <w:color w:val="auto"/>
              </w:rPr>
              <w:t>1,996</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6,848</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6,032</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3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963</w:t>
            </w:r>
          </w:p>
        </w:tc>
        <w:tc>
          <w:tcPr>
            <w:tcW w:w="220" w:type="dxa"/>
            <w:vAlign w:val="bottom"/>
          </w:tcPr>
          <w:p>
            <w:pPr>
              <w:spacing w:after="0"/>
              <w:rPr>
                <w:sz w:val="24"/>
                <w:szCs w:val="24"/>
                <w:color w:val="auto"/>
              </w:rPr>
            </w:pPr>
          </w:p>
        </w:tc>
        <w:tc>
          <w:tcPr>
            <w:tcW w:w="6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863</w:t>
            </w:r>
          </w:p>
        </w:tc>
        <w:tc>
          <w:tcPr>
            <w:tcW w:w="200" w:type="dxa"/>
            <w:vAlign w:val="bottom"/>
          </w:tcPr>
          <w:p>
            <w:pPr>
              <w:spacing w:after="0"/>
              <w:rPr>
                <w:sz w:val="24"/>
                <w:szCs w:val="24"/>
                <w:color w:val="auto"/>
              </w:rPr>
            </w:pP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2,748</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tcBorders>
              <w:bottom w:val="single" w:sz="8" w:color="E5E5E5"/>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Amortization expense</w:t>
            </w:r>
          </w:p>
        </w:tc>
        <w:tc>
          <w:tcPr>
            <w:tcW w:w="3140" w:type="dxa"/>
            <w:vAlign w:val="bottom"/>
            <w:tcBorders>
              <w:bottom w:val="single" w:sz="8" w:color="E5E5E5"/>
            </w:tcBorders>
            <w:shd w:val="clear" w:color="auto" w:fill="E5E5E5"/>
          </w:tcPr>
          <w:p>
            <w:pPr>
              <w:spacing w:after="0"/>
              <w:rPr>
                <w:sz w:val="18"/>
                <w:szCs w:val="18"/>
                <w:color w:val="auto"/>
              </w:rPr>
            </w:pP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250</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73"/>
              <w:spacing w:after="0"/>
              <w:rPr>
                <w:sz w:val="20"/>
                <w:szCs w:val="20"/>
                <w:color w:val="auto"/>
              </w:rPr>
            </w:pPr>
            <w:r>
              <w:rPr>
                <w:rFonts w:ascii="Times New Roman" w:cs="Times New Roman" w:eastAsia="Times New Roman" w:hAnsi="Times New Roman"/>
                <w:sz w:val="18"/>
                <w:szCs w:val="18"/>
                <w:color w:val="auto"/>
              </w:rPr>
              <w:t>292</w:t>
            </w:r>
          </w:p>
        </w:tc>
        <w:tc>
          <w:tcPr>
            <w:tcW w:w="2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699</w:t>
            </w:r>
          </w:p>
        </w:tc>
        <w:tc>
          <w:tcPr>
            <w:tcW w:w="2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1,213</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1,155</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3,447</w:t>
            </w: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1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1,224</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73"/>
              <w:spacing w:after="0"/>
              <w:rPr>
                <w:sz w:val="20"/>
                <w:szCs w:val="20"/>
                <w:color w:val="auto"/>
              </w:rPr>
            </w:pPr>
            <w:r>
              <w:rPr>
                <w:rFonts w:ascii="Times New Roman" w:cs="Times New Roman" w:eastAsia="Times New Roman" w:hAnsi="Times New Roman"/>
                <w:sz w:val="18"/>
                <w:szCs w:val="18"/>
                <w:color w:val="auto"/>
              </w:rPr>
              <w:t>841</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3,401</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0" w:type="dxa"/>
            <w:vAlign w:val="bottom"/>
          </w:tcPr>
          <w:p>
            <w:pPr>
              <w:spacing w:after="0"/>
              <w:rPr>
                <w:sz w:val="1"/>
                <w:szCs w:val="1"/>
                <w:color w:val="auto"/>
              </w:rPr>
            </w:pPr>
          </w:p>
        </w:tc>
      </w:tr>
      <w:tr>
        <w:trPr>
          <w:trHeight w:val="323"/>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1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(530)</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3"/>
              <w:spacing w:after="0"/>
              <w:rPr>
                <w:sz w:val="20"/>
                <w:szCs w:val="20"/>
                <w:color w:val="auto"/>
              </w:rPr>
            </w:pPr>
            <w:r>
              <w:rPr>
                <w:rFonts w:ascii="Times New Roman" w:cs="Times New Roman" w:eastAsia="Times New Roman" w:hAnsi="Times New Roman"/>
                <w:sz w:val="18"/>
                <w:szCs w:val="18"/>
                <w:color w:val="auto"/>
              </w:rPr>
              <w:t>(422)</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w w:val="98"/>
              </w:rPr>
              <w:t>(1,502)</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income (loss), net</w:t>
            </w:r>
          </w:p>
        </w:tc>
        <w:tc>
          <w:tcPr>
            <w:tcW w:w="3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857</w:t>
            </w:r>
          </w:p>
        </w:tc>
        <w:tc>
          <w:tcPr>
            <w:tcW w:w="22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18"/>
                <w:szCs w:val="18"/>
                <w:color w:val="auto"/>
              </w:rPr>
            </w:pP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935</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Equity in net (losses) income of affiliates</w:t>
            </w:r>
          </w:p>
        </w:tc>
        <w:tc>
          <w:tcPr>
            <w:tcW w:w="31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(65)</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3"/>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(86)</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w:t>
            </w:r>
          </w:p>
        </w:tc>
        <w:tc>
          <w:tcPr>
            <w:tcW w:w="3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96</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194</w:t>
            </w: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bottom w:val="single" w:sz="8" w:color="E5E5E5"/>
            </w:tcBorders>
            <w:shd w:val="clear" w:color="auto" w:fill="E5E5E5"/>
          </w:tcPr>
          <w:p>
            <w:pPr>
              <w:spacing w:after="0"/>
              <w:rPr>
                <w:sz w:val="18"/>
                <w:szCs w:val="18"/>
                <w:color w:val="auto"/>
              </w:rPr>
            </w:pPr>
          </w:p>
        </w:tc>
        <w:tc>
          <w:tcPr>
            <w:tcW w:w="3140" w:type="dxa"/>
            <w:vAlign w:val="bottom"/>
            <w:tcBorders>
              <w:bottom w:val="single" w:sz="8" w:color="E5E5E5"/>
            </w:tcBorders>
            <w:shd w:val="clear" w:color="auto" w:fill="E5E5E5"/>
          </w:tcPr>
          <w:p>
            <w:pPr>
              <w:spacing w:after="0"/>
              <w:rPr>
                <w:sz w:val="18"/>
                <w:szCs w:val="18"/>
                <w:color w:val="auto"/>
              </w:rPr>
            </w:pP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358</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33"/>
              <w:spacing w:after="0"/>
              <w:rPr>
                <w:sz w:val="20"/>
                <w:szCs w:val="20"/>
                <w:color w:val="auto"/>
              </w:rPr>
            </w:pPr>
            <w:r>
              <w:rPr>
                <w:rFonts w:ascii="Times New Roman" w:cs="Times New Roman" w:eastAsia="Times New Roman" w:hAnsi="Times New Roman"/>
                <w:sz w:val="18"/>
                <w:szCs w:val="18"/>
                <w:color w:val="auto"/>
              </w:rPr>
              <w:t>(525)</w:t>
            </w:r>
          </w:p>
        </w:tc>
        <w:tc>
          <w:tcPr>
            <w:tcW w:w="2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(459)</w:t>
            </w:r>
          </w:p>
        </w:tc>
        <w:tc>
          <w:tcPr>
            <w:tcW w:w="2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 and minority interest</w:t>
            </w:r>
          </w:p>
        </w:tc>
        <w:tc>
          <w:tcPr>
            <w:tcW w:w="3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1,582</w:t>
            </w:r>
          </w:p>
        </w:tc>
        <w:tc>
          <w:tcPr>
            <w:tcW w:w="220" w:type="dxa"/>
            <w:vAlign w:val="bottom"/>
          </w:tcPr>
          <w:p>
            <w:pPr>
              <w:spacing w:after="0"/>
              <w:rPr>
                <w:sz w:val="18"/>
                <w:szCs w:val="18"/>
                <w:color w:val="auto"/>
              </w:rPr>
            </w:pPr>
          </w:p>
        </w:tc>
        <w:tc>
          <w:tcPr>
            <w:tcW w:w="6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316</w:t>
            </w:r>
          </w:p>
        </w:tc>
        <w:tc>
          <w:tcPr>
            <w:tcW w:w="200" w:type="dxa"/>
            <w:vAlign w:val="bottom"/>
          </w:tcPr>
          <w:p>
            <w:pPr>
              <w:spacing w:after="0"/>
              <w:rPr>
                <w:sz w:val="18"/>
                <w:szCs w:val="18"/>
                <w:color w:val="auto"/>
              </w:rPr>
            </w:pP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2,942</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140" w:type="dxa"/>
            <w:vAlign w:val="bottom"/>
            <w:tcBorders>
              <w:bottom w:val="single" w:sz="8" w:color="E5E5E5"/>
            </w:tcBorders>
            <w:shd w:val="clear" w:color="auto" w:fill="E5E5E5"/>
          </w:tcPr>
          <w:p>
            <w:pPr>
              <w:spacing w:after="0"/>
              <w:rPr>
                <w:sz w:val="18"/>
                <w:szCs w:val="18"/>
                <w:color w:val="auto"/>
              </w:rPr>
            </w:pP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(610)</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33"/>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w w:val="98"/>
              </w:rPr>
              <w:t>(1,126)</w:t>
            </w:r>
          </w:p>
        </w:tc>
        <w:tc>
          <w:tcPr>
            <w:tcW w:w="2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minority interest</w:t>
            </w:r>
          </w:p>
        </w:tc>
        <w:tc>
          <w:tcPr>
            <w:tcW w:w="3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972</w:t>
            </w:r>
          </w:p>
        </w:tc>
        <w:tc>
          <w:tcPr>
            <w:tcW w:w="220" w:type="dxa"/>
            <w:vAlign w:val="bottom"/>
          </w:tcPr>
          <w:p>
            <w:pPr>
              <w:spacing w:after="0"/>
              <w:rPr>
                <w:sz w:val="18"/>
                <w:szCs w:val="18"/>
                <w:color w:val="auto"/>
              </w:rPr>
            </w:pPr>
          </w:p>
        </w:tc>
        <w:tc>
          <w:tcPr>
            <w:tcW w:w="6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187</w:t>
            </w:r>
          </w:p>
        </w:tc>
        <w:tc>
          <w:tcPr>
            <w:tcW w:w="200" w:type="dxa"/>
            <w:vAlign w:val="bottom"/>
          </w:tcPr>
          <w:p>
            <w:pPr>
              <w:spacing w:after="0"/>
              <w:rPr>
                <w:sz w:val="18"/>
                <w:szCs w:val="18"/>
                <w:color w:val="auto"/>
              </w:rPr>
            </w:pP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1,816</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3140" w:type="dxa"/>
            <w:vAlign w:val="bottom"/>
            <w:tcBorders>
              <w:bottom w:val="single" w:sz="8" w:color="E5E5E5"/>
            </w:tcBorders>
            <w:shd w:val="clear" w:color="auto" w:fill="E5E5E5"/>
          </w:tcPr>
          <w:p>
            <w:pPr>
              <w:spacing w:after="0"/>
              <w:rPr>
                <w:sz w:val="18"/>
                <w:szCs w:val="18"/>
                <w:color w:val="auto"/>
              </w:rPr>
            </w:pP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73"/>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(10)</w:t>
            </w:r>
          </w:p>
        </w:tc>
        <w:tc>
          <w:tcPr>
            <w:tcW w:w="2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969</w:t>
            </w:r>
          </w:p>
        </w:tc>
        <w:tc>
          <w:tcPr>
            <w:tcW w:w="220" w:type="dxa"/>
            <w:vAlign w:val="bottom"/>
          </w:tcPr>
          <w:p>
            <w:pPr>
              <w:spacing w:after="0"/>
              <w:rPr>
                <w:sz w:val="18"/>
                <w:szCs w:val="18"/>
                <w:color w:val="auto"/>
              </w:rPr>
            </w:pPr>
          </w:p>
        </w:tc>
        <w:tc>
          <w:tcPr>
            <w:tcW w:w="6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tcPr>
          <w:p>
            <w:pPr>
              <w:spacing w:after="0"/>
              <w:rPr>
                <w:sz w:val="18"/>
                <w:szCs w:val="18"/>
                <w:color w:val="auto"/>
              </w:rPr>
            </w:pP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1,806</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31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14</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73"/>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103</w:t>
            </w:r>
          </w:p>
        </w:tc>
        <w:tc>
          <w:tcPr>
            <w:tcW w:w="20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323"/>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discontinued operations, net of tax</w:t>
            </w:r>
          </w:p>
        </w:tc>
        <w:tc>
          <w:tcPr>
            <w:tcW w:w="3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234</w:t>
            </w: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234</w:t>
            </w: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6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1,217</w:t>
            </w:r>
          </w:p>
        </w:tc>
        <w:tc>
          <w:tcPr>
            <w:tcW w:w="2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E5E5E5"/>
          </w:tcPr>
          <w:p>
            <w:pPr>
              <w:jc w:val="right"/>
              <w:ind w:right="73"/>
              <w:spacing w:after="0"/>
              <w:rPr>
                <w:sz w:val="20"/>
                <w:szCs w:val="20"/>
                <w:color w:val="auto"/>
              </w:rPr>
            </w:pPr>
            <w:r>
              <w:rPr>
                <w:rFonts w:ascii="Times New Roman" w:cs="Times New Roman" w:eastAsia="Times New Roman" w:hAnsi="Times New Roman"/>
                <w:sz w:val="18"/>
                <w:szCs w:val="18"/>
                <w:color w:val="auto"/>
              </w:rPr>
              <w:t>222</w:t>
            </w:r>
          </w:p>
        </w:tc>
        <w:tc>
          <w:tcPr>
            <w:tcW w:w="2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2,143</w:t>
            </w:r>
          </w:p>
        </w:tc>
        <w:tc>
          <w:tcPr>
            <w:tcW w:w="2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00" w:type="dxa"/>
            <w:vAlign w:val="bottom"/>
            <w:tcBorders>
              <w:top w:val="single" w:sz="8" w:color="E5E5E5"/>
            </w:tcBorders>
          </w:tcPr>
          <w:p>
            <w:pPr>
              <w:spacing w:after="0"/>
              <w:rPr>
                <w:sz w:val="20"/>
                <w:szCs w:val="20"/>
                <w:color w:val="auto"/>
              </w:rPr>
            </w:pPr>
            <w:r>
              <w:rPr>
                <w:rFonts w:ascii="Times New Roman" w:cs="Times New Roman" w:eastAsia="Times New Roman" w:hAnsi="Times New Roman"/>
                <w:sz w:val="18"/>
                <w:szCs w:val="18"/>
                <w:color w:val="auto"/>
              </w:rPr>
              <w:t>Basic and diluted earnings per common share</w:t>
            </w:r>
          </w:p>
        </w:tc>
        <w:tc>
          <w:tcPr>
            <w:tcW w:w="3140" w:type="dxa"/>
            <w:vAlign w:val="bottom"/>
            <w:tcBorders>
              <w:top w:val="single" w:sz="8" w:color="E5E5E5"/>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Income from continuing operations per common share</w:t>
            </w:r>
          </w:p>
        </w:tc>
        <w:tc>
          <w:tcPr>
            <w:tcW w:w="3460" w:type="dxa"/>
            <w:vAlign w:val="bottom"/>
            <w:gridSpan w:val="2"/>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0.46</w:t>
            </w:r>
          </w:p>
        </w:tc>
        <w:tc>
          <w:tcPr>
            <w:tcW w:w="2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E5E5E5"/>
          </w:tcPr>
          <w:p>
            <w:pPr>
              <w:jc w:val="right"/>
              <w:ind w:right="73"/>
              <w:spacing w:after="0"/>
              <w:rPr>
                <w:sz w:val="20"/>
                <w:szCs w:val="20"/>
                <w:color w:val="auto"/>
              </w:rPr>
            </w:pPr>
            <w:r>
              <w:rPr>
                <w:rFonts w:ascii="Times New Roman" w:cs="Times New Roman" w:eastAsia="Times New Roman" w:hAnsi="Times New Roman"/>
                <w:sz w:val="18"/>
                <w:szCs w:val="18"/>
                <w:color w:val="auto"/>
              </w:rPr>
              <w:t>0.09</w:t>
            </w:r>
          </w:p>
        </w:tc>
        <w:tc>
          <w:tcPr>
            <w:tcW w:w="2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0.85</w:t>
            </w:r>
          </w:p>
        </w:tc>
        <w:tc>
          <w:tcPr>
            <w:tcW w:w="2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discontinued operations per common share</w:t>
            </w:r>
          </w:p>
        </w:tc>
        <w:tc>
          <w:tcPr>
            <w:tcW w:w="3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0.01</w:t>
            </w:r>
          </w:p>
        </w:tc>
        <w:tc>
          <w:tcPr>
            <w:tcW w:w="220" w:type="dxa"/>
            <w:vAlign w:val="bottom"/>
          </w:tcPr>
          <w:p>
            <w:pPr>
              <w:spacing w:after="0"/>
              <w:rPr>
                <w:sz w:val="18"/>
                <w:szCs w:val="18"/>
                <w:color w:val="auto"/>
              </w:rPr>
            </w:pPr>
          </w:p>
        </w:tc>
        <w:tc>
          <w:tcPr>
            <w:tcW w:w="6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Pr>
          <w:p>
            <w:pPr>
              <w:spacing w:after="0"/>
              <w:rPr>
                <w:sz w:val="18"/>
                <w:szCs w:val="18"/>
                <w:color w:val="auto"/>
              </w:rPr>
            </w:pP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0.05</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bottom w:val="single" w:sz="8" w:color="E5E5E5"/>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Gain on discontinued operations per common share</w:t>
            </w:r>
          </w:p>
        </w:tc>
        <w:tc>
          <w:tcPr>
            <w:tcW w:w="3140" w:type="dxa"/>
            <w:vAlign w:val="bottom"/>
            <w:tcBorders>
              <w:bottom w:val="single" w:sz="8" w:color="E5E5E5"/>
            </w:tcBorders>
            <w:shd w:val="clear" w:color="auto" w:fill="E5E5E5"/>
          </w:tcPr>
          <w:p>
            <w:pPr>
              <w:spacing w:after="0"/>
              <w:rPr>
                <w:sz w:val="18"/>
                <w:szCs w:val="18"/>
                <w:color w:val="auto"/>
              </w:rPr>
            </w:pP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0.11</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0.11</w:t>
            </w:r>
          </w:p>
        </w:tc>
        <w:tc>
          <w:tcPr>
            <w:tcW w:w="2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0.58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0.10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1.01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90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0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Basic weighted-average number of common shares</w:t>
            </w:r>
          </w:p>
        </w:tc>
        <w:tc>
          <w:tcPr>
            <w:tcW w:w="3140" w:type="dxa"/>
            <w:vAlign w:val="bottom"/>
            <w:tcBorders>
              <w:bottom w:val="single" w:sz="8" w:color="E5E5E5"/>
            </w:tcBorders>
            <w:shd w:val="clear" w:color="auto" w:fill="E5E5E5"/>
          </w:tcPr>
          <w:p>
            <w:pPr>
              <w:spacing w:after="0"/>
              <w:rPr>
                <w:sz w:val="19"/>
                <w:szCs w:val="19"/>
                <w:color w:val="auto"/>
              </w:rPr>
            </w:pPr>
          </w:p>
        </w:tc>
        <w:tc>
          <w:tcPr>
            <w:tcW w:w="320" w:type="dxa"/>
            <w:vAlign w:val="bottom"/>
            <w:tcBorders>
              <w:bottom w:val="single" w:sz="8" w:color="auto"/>
            </w:tcBorders>
            <w:shd w:val="clear" w:color="auto" w:fill="E5E5E5"/>
          </w:tcPr>
          <w:p>
            <w:pPr>
              <w:spacing w:after="0"/>
              <w:rPr>
                <w:sz w:val="19"/>
                <w:szCs w:val="19"/>
                <w:color w:val="auto"/>
              </w:rPr>
            </w:pPr>
          </w:p>
        </w:tc>
        <w:tc>
          <w:tcPr>
            <w:tcW w:w="600" w:type="dxa"/>
            <w:vAlign w:val="bottom"/>
            <w:tcBorders>
              <w:bottom w:val="single" w:sz="8" w:color="auto"/>
            </w:tcBorders>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2,096</w:t>
            </w:r>
          </w:p>
        </w:tc>
        <w:tc>
          <w:tcPr>
            <w:tcW w:w="220" w:type="dxa"/>
            <w:vAlign w:val="bottom"/>
            <w:tcBorders>
              <w:bottom w:val="single" w:sz="8" w:color="auto"/>
            </w:tcBorders>
            <w:shd w:val="clear" w:color="auto" w:fill="E5E5E5"/>
          </w:tcPr>
          <w:p>
            <w:pPr>
              <w:spacing w:after="0"/>
              <w:rPr>
                <w:sz w:val="19"/>
                <w:szCs w:val="19"/>
                <w:color w:val="auto"/>
              </w:rPr>
            </w:pPr>
          </w:p>
        </w:tc>
        <w:tc>
          <w:tcPr>
            <w:tcW w:w="620" w:type="dxa"/>
            <w:vAlign w:val="bottom"/>
            <w:tcBorders>
              <w:bottom w:val="single" w:sz="8" w:color="auto"/>
            </w:tcBorders>
            <w:shd w:val="clear" w:color="auto" w:fill="E5E5E5"/>
          </w:tcPr>
          <w:p>
            <w:pPr>
              <w:jc w:val="right"/>
              <w:ind w:right="73"/>
              <w:spacing w:after="0"/>
              <w:rPr>
                <w:sz w:val="20"/>
                <w:szCs w:val="20"/>
                <w:color w:val="auto"/>
              </w:rPr>
            </w:pPr>
            <w:r>
              <w:rPr>
                <w:rFonts w:ascii="Times New Roman" w:cs="Times New Roman" w:eastAsia="Times New Roman" w:hAnsi="Times New Roman"/>
                <w:sz w:val="18"/>
                <w:szCs w:val="18"/>
                <w:color w:val="auto"/>
              </w:rPr>
              <w:t>2,196</w:t>
            </w:r>
          </w:p>
        </w:tc>
        <w:tc>
          <w:tcPr>
            <w:tcW w:w="200" w:type="dxa"/>
            <w:vAlign w:val="bottom"/>
            <w:tcBorders>
              <w:bottom w:val="single" w:sz="8" w:color="auto"/>
            </w:tcBorders>
            <w:shd w:val="clear" w:color="auto" w:fill="E5E5E5"/>
          </w:tcPr>
          <w:p>
            <w:pPr>
              <w:spacing w:after="0"/>
              <w:rPr>
                <w:sz w:val="19"/>
                <w:szCs w:val="19"/>
                <w:color w:val="auto"/>
              </w:rPr>
            </w:pPr>
          </w:p>
        </w:tc>
        <w:tc>
          <w:tcPr>
            <w:tcW w:w="640" w:type="dxa"/>
            <w:vAlign w:val="bottom"/>
            <w:tcBorders>
              <w:bottom w:val="single" w:sz="8" w:color="auto"/>
            </w:tcBorders>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2,114</w:t>
            </w:r>
          </w:p>
        </w:tc>
        <w:tc>
          <w:tcPr>
            <w:tcW w:w="200" w:type="dxa"/>
            <w:vAlign w:val="bottom"/>
            <w:tcBorders>
              <w:bottom w:val="single" w:sz="8" w:color="auto"/>
            </w:tcBorders>
            <w:shd w:val="clear" w:color="auto" w:fill="E5E5E5"/>
          </w:tcPr>
          <w:p>
            <w:pPr>
              <w:spacing w:after="0"/>
              <w:rPr>
                <w:sz w:val="19"/>
                <w:szCs w:val="19"/>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0" w:type="dxa"/>
            <w:vAlign w:val="bottom"/>
          </w:tcPr>
          <w:p>
            <w:pPr>
              <w:spacing w:after="0"/>
              <w:rPr>
                <w:sz w:val="1"/>
                <w:szCs w:val="1"/>
                <w:color w:val="auto"/>
              </w:rPr>
            </w:pPr>
          </w:p>
        </w:tc>
      </w:tr>
      <w:tr>
        <w:trPr>
          <w:trHeight w:val="331"/>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weighted-average number of common shares</w:t>
            </w:r>
          </w:p>
        </w:tc>
        <w:tc>
          <w:tcPr>
            <w:tcW w:w="3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2,109</w:t>
            </w: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2,209</w:t>
            </w: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2,124</w:t>
            </w: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140" w:type="dxa"/>
            <w:vAlign w:val="bottom"/>
          </w:tcPr>
          <w:p>
            <w:pPr>
              <w:jc w:val="right"/>
              <w:ind w:right="2212"/>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6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2</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4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65"/>
        </w:trPr>
        <w:tc>
          <w:tcPr>
            <w:tcW w:w="5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3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2006</w:t>
            </w:r>
          </w:p>
        </w:tc>
        <w:tc>
          <w:tcPr>
            <w:tcW w:w="36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ASSETS</w:t>
            </w:r>
          </w:p>
        </w:tc>
        <w:tc>
          <w:tcPr>
            <w:tcW w:w="362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86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3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20" w:type="dxa"/>
            <w:vAlign w:val="bottom"/>
            <w:gridSpan w:val="2"/>
            <w:shd w:val="clear" w:color="auto" w:fill="E5E5E5"/>
          </w:tcPr>
          <w:p>
            <w:pPr>
              <w:ind w:left="404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2,774</w:t>
            </w:r>
          </w:p>
        </w:tc>
        <w:tc>
          <w:tcPr>
            <w:tcW w:w="36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Investments</w:t>
            </w:r>
          </w:p>
        </w:tc>
        <w:tc>
          <w:tcPr>
            <w:tcW w:w="3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656</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1,228</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current assets</w:t>
            </w:r>
          </w:p>
        </w:tc>
        <w:tc>
          <w:tcPr>
            <w:tcW w:w="3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823</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E5E5E5"/>
            </w:tcBorders>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Current assets of discontinued operations</w:t>
            </w:r>
          </w:p>
        </w:tc>
        <w:tc>
          <w:tcPr>
            <w:tcW w:w="3620" w:type="dxa"/>
            <w:vAlign w:val="bottom"/>
            <w:tcBorders>
              <w:bottom w:val="single" w:sz="8" w:color="E5E5E5"/>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current assets</w:t>
            </w:r>
          </w:p>
        </w:tc>
        <w:tc>
          <w:tcPr>
            <w:tcW w:w="36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5,481</w:t>
            </w: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36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7,245</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12,675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20,671</w:t>
            </w:r>
          </w:p>
        </w:tc>
        <w:tc>
          <w:tcPr>
            <w:tcW w:w="36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17,704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Franchise rights</w:t>
            </w:r>
          </w:p>
        </w:tc>
        <w:tc>
          <w:tcPr>
            <w:tcW w:w="36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56,072</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48,804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3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13,515</w:t>
            </w:r>
          </w:p>
        </w:tc>
        <w:tc>
          <w:tcPr>
            <w:tcW w:w="36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13,498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6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4,457</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3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531</w:t>
            </w:r>
          </w:p>
        </w:tc>
        <w:tc>
          <w:tcPr>
            <w:tcW w:w="36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E5E5E5"/>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Noncurrent assets of discontinued operations, net</w:t>
            </w:r>
          </w:p>
        </w:tc>
        <w:tc>
          <w:tcPr>
            <w:tcW w:w="3620" w:type="dxa"/>
            <w:vAlign w:val="bottom"/>
            <w:tcBorders>
              <w:bottom w:val="single" w:sz="8" w:color="E5E5E5"/>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220" w:type="dxa"/>
            <w:vAlign w:val="bottom"/>
            <w:gridSpan w:val="2"/>
          </w:tcPr>
          <w:p>
            <w:pPr>
              <w:ind w:left="404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107,972</w:t>
            </w:r>
          </w:p>
        </w:tc>
        <w:tc>
          <w:tcPr>
            <w:tcW w:w="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36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3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4220" w:type="dxa"/>
            <w:vAlign w:val="bottom"/>
            <w:gridSpan w:val="2"/>
            <w:shd w:val="clear" w:color="auto" w:fill="E5E5E5"/>
          </w:tcPr>
          <w:p>
            <w:pPr>
              <w:ind w:left="404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2,351</w:t>
            </w:r>
          </w:p>
        </w:tc>
        <w:tc>
          <w:tcPr>
            <w:tcW w:w="36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2,867</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36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185</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773</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E5E5E5"/>
            </w:tcBorders>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3620" w:type="dxa"/>
            <w:vAlign w:val="bottom"/>
            <w:tcBorders>
              <w:bottom w:val="single" w:sz="8" w:color="E5E5E5"/>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6,176</w:t>
            </w: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6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26,446</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21,682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3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27,499</w:t>
            </w:r>
          </w:p>
        </w:tc>
        <w:tc>
          <w:tcPr>
            <w:tcW w:w="36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27,370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6,453</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Minority interest</w:t>
            </w:r>
          </w:p>
        </w:tc>
        <w:tc>
          <w:tcPr>
            <w:tcW w:w="3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676</w:t>
            </w:r>
          </w:p>
        </w:tc>
        <w:tc>
          <w:tcPr>
            <w:tcW w:w="36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Noncurrent liabilities of discontinued operations</w:t>
            </w:r>
          </w:p>
        </w:tc>
        <w:tc>
          <w:tcPr>
            <w:tcW w:w="36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Stockholders’ equity</w:t>
            </w:r>
          </w:p>
        </w:tc>
        <w:tc>
          <w:tcPr>
            <w:tcW w:w="36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40,722</w:t>
            </w: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E5E5E5"/>
          </w:tcPr>
          <w:p>
            <w:pPr>
              <w:spacing w:after="0"/>
              <w:rPr>
                <w:sz w:val="18"/>
                <w:szCs w:val="18"/>
                <w:color w:val="auto"/>
              </w:rPr>
            </w:pPr>
          </w:p>
        </w:tc>
        <w:tc>
          <w:tcPr>
            <w:tcW w:w="4220" w:type="dxa"/>
            <w:vAlign w:val="bottom"/>
            <w:gridSpan w:val="2"/>
            <w:shd w:val="clear" w:color="auto" w:fill="E5E5E5"/>
          </w:tcPr>
          <w:p>
            <w:pPr>
              <w:ind w:left="404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107,972</w:t>
            </w:r>
          </w:p>
        </w:tc>
        <w:tc>
          <w:tcPr>
            <w:tcW w:w="36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103,146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5320" w:type="dxa"/>
            <w:vAlign w:val="bottom"/>
            <w:tcBorders>
              <w:top w:val="single" w:sz="8" w:color="E5E5E5"/>
            </w:tcBorders>
          </w:tcPr>
          <w:p>
            <w:pPr>
              <w:spacing w:after="0"/>
              <w:rPr>
                <w:sz w:val="24"/>
                <w:szCs w:val="24"/>
                <w:color w:val="auto"/>
              </w:rPr>
            </w:pPr>
          </w:p>
        </w:tc>
        <w:tc>
          <w:tcPr>
            <w:tcW w:w="3620" w:type="dxa"/>
            <w:vAlign w:val="bottom"/>
            <w:tcBorders>
              <w:top w:val="single" w:sz="8" w:color="E5E5E5"/>
            </w:tcBorders>
          </w:tcPr>
          <w:p>
            <w:pPr>
              <w:jc w:val="right"/>
              <w:ind w:right="3112"/>
              <w:spacing w:after="0"/>
              <w:rPr>
                <w:sz w:val="20"/>
                <w:szCs w:val="20"/>
                <w:color w:val="auto"/>
              </w:rPr>
            </w:pPr>
            <w:r>
              <w:rPr>
                <w:rFonts w:ascii="Arial" w:cs="Arial" w:eastAsia="Arial" w:hAnsi="Arial"/>
                <w:sz w:val="18"/>
                <w:szCs w:val="18"/>
                <w:color w:val="auto"/>
              </w:rPr>
              <w:t>7</w:t>
            </w:r>
          </w:p>
        </w:tc>
        <w:tc>
          <w:tcPr>
            <w:tcW w:w="6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6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3</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Cash Flows</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480" w:type="dxa"/>
            <w:vAlign w:val="bottom"/>
          </w:tcPr>
          <w:p>
            <w:pPr>
              <w:spacing w:after="0"/>
              <w:rPr>
                <w:sz w:val="13"/>
                <w:szCs w:val="13"/>
                <w:color w:val="auto"/>
              </w:rPr>
            </w:pPr>
          </w:p>
        </w:tc>
        <w:tc>
          <w:tcPr>
            <w:tcW w:w="1920" w:type="dxa"/>
            <w:vAlign w:val="bottom"/>
            <w:gridSpan w:val="3"/>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5"/>
        </w:trPr>
        <w:tc>
          <w:tcPr>
            <w:tcW w:w="9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1920" w:type="dxa"/>
            <w:vAlign w:val="bottom"/>
            <w:tcBorders>
              <w:bottom w:val="single" w:sz="8" w:color="auto"/>
            </w:tcBorders>
            <w:gridSpan w:val="3"/>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500" w:type="dxa"/>
            <w:vAlign w:val="bottom"/>
            <w:gridSpan w:val="2"/>
            <w:vMerge w:val="continue"/>
          </w:tcPr>
          <w:p>
            <w:pPr>
              <w:spacing w:after="0"/>
              <w:rPr>
                <w:sz w:val="12"/>
                <w:szCs w:val="12"/>
                <w:color w:val="auto"/>
              </w:rPr>
            </w:pPr>
          </w:p>
        </w:tc>
        <w:tc>
          <w:tcPr>
            <w:tcW w:w="112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280" w:type="dxa"/>
            <w:vAlign w:val="bottom"/>
          </w:tcPr>
          <w:p>
            <w:pPr>
              <w:spacing w:after="0"/>
              <w:rPr>
                <w:sz w:val="12"/>
                <w:szCs w:val="12"/>
                <w:color w:val="auto"/>
              </w:rPr>
            </w:pPr>
          </w:p>
        </w:tc>
        <w:tc>
          <w:tcPr>
            <w:tcW w:w="52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8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12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$ 5,132</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1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borrowings</w:t>
            </w: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5,970</w:t>
            </w: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Retirements and repayments of debt</w:t>
            </w:r>
          </w:p>
        </w:tc>
        <w:tc>
          <w:tcPr>
            <w:tcW w:w="1120" w:type="dxa"/>
            <w:vAlign w:val="bottom"/>
            <w:shd w:val="clear" w:color="auto" w:fill="E5E5E5"/>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(2,222)</w:t>
            </w:r>
          </w:p>
        </w:tc>
        <w:tc>
          <w:tcPr>
            <w:tcW w:w="28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w w:val="95"/>
              </w:rPr>
              <w:t>(1,942)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20" w:type="dxa"/>
            <w:vAlign w:val="bottom"/>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(1,882)</w:t>
            </w: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Issuances of common stock</w:t>
            </w:r>
          </w:p>
        </w:tc>
        <w:tc>
          <w:tcPr>
            <w:tcW w:w="1120" w:type="dxa"/>
            <w:vAlign w:val="bottom"/>
            <w:shd w:val="clear" w:color="auto" w:fill="E5E5E5"/>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133</w:t>
            </w:r>
          </w:p>
        </w:tc>
        <w:tc>
          <w:tcPr>
            <w:tcW w:w="28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7</w:t>
            </w: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80" w:type="dxa"/>
            <w:vAlign w:val="bottom"/>
            <w:tcBorders>
              <w:bottom w:val="single" w:sz="8" w:color="E5E5E5"/>
            </w:tcBorders>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120" w:type="dxa"/>
            <w:vAlign w:val="bottom"/>
            <w:tcBorders>
              <w:bottom w:val="single" w:sz="8" w:color="auto"/>
            </w:tcBorders>
            <w:shd w:val="clear" w:color="auto" w:fill="E5E5E5"/>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2,006</w:t>
            </w:r>
          </w:p>
        </w:tc>
        <w:tc>
          <w:tcPr>
            <w:tcW w:w="2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317"/>
        </w:trPr>
        <w:tc>
          <w:tcPr>
            <w:tcW w:w="9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8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1120" w:type="dxa"/>
            <w:vAlign w:val="bottom"/>
            <w:shd w:val="clear" w:color="auto" w:fill="E5E5E5"/>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(3,051)</w:t>
            </w:r>
          </w:p>
        </w:tc>
        <w:tc>
          <w:tcPr>
            <w:tcW w:w="28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w w:val="95"/>
              </w:rPr>
              <w:t>(2,753)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intangible assets</w:t>
            </w:r>
          </w:p>
        </w:tc>
        <w:tc>
          <w:tcPr>
            <w:tcW w:w="1120" w:type="dxa"/>
            <w:vAlign w:val="bottom"/>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(227)</w:t>
            </w: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1120" w:type="dxa"/>
            <w:vAlign w:val="bottom"/>
            <w:shd w:val="clear" w:color="auto" w:fill="E5E5E5"/>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(3,839)</w:t>
            </w:r>
          </w:p>
        </w:tc>
        <w:tc>
          <w:tcPr>
            <w:tcW w:w="28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sales and restructuring of investments</w:t>
            </w: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2,519</w:t>
            </w: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120" w:type="dxa"/>
            <w:vAlign w:val="bottom"/>
            <w:shd w:val="clear" w:color="auto" w:fill="E5E5E5"/>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(471)</w:t>
            </w:r>
          </w:p>
        </w:tc>
        <w:tc>
          <w:tcPr>
            <w:tcW w:w="28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sales (purchases) of short-term investments, net</w:t>
            </w: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15</w:t>
            </w: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Borders>
              <w:bottom w:val="single" w:sz="8" w:color="E5E5E5"/>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120" w:type="dxa"/>
            <w:vAlign w:val="bottom"/>
            <w:tcBorders>
              <w:bottom w:val="single" w:sz="8" w:color="auto"/>
            </w:tcBorders>
            <w:shd w:val="clear" w:color="auto" w:fill="E5E5E5"/>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(3)</w:t>
            </w:r>
          </w:p>
        </w:tc>
        <w:tc>
          <w:tcPr>
            <w:tcW w:w="2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(5,057)</w:t>
            </w: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(3,016)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1120" w:type="dxa"/>
            <w:vAlign w:val="bottom"/>
            <w:shd w:val="clear" w:color="auto" w:fill="E5E5E5"/>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2,081</w:t>
            </w:r>
          </w:p>
        </w:tc>
        <w:tc>
          <w:tcPr>
            <w:tcW w:w="28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323"/>
        </w:trPr>
        <w:tc>
          <w:tcPr>
            <w:tcW w:w="9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1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693</w:t>
            </w: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4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948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120" w:type="dxa"/>
            <w:vAlign w:val="bottom"/>
            <w:tcBorders>
              <w:bottom w:val="single" w:sz="8" w:color="auto"/>
            </w:tcBorders>
            <w:shd w:val="clear" w:color="auto" w:fill="E5E5E5"/>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$ 2,774</w:t>
            </w:r>
          </w:p>
        </w:tc>
        <w:tc>
          <w:tcPr>
            <w:tcW w:w="2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4</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Calculation of Free Cash Flow</w:t>
      </w:r>
    </w:p>
    <w:p>
      <w:pPr>
        <w:jc w:val="center"/>
        <w:spacing w:after="0"/>
        <w:rPr>
          <w:sz w:val="20"/>
          <w:szCs w:val="20"/>
          <w:color w:val="auto"/>
        </w:rPr>
      </w:pPr>
      <w:r>
        <w:rPr>
          <w:rFonts w:ascii="Arial" w:cs="Arial" w:eastAsia="Arial" w:hAnsi="Arial"/>
          <w:sz w:val="22"/>
          <w:szCs w:val="22"/>
          <w:b w:val="1"/>
          <w:bCs w:val="1"/>
          <w:color w:val="auto"/>
        </w:rPr>
        <w:t>(Unaudited) (1)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480" w:type="dxa"/>
            <w:vAlign w:val="bottom"/>
          </w:tcPr>
          <w:p>
            <w:pPr>
              <w:spacing w:after="0"/>
              <w:rPr>
                <w:sz w:val="13"/>
                <w:szCs w:val="13"/>
                <w:color w:val="auto"/>
              </w:rPr>
            </w:pPr>
          </w:p>
        </w:tc>
        <w:tc>
          <w:tcPr>
            <w:tcW w:w="1920" w:type="dxa"/>
            <w:vAlign w:val="bottom"/>
            <w:gridSpan w:val="2"/>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5"/>
        </w:trPr>
        <w:tc>
          <w:tcPr>
            <w:tcW w:w="9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1920" w:type="dxa"/>
            <w:vAlign w:val="bottom"/>
            <w:tcBorders>
              <w:bottom w:val="single" w:sz="8" w:color="auto"/>
            </w:tcBorders>
            <w:gridSpan w:val="2"/>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500" w:type="dxa"/>
            <w:vAlign w:val="bottom"/>
            <w:gridSpan w:val="2"/>
            <w:vMerge w:val="continue"/>
          </w:tcPr>
          <w:p>
            <w:pPr>
              <w:spacing w:after="0"/>
              <w:rPr>
                <w:sz w:val="12"/>
                <w:szCs w:val="12"/>
                <w:color w:val="auto"/>
              </w:rPr>
            </w:pPr>
          </w:p>
        </w:tc>
        <w:tc>
          <w:tcPr>
            <w:tcW w:w="1120" w:type="dxa"/>
            <w:vAlign w:val="bottom"/>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800" w:type="dxa"/>
            <w:vAlign w:val="bottom"/>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8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20" w:type="dxa"/>
            <w:vAlign w:val="bottom"/>
            <w:tcBorders>
              <w:top w:val="single" w:sz="8" w:color="auto"/>
            </w:tcBorders>
            <w:shd w:val="clear" w:color="auto" w:fill="E5E5E5"/>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$ 5,132</w:t>
            </w:r>
          </w:p>
        </w:tc>
        <w:tc>
          <w:tcPr>
            <w:tcW w:w="80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$ 3,940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120" w:type="dxa"/>
            <w:vAlign w:val="bottom"/>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(3,051)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Cash paid for Intangible Assets</w:t>
            </w:r>
          </w:p>
        </w:tc>
        <w:tc>
          <w:tcPr>
            <w:tcW w:w="1120" w:type="dxa"/>
            <w:vAlign w:val="bottom"/>
            <w:shd w:val="clear" w:color="auto" w:fill="E5E5E5"/>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(227)</w:t>
            </w:r>
          </w:p>
        </w:tc>
        <w:tc>
          <w:tcPr>
            <w:tcW w:w="8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items, net of tax</w:t>
            </w:r>
          </w:p>
        </w:tc>
        <w:tc>
          <w:tcPr>
            <w:tcW w:w="11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344</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8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120" w:type="dxa"/>
            <w:vAlign w:val="bottom"/>
            <w:tcBorders>
              <w:bottom w:val="single" w:sz="8" w:color="auto"/>
            </w:tcBorders>
            <w:shd w:val="clear" w:color="auto" w:fill="E5E5E5"/>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$ 2,198</w:t>
            </w:r>
          </w:p>
        </w:tc>
        <w:tc>
          <w:tcPr>
            <w:tcW w:w="8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$ 1,386</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w:t>
        <w:tab/>
        <w:t>See Non-GAAP and Other Financial Measures in Table 7 for the definition of Free Cash Flow.</w:t>
      </w:r>
    </w:p>
    <w:p>
      <w:pPr>
        <w:spacing w:after="0" w:line="15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19"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5</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 Forma Financial Data by Business Segment</w:t>
      </w:r>
    </w:p>
    <w:p>
      <w:pPr>
        <w:jc w:val="center"/>
        <w:spacing w:after="0"/>
        <w:rPr>
          <w:sz w:val="20"/>
          <w:szCs w:val="20"/>
          <w:color w:val="auto"/>
        </w:rPr>
      </w:pPr>
      <w:r>
        <w:rPr>
          <w:rFonts w:ascii="Arial" w:cs="Arial" w:eastAsia="Arial" w:hAnsi="Arial"/>
          <w:sz w:val="22"/>
          <w:szCs w:val="22"/>
          <w:b w:val="1"/>
          <w:bCs w:val="1"/>
          <w:color w:val="auto"/>
        </w:rPr>
        <w:t>(Unaudited) (1)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6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1940" w:type="dxa"/>
            <w:vAlign w:val="bottom"/>
          </w:tcPr>
          <w:p>
            <w:pPr>
              <w:spacing w:after="0"/>
              <w:rPr>
                <w:sz w:val="15"/>
                <w:szCs w:val="15"/>
                <w:color w:val="auto"/>
              </w:rPr>
            </w:pPr>
          </w:p>
        </w:tc>
        <w:tc>
          <w:tcPr>
            <w:tcW w:w="6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w w:val="97"/>
              </w:rPr>
              <w:t>Cable</w:t>
            </w: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Content (2)</w:t>
            </w:r>
          </w:p>
        </w:tc>
        <w:tc>
          <w:tcPr>
            <w:tcW w:w="98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60" w:type="dxa"/>
            <w:vAlign w:val="bottom"/>
          </w:tcPr>
          <w:p>
            <w:pPr>
              <w:spacing w:after="0"/>
              <w:rPr>
                <w:sz w:val="15"/>
                <w:szCs w:val="15"/>
                <w:color w:val="auto"/>
              </w:rPr>
            </w:pPr>
          </w:p>
        </w:tc>
        <w:tc>
          <w:tcPr>
            <w:tcW w:w="4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2006</w:t>
            </w:r>
          </w:p>
        </w:tc>
        <w:tc>
          <w:tcPr>
            <w:tcW w:w="19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6,630</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258</w:t>
            </w: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Cash Flow</w:t>
            </w:r>
          </w:p>
        </w:tc>
        <w:tc>
          <w:tcPr>
            <w:tcW w:w="19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2,624</w:t>
            </w:r>
          </w:p>
        </w:tc>
        <w:tc>
          <w:tcPr>
            <w:tcW w:w="300" w:type="dxa"/>
            <w:vAlign w:val="bottom"/>
            <w:shd w:val="clear" w:color="auto" w:fill="E5E5E5"/>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88</w:t>
            </w:r>
          </w:p>
        </w:tc>
        <w:tc>
          <w:tcPr>
            <w:tcW w:w="380" w:type="dxa"/>
            <w:vAlign w:val="bottom"/>
            <w:shd w:val="clear" w:color="auto" w:fill="E5E5E5"/>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1,420</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46</w:t>
            </w: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Cash Flow Margin</w:t>
            </w:r>
          </w:p>
        </w:tc>
        <w:tc>
          <w:tcPr>
            <w:tcW w:w="19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39.6%</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33.8%</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2"/>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w w:val="98"/>
              </w:rPr>
              <w:t>37.8%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(3)</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1,247</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Pr>
          <w:p>
            <w:pPr>
              <w:spacing w:after="0"/>
              <w:rPr>
                <w:sz w:val="19"/>
                <w:szCs w:val="19"/>
                <w:color w:val="auto"/>
              </w:rPr>
            </w:pPr>
          </w:p>
        </w:tc>
        <w:tc>
          <w:tcPr>
            <w:tcW w:w="6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2005, as adjusted (4)</w:t>
            </w:r>
          </w:p>
        </w:tc>
        <w:tc>
          <w:tcPr>
            <w:tcW w:w="19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5,919</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237</w:t>
            </w: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Cash Flow</w:t>
            </w:r>
          </w:p>
        </w:tc>
        <w:tc>
          <w:tcPr>
            <w:tcW w:w="19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2,279</w:t>
            </w:r>
          </w:p>
        </w:tc>
        <w:tc>
          <w:tcPr>
            <w:tcW w:w="300" w:type="dxa"/>
            <w:vAlign w:val="bottom"/>
            <w:shd w:val="clear" w:color="auto" w:fill="E5E5E5"/>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71</w:t>
            </w:r>
          </w:p>
        </w:tc>
        <w:tc>
          <w:tcPr>
            <w:tcW w:w="380" w:type="dxa"/>
            <w:vAlign w:val="bottom"/>
            <w:shd w:val="clear" w:color="auto" w:fill="E5E5E5"/>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969</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33</w:t>
            </w: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Cash Flow Margin</w:t>
            </w:r>
          </w:p>
        </w:tc>
        <w:tc>
          <w:tcPr>
            <w:tcW w:w="19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38.5%</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30.1%</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2"/>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w w:val="98"/>
              </w:rPr>
              <w:t>36.3%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(3)</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2006</w:t>
            </w:r>
          </w:p>
        </w:tc>
        <w:tc>
          <w:tcPr>
            <w:tcW w:w="19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96"/>
              </w:rPr>
              <w:t>19,445</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770</w:t>
            </w: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20,328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Cash Flow</w:t>
            </w:r>
          </w:p>
        </w:tc>
        <w:tc>
          <w:tcPr>
            <w:tcW w:w="19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7,774</w:t>
            </w:r>
          </w:p>
        </w:tc>
        <w:tc>
          <w:tcPr>
            <w:tcW w:w="300" w:type="dxa"/>
            <w:vAlign w:val="bottom"/>
            <w:shd w:val="clear" w:color="auto" w:fill="E5E5E5"/>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198</w:t>
            </w:r>
          </w:p>
        </w:tc>
        <w:tc>
          <w:tcPr>
            <w:tcW w:w="380" w:type="dxa"/>
            <w:vAlign w:val="bottom"/>
            <w:shd w:val="clear" w:color="auto" w:fill="E5E5E5"/>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252)</w:t>
            </w:r>
          </w:p>
        </w:tc>
        <w:tc>
          <w:tcPr>
            <w:tcW w:w="2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7,720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4,094</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74</w:t>
            </w: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309)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Cash Flow Margin</w:t>
            </w:r>
          </w:p>
        </w:tc>
        <w:tc>
          <w:tcPr>
            <w:tcW w:w="19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40.0%</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25.7%</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2"/>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w w:val="98"/>
              </w:rPr>
              <w:t>38.0%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(3)</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3,259</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18</w:t>
            </w: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2005, as adjusted (4)</w:t>
            </w:r>
          </w:p>
        </w:tc>
        <w:tc>
          <w:tcPr>
            <w:tcW w:w="19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96"/>
              </w:rPr>
              <w:t>17,527</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684</w:t>
            </w: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18,309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Cash Flow</w:t>
            </w:r>
          </w:p>
        </w:tc>
        <w:tc>
          <w:tcPr>
            <w:tcW w:w="19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6,796</w:t>
            </w:r>
          </w:p>
        </w:tc>
        <w:tc>
          <w:tcPr>
            <w:tcW w:w="300" w:type="dxa"/>
            <w:vAlign w:val="bottom"/>
            <w:shd w:val="clear" w:color="auto" w:fill="E5E5E5"/>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240</w:t>
            </w:r>
          </w:p>
        </w:tc>
        <w:tc>
          <w:tcPr>
            <w:tcW w:w="380" w:type="dxa"/>
            <w:vAlign w:val="bottom"/>
            <w:shd w:val="clear" w:color="auto" w:fill="E5E5E5"/>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235)</w:t>
            </w:r>
          </w:p>
        </w:tc>
        <w:tc>
          <w:tcPr>
            <w:tcW w:w="2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3,004</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128</w:t>
            </w: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272)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Cash Flow Margin</w:t>
            </w:r>
          </w:p>
        </w:tc>
        <w:tc>
          <w:tcPr>
            <w:tcW w:w="19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38.8%</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35.1%</w:t>
            </w:r>
          </w:p>
        </w:tc>
        <w:tc>
          <w:tcPr>
            <w:tcW w:w="3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2"/>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w w:val="98"/>
              </w:rPr>
              <w:t>37.1%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(3)</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3,063</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left="460" w:hanging="452"/>
        <w:spacing w:after="0" w:line="262"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Non-GAAP and Other Financial Measures in Table 7. Historical financial data by business segment, as required under generally accepted accounting principles (GAAP), is available in the Company’s quarterly report on Form 10-Q. All percentages are calculated based on actual amounts. Minor differences may exist due to rounding.</w:t>
      </w:r>
    </w:p>
    <w:p>
      <w:pPr>
        <w:spacing w:after="0" w:line="51" w:lineRule="exact"/>
        <w:rPr>
          <w:rFonts w:ascii="Times New Roman" w:cs="Times New Roman" w:eastAsia="Times New Roman" w:hAnsi="Times New Roman"/>
          <w:sz w:val="18"/>
          <w:szCs w:val="18"/>
          <w:color w:val="auto"/>
        </w:rPr>
      </w:pPr>
    </w:p>
    <w:p>
      <w:pPr>
        <w:ind w:left="460" w:right="20" w:hanging="452"/>
        <w:spacing w:after="0" w:line="275"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Content includes our national networks E! Entertainment Television and Style Network (E! Networks), The Golf Channel, VERSUS (formerly OLN), G4 and AZN Television.</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Cable segment’s capital expenditures are comprised of the following categories:</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YTD</w:t>
            </w: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YTD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w w:val="87"/>
              </w:rPr>
              <w:t>3Q06</w:t>
            </w: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w w:val="93"/>
              </w:rPr>
              <w:t>3Q05</w:t>
            </w:r>
          </w:p>
        </w:tc>
        <w:tc>
          <w:tcPr>
            <w:tcW w:w="8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3Q06</w:t>
            </w:r>
          </w:p>
        </w:tc>
        <w:tc>
          <w:tcPr>
            <w:tcW w:w="6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3Q05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New Service Offerings</w:t>
            </w:r>
          </w:p>
        </w:tc>
        <w:tc>
          <w:tcPr>
            <w:tcW w:w="44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Customer Premise Equipment (CPE)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710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528</w:t>
            </w:r>
          </w:p>
        </w:tc>
        <w:tc>
          <w:tcPr>
            <w:tcW w:w="8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$1,770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Borders>
              <w:bottom w:val="single" w:sz="8" w:color="E5E5E5"/>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Scalable Infrastructure</w:t>
            </w:r>
          </w:p>
        </w:tc>
        <w:tc>
          <w:tcPr>
            <w:tcW w:w="4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color w:val="auto"/>
              </w:rPr>
              <w:t>246</w:t>
            </w:r>
          </w:p>
        </w:tc>
        <w:tc>
          <w:tcPr>
            <w:tcW w:w="2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4"/>
              <w:spacing w:after="0"/>
              <w:rPr>
                <w:sz w:val="20"/>
                <w:szCs w:val="20"/>
                <w:color w:val="auto"/>
              </w:rPr>
            </w:pPr>
            <w:r>
              <w:rPr>
                <w:rFonts w:ascii="Times New Roman" w:cs="Times New Roman" w:eastAsia="Times New Roman" w:hAnsi="Times New Roman"/>
                <w:sz w:val="18"/>
                <w:szCs w:val="18"/>
                <w:color w:val="auto"/>
              </w:rPr>
              <w:t>210</w:t>
            </w:r>
          </w:p>
        </w:tc>
        <w:tc>
          <w:tcPr>
            <w:tcW w:w="840" w:type="dxa"/>
            <w:vAlign w:val="bottom"/>
            <w:tcBorders>
              <w:bottom w:val="single" w:sz="8" w:color="auto"/>
            </w:tcBorders>
            <w:shd w:val="clear" w:color="auto" w:fill="E5E5E5"/>
          </w:tcPr>
          <w:p>
            <w:pPr>
              <w:jc w:val="right"/>
              <w:ind w:right="96"/>
              <w:spacing w:after="0"/>
              <w:rPr>
                <w:sz w:val="20"/>
                <w:szCs w:val="20"/>
                <w:color w:val="auto"/>
              </w:rPr>
            </w:pPr>
            <w:r>
              <w:rPr>
                <w:rFonts w:ascii="Times New Roman" w:cs="Times New Roman" w:eastAsia="Times New Roman" w:hAnsi="Times New Roman"/>
                <w:sz w:val="18"/>
                <w:szCs w:val="18"/>
                <w:color w:val="auto"/>
              </w:rPr>
              <w:t>587</w:t>
            </w:r>
          </w:p>
        </w:tc>
        <w:tc>
          <w:tcPr>
            <w:tcW w:w="6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956</w:t>
            </w:r>
          </w:p>
        </w:tc>
        <w:tc>
          <w:tcPr>
            <w:tcW w:w="260" w:type="dxa"/>
            <w:vAlign w:val="bottom"/>
          </w:tcPr>
          <w:p>
            <w:pPr>
              <w:spacing w:after="0"/>
              <w:rPr>
                <w:sz w:val="18"/>
                <w:szCs w:val="18"/>
                <w:color w:val="auto"/>
              </w:rPr>
            </w:pPr>
          </w:p>
        </w:tc>
        <w:tc>
          <w:tcPr>
            <w:tcW w:w="6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738</w:t>
            </w:r>
          </w:p>
        </w:tc>
        <w:tc>
          <w:tcPr>
            <w:tcW w:w="8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2,357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Recurring Capital Projects</w:t>
            </w:r>
          </w:p>
        </w:tc>
        <w:tc>
          <w:tcPr>
            <w:tcW w:w="44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Line Extensions</w:t>
            </w:r>
          </w:p>
        </w:tc>
        <w:tc>
          <w:tcPr>
            <w:tcW w:w="440" w:type="dxa"/>
            <w:vAlign w:val="bottom"/>
          </w:tcPr>
          <w:p>
            <w:pPr>
              <w:spacing w:after="0"/>
              <w:rPr>
                <w:sz w:val="18"/>
                <w:szCs w:val="18"/>
                <w:color w:val="auto"/>
              </w:rPr>
            </w:pPr>
          </w:p>
        </w:tc>
        <w:tc>
          <w:tcPr>
            <w:tcW w:w="5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tcPr>
          <w:p>
            <w:pPr>
              <w:spacing w:after="0"/>
              <w:rPr>
                <w:sz w:val="18"/>
                <w:szCs w:val="18"/>
                <w:color w:val="auto"/>
              </w:rPr>
            </w:pPr>
          </w:p>
        </w:tc>
        <w:tc>
          <w:tcPr>
            <w:tcW w:w="6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83</w:t>
            </w:r>
          </w:p>
        </w:tc>
        <w:tc>
          <w:tcPr>
            <w:tcW w:w="8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258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Borders>
              <w:bottom w:val="single" w:sz="8" w:color="E5E5E5"/>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Support Capital</w:t>
            </w:r>
          </w:p>
        </w:tc>
        <w:tc>
          <w:tcPr>
            <w:tcW w:w="4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4"/>
              <w:spacing w:after="0"/>
              <w:rPr>
                <w:sz w:val="20"/>
                <w:szCs w:val="20"/>
                <w:color w:val="auto"/>
              </w:rPr>
            </w:pPr>
            <w:r>
              <w:rPr>
                <w:rFonts w:ascii="Times New Roman" w:cs="Times New Roman" w:eastAsia="Times New Roman" w:hAnsi="Times New Roman"/>
                <w:sz w:val="18"/>
                <w:szCs w:val="18"/>
                <w:color w:val="auto"/>
              </w:rPr>
              <w:t>95</w:t>
            </w:r>
          </w:p>
        </w:tc>
        <w:tc>
          <w:tcPr>
            <w:tcW w:w="840" w:type="dxa"/>
            <w:vAlign w:val="bottom"/>
            <w:tcBorders>
              <w:bottom w:val="single" w:sz="8" w:color="auto"/>
            </w:tcBorders>
            <w:shd w:val="clear" w:color="auto" w:fill="E5E5E5"/>
          </w:tcPr>
          <w:p>
            <w:pPr>
              <w:jc w:val="right"/>
              <w:ind w:right="96"/>
              <w:spacing w:after="0"/>
              <w:rPr>
                <w:sz w:val="20"/>
                <w:szCs w:val="20"/>
                <w:color w:val="auto"/>
              </w:rPr>
            </w:pPr>
            <w:r>
              <w:rPr>
                <w:rFonts w:ascii="Times New Roman" w:cs="Times New Roman" w:eastAsia="Times New Roman" w:hAnsi="Times New Roman"/>
                <w:sz w:val="18"/>
                <w:szCs w:val="18"/>
                <w:color w:val="auto"/>
              </w:rPr>
              <w:t>384</w:t>
            </w:r>
          </w:p>
        </w:tc>
        <w:tc>
          <w:tcPr>
            <w:tcW w:w="6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214</w:t>
            </w:r>
          </w:p>
        </w:tc>
        <w:tc>
          <w:tcPr>
            <w:tcW w:w="260" w:type="dxa"/>
            <w:vAlign w:val="bottom"/>
          </w:tcPr>
          <w:p>
            <w:pPr>
              <w:spacing w:after="0"/>
              <w:rPr>
                <w:sz w:val="19"/>
                <w:szCs w:val="19"/>
                <w:color w:val="auto"/>
              </w:rPr>
            </w:pPr>
          </w:p>
        </w:tc>
        <w:tc>
          <w:tcPr>
            <w:tcW w:w="6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178</w:t>
            </w:r>
          </w:p>
        </w:tc>
        <w:tc>
          <w:tcPr>
            <w:tcW w:w="8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642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Upgrades</w:t>
            </w:r>
          </w:p>
        </w:tc>
        <w:tc>
          <w:tcPr>
            <w:tcW w:w="4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4"/>
              <w:spacing w:after="0"/>
              <w:rPr>
                <w:sz w:val="20"/>
                <w:szCs w:val="20"/>
                <w:color w:val="auto"/>
              </w:rPr>
            </w:pPr>
            <w:r>
              <w:rPr>
                <w:rFonts w:ascii="Times New Roman" w:cs="Times New Roman" w:eastAsia="Times New Roman" w:hAnsi="Times New Roman"/>
                <w:sz w:val="18"/>
                <w:szCs w:val="18"/>
                <w:color w:val="auto"/>
              </w:rPr>
              <w:t>84</w:t>
            </w:r>
          </w:p>
        </w:tc>
        <w:tc>
          <w:tcPr>
            <w:tcW w:w="840" w:type="dxa"/>
            <w:vAlign w:val="bottom"/>
            <w:tcBorders>
              <w:bottom w:val="single" w:sz="8" w:color="auto"/>
            </w:tcBorders>
            <w:shd w:val="clear" w:color="auto" w:fill="E5E5E5"/>
          </w:tcPr>
          <w:p>
            <w:pPr>
              <w:jc w:val="right"/>
              <w:ind w:right="96"/>
              <w:spacing w:after="0"/>
              <w:rPr>
                <w:sz w:val="20"/>
                <w:szCs w:val="20"/>
                <w:color w:val="auto"/>
              </w:rPr>
            </w:pPr>
            <w:r>
              <w:rPr>
                <w:rFonts w:ascii="Times New Roman" w:cs="Times New Roman" w:eastAsia="Times New Roman" w:hAnsi="Times New Roman"/>
                <w:sz w:val="18"/>
                <w:szCs w:val="18"/>
                <w:color w:val="auto"/>
              </w:rPr>
              <w:t>260</w:t>
            </w:r>
          </w:p>
        </w:tc>
        <w:tc>
          <w:tcPr>
            <w:tcW w:w="6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w w:val="93"/>
              </w:rPr>
              <w:t>1,247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w w:val="98"/>
              </w:rPr>
              <w:t>1,000</w:t>
            </w:r>
          </w:p>
        </w:tc>
        <w:tc>
          <w:tcPr>
            <w:tcW w:w="8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$3,259</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460"/>
        <w:spacing w:after="0" w:line="255" w:lineRule="auto"/>
        <w:rPr>
          <w:sz w:val="20"/>
          <w:szCs w:val="20"/>
          <w:color w:val="auto"/>
        </w:rPr>
      </w:pPr>
      <w:r>
        <w:rPr>
          <w:rFonts w:ascii="Times New Roman" w:cs="Times New Roman" w:eastAsia="Times New Roman" w:hAnsi="Times New Roman"/>
          <w:sz w:val="18"/>
          <w:szCs w:val="18"/>
          <w:color w:val="auto"/>
        </w:rPr>
        <w:t>CPE includes costs incurred at the customer residence to secure new customers, revenue units and additional bandwidth revenues (e.g. digital converters). Scalable infrastructure includes costs, not CPE or network related, to secure growth of new customers, revenue units and additional bandwidth revenues or provide service enhancements (e.g. headend equipment). Line extensions include network costs associated with entering new service areas (e.g. fiber/coaxial cable). Support capital includes costs associated with the replacement or enhancement of non-network assets due to obsolescence and wear out (e.g. non-network equipment, land, buildings and vehicles). Upgrades include costs to enhance or replace existing fiber/coaxial cable networks, including recurring betterments.</w:t>
      </w:r>
    </w:p>
    <w:p>
      <w:pPr>
        <w:spacing w:after="0" w:line="58"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as if stock options had been expensed in 2005. See Tables 7-A and 7-B for Reconciliation of “As Adjusted” Financial Data.</w:t>
      </w:r>
    </w:p>
    <w:p>
      <w:pPr>
        <w:spacing w:after="0" w:line="153" w:lineRule="exact"/>
        <w:rPr>
          <w:rFonts w:ascii="Times New Roman" w:cs="Times New Roman" w:eastAsia="Times New Roman" w:hAnsi="Times New Roman"/>
          <w:sz w:val="18"/>
          <w:szCs w:val="18"/>
          <w:color w:val="auto"/>
        </w:rPr>
      </w:pPr>
    </w:p>
    <w:p>
      <w:pPr>
        <w:ind w:left="566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9</w:t>
      </w:r>
    </w:p>
    <w:p>
      <w:pPr>
        <w:sectPr>
          <w:pgSz w:w="11900" w:h="16838" w:orient="portrait"/>
          <w:cols w:equalWidth="0" w:num="1">
            <w:col w:w="11420"/>
          </w:cols>
          <w:pgMar w:left="240" w:top="96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6</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 Forma Data - Cable Segment Components</w:t>
      </w:r>
    </w:p>
    <w:p>
      <w:pPr>
        <w:jc w:val="center"/>
        <w:spacing w:after="0"/>
        <w:rPr>
          <w:sz w:val="20"/>
          <w:szCs w:val="20"/>
          <w:color w:val="auto"/>
        </w:rPr>
      </w:pPr>
      <w:r>
        <w:rPr>
          <w:rFonts w:ascii="Arial" w:cs="Arial" w:eastAsia="Arial" w:hAnsi="Arial"/>
          <w:sz w:val="22"/>
          <w:szCs w:val="22"/>
          <w:b w:val="1"/>
          <w:bCs w:val="1"/>
          <w:color w:val="auto"/>
        </w:rPr>
        <w:t>(Unaudited) (1) (2)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20" w:type="dxa"/>
            <w:vAlign w:val="bottom"/>
          </w:tcPr>
          <w:p>
            <w:pPr>
              <w:spacing w:after="0"/>
              <w:rPr>
                <w:sz w:val="13"/>
                <w:szCs w:val="13"/>
                <w:color w:val="auto"/>
              </w:rPr>
            </w:pPr>
          </w:p>
        </w:tc>
        <w:tc>
          <w:tcPr>
            <w:tcW w:w="1700" w:type="dxa"/>
            <w:vAlign w:val="bottom"/>
            <w:gridSpan w:val="4"/>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3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Nine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3"/>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13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0" w:type="dxa"/>
            <w:vAlign w:val="bottom"/>
          </w:tcPr>
          <w:p>
            <w:pPr>
              <w:spacing w:after="0"/>
              <w:rPr>
                <w:sz w:val="1"/>
                <w:szCs w:val="1"/>
                <w:color w:val="auto"/>
              </w:rPr>
            </w:pPr>
          </w:p>
        </w:tc>
      </w:tr>
      <w:tr>
        <w:trPr>
          <w:trHeight w:val="143"/>
        </w:trPr>
        <w:tc>
          <w:tcPr>
            <w:tcW w:w="8240" w:type="dxa"/>
            <w:vAlign w:val="bottom"/>
            <w:gridSpan w:val="2"/>
          </w:tcPr>
          <w:p>
            <w:pPr>
              <w:spacing w:after="0" w:line="143" w:lineRule="exact"/>
              <w:rPr>
                <w:sz w:val="20"/>
                <w:szCs w:val="20"/>
                <w:color w:val="auto"/>
              </w:rPr>
            </w:pPr>
            <w:r>
              <w:rPr>
                <w:rFonts w:ascii="Times New Roman" w:cs="Times New Roman" w:eastAsia="Times New Roman" w:hAnsi="Times New Roman"/>
                <w:sz w:val="14"/>
                <w:szCs w:val="14"/>
                <w:color w:val="auto"/>
              </w:rPr>
              <w:t>(dollars in millions, except per subscriber and per unit data)</w:t>
            </w:r>
          </w:p>
        </w:tc>
        <w:tc>
          <w:tcPr>
            <w:tcW w:w="3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75"/>
              <w:spacing w:after="0" w:line="143" w:lineRule="exact"/>
              <w:rPr>
                <w:sz w:val="20"/>
                <w:szCs w:val="20"/>
                <w:color w:val="auto"/>
              </w:rPr>
            </w:pPr>
            <w:r>
              <w:rPr>
                <w:rFonts w:ascii="Times New Roman" w:cs="Times New Roman" w:eastAsia="Times New Roman" w:hAnsi="Times New Roman"/>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94"/>
              <w:spacing w:after="0" w:line="143" w:lineRule="exact"/>
              <w:rPr>
                <w:sz w:val="20"/>
                <w:szCs w:val="20"/>
                <w:color w:val="auto"/>
              </w:rPr>
            </w:pPr>
            <w:r>
              <w:rPr>
                <w:rFonts w:ascii="Times New Roman" w:cs="Times New Roman" w:eastAsia="Times New Roman" w:hAnsi="Times New Roman"/>
                <w:sz w:val="14"/>
                <w:szCs w:val="14"/>
                <w:b w:val="1"/>
                <w:bCs w:val="1"/>
                <w:color w:val="auto"/>
              </w:rPr>
              <w:t>2005</w:t>
            </w: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96"/>
              <w:spacing w:after="0" w:line="143" w:lineRule="exact"/>
              <w:rPr>
                <w:sz w:val="20"/>
                <w:szCs w:val="20"/>
                <w:color w:val="auto"/>
              </w:rPr>
            </w:pPr>
            <w:r>
              <w:rPr>
                <w:rFonts w:ascii="Times New Roman" w:cs="Times New Roman" w:eastAsia="Times New Roman" w:hAnsi="Times New Roman"/>
                <w:sz w:val="14"/>
                <w:szCs w:val="14"/>
                <w:b w:val="1"/>
                <w:bCs w:val="1"/>
                <w:color w:val="auto"/>
              </w:rPr>
              <w:t>2006</w:t>
            </w: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3" w:lineRule="exact"/>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Video (3)</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4,166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3,841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92"/>
              </w:rPr>
              <w:t>12,385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11,521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High-Speed Internet</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color w:val="auto"/>
              </w:rPr>
              <w:t>1,389</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1,138</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6"/>
              <w:spacing w:after="0"/>
              <w:rPr>
                <w:sz w:val="20"/>
                <w:szCs w:val="20"/>
                <w:color w:val="auto"/>
              </w:rPr>
            </w:pPr>
            <w:r>
              <w:rPr>
                <w:rFonts w:ascii="Times New Roman" w:cs="Times New Roman" w:eastAsia="Times New Roman" w:hAnsi="Times New Roman"/>
                <w:sz w:val="18"/>
                <w:szCs w:val="18"/>
                <w:color w:val="auto"/>
              </w:rPr>
              <w:t>3,997</w:t>
            </w:r>
          </w:p>
        </w:tc>
        <w:tc>
          <w:tcPr>
            <w:tcW w:w="2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Phone</w:t>
            </w:r>
          </w:p>
        </w:tc>
        <w:tc>
          <w:tcPr>
            <w:tcW w:w="300" w:type="dxa"/>
            <w:vAlign w:val="bottom"/>
          </w:tcPr>
          <w:p>
            <w:pPr>
              <w:spacing w:after="0"/>
              <w:rPr>
                <w:sz w:val="18"/>
                <w:szCs w:val="18"/>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252</w:t>
            </w:r>
          </w:p>
        </w:tc>
        <w:tc>
          <w:tcPr>
            <w:tcW w:w="22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tcPr>
          <w:p>
            <w:pPr>
              <w:spacing w:after="0"/>
              <w:rPr>
                <w:sz w:val="18"/>
                <w:szCs w:val="18"/>
                <w:color w:val="auto"/>
              </w:rPr>
            </w:pPr>
          </w:p>
        </w:tc>
        <w:tc>
          <w:tcPr>
            <w:tcW w:w="6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653</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Advertising</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color w:val="auto"/>
              </w:rPr>
              <w:t>395</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359</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6"/>
              <w:spacing w:after="0"/>
              <w:rPr>
                <w:sz w:val="20"/>
                <w:szCs w:val="20"/>
                <w:color w:val="auto"/>
              </w:rPr>
            </w:pPr>
            <w:r>
              <w:rPr>
                <w:rFonts w:ascii="Times New Roman" w:cs="Times New Roman" w:eastAsia="Times New Roman" w:hAnsi="Times New Roman"/>
                <w:sz w:val="18"/>
                <w:szCs w:val="18"/>
                <w:color w:val="auto"/>
              </w:rPr>
              <w:t>1,150</w:t>
            </w:r>
          </w:p>
        </w:tc>
        <w:tc>
          <w:tcPr>
            <w:tcW w:w="2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Other (4)</w:t>
            </w:r>
          </w:p>
        </w:tc>
        <w:tc>
          <w:tcPr>
            <w:tcW w:w="300" w:type="dxa"/>
            <w:vAlign w:val="bottom"/>
          </w:tcPr>
          <w:p>
            <w:pPr>
              <w:spacing w:after="0"/>
              <w:rPr>
                <w:sz w:val="18"/>
                <w:szCs w:val="18"/>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233</w:t>
            </w:r>
          </w:p>
        </w:tc>
        <w:tc>
          <w:tcPr>
            <w:tcW w:w="22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Pr>
          <w:p>
            <w:pPr>
              <w:spacing w:after="0"/>
              <w:rPr>
                <w:sz w:val="18"/>
                <w:szCs w:val="18"/>
                <w:color w:val="auto"/>
              </w:rPr>
            </w:pPr>
          </w:p>
        </w:tc>
        <w:tc>
          <w:tcPr>
            <w:tcW w:w="6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682</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Franchise Fees</w:t>
            </w:r>
          </w:p>
        </w:tc>
        <w:tc>
          <w:tcPr>
            <w:tcW w:w="3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185</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6"/>
              <w:spacing w:after="0"/>
              <w:rPr>
                <w:sz w:val="20"/>
                <w:szCs w:val="20"/>
                <w:color w:val="auto"/>
              </w:rPr>
            </w:pPr>
            <w:r>
              <w:rPr>
                <w:rFonts w:ascii="Times New Roman" w:cs="Times New Roman" w:eastAsia="Times New Roman" w:hAnsi="Times New Roman"/>
                <w:sz w:val="18"/>
                <w:szCs w:val="18"/>
                <w:color w:val="auto"/>
              </w:rPr>
              <w:t>578</w:t>
            </w:r>
          </w:p>
        </w:tc>
        <w:tc>
          <w:tcPr>
            <w:tcW w:w="2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6,630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5,919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92"/>
              </w:rPr>
              <w:t>19,445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17,527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8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Cash Flow (5)</w:t>
            </w:r>
          </w:p>
        </w:tc>
        <w:tc>
          <w:tcPr>
            <w:tcW w:w="3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color w:val="auto"/>
              </w:rPr>
              <w:t>2,624</w:t>
            </w:r>
          </w:p>
        </w:tc>
        <w:tc>
          <w:tcPr>
            <w:tcW w:w="2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2,279</w:t>
            </w:r>
          </w:p>
        </w:tc>
        <w:tc>
          <w:tcPr>
            <w:tcW w:w="2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5E5E5"/>
          </w:tcPr>
          <w:p>
            <w:pPr>
              <w:jc w:val="right"/>
              <w:ind w:right="36"/>
              <w:spacing w:after="0"/>
              <w:rPr>
                <w:sz w:val="20"/>
                <w:szCs w:val="20"/>
                <w:color w:val="auto"/>
              </w:rPr>
            </w:pPr>
            <w:r>
              <w:rPr>
                <w:rFonts w:ascii="Times New Roman" w:cs="Times New Roman" w:eastAsia="Times New Roman" w:hAnsi="Times New Roman"/>
                <w:sz w:val="18"/>
                <w:szCs w:val="18"/>
                <w:color w:val="auto"/>
              </w:rPr>
              <w:t>7,774</w:t>
            </w:r>
          </w:p>
        </w:tc>
        <w:tc>
          <w:tcPr>
            <w:tcW w:w="2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6,796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(5)</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1,420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969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4,094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Cash Flow Margin (5)</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color w:val="auto"/>
                <w:w w:val="98"/>
              </w:rPr>
              <w:t>39.6%</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w w:val="98"/>
              </w:rPr>
              <w:t>38.5%</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6"/>
              <w:spacing w:after="0"/>
              <w:rPr>
                <w:sz w:val="20"/>
                <w:szCs w:val="20"/>
                <w:color w:val="auto"/>
              </w:rPr>
            </w:pPr>
            <w:r>
              <w:rPr>
                <w:rFonts w:ascii="Times New Roman" w:cs="Times New Roman" w:eastAsia="Times New Roman" w:hAnsi="Times New Roman"/>
                <w:sz w:val="18"/>
                <w:szCs w:val="18"/>
                <w:color w:val="auto"/>
                <w:w w:val="98"/>
              </w:rPr>
              <w:t>40.0%</w:t>
            </w:r>
          </w:p>
        </w:tc>
        <w:tc>
          <w:tcPr>
            <w:tcW w:w="2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w w:val="98"/>
              </w:rPr>
              <w:t>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1,247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3,259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Annualized Capital Expenditures per Basic Subscriber</w:t>
            </w:r>
          </w:p>
        </w:tc>
        <w:tc>
          <w:tcPr>
            <w:tcW w:w="3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5E5E5"/>
          </w:tcPr>
          <w:p>
            <w:pPr>
              <w:jc w:val="right"/>
              <w:ind w:right="15"/>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5E5E5"/>
          </w:tcPr>
          <w:p>
            <w:pPr>
              <w:jc w:val="right"/>
              <w:ind w:right="36"/>
              <w:spacing w:after="0"/>
              <w:rPr>
                <w:sz w:val="20"/>
                <w:szCs w:val="20"/>
                <w:color w:val="auto"/>
              </w:rPr>
            </w:pPr>
            <w:r>
              <w:rPr>
                <w:rFonts w:ascii="Times New Roman" w:cs="Times New Roman" w:eastAsia="Times New Roman" w:hAnsi="Times New Roman"/>
                <w:sz w:val="18"/>
                <w:szCs w:val="18"/>
                <w:color w:val="auto"/>
              </w:rPr>
              <w:t>181</w:t>
            </w:r>
          </w:p>
        </w:tc>
        <w:tc>
          <w:tcPr>
            <w:tcW w:w="2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Annualized Capital Expenditures per Revenue Generating Unit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3Q06</w:t>
            </w: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3Q05</w:t>
            </w: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2Q06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Video</w:t>
            </w:r>
          </w:p>
        </w:tc>
        <w:tc>
          <w:tcPr>
            <w:tcW w:w="4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Homes Passed (000’s)</w:t>
            </w:r>
          </w:p>
        </w:tc>
        <w:tc>
          <w:tcPr>
            <w:tcW w:w="48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w w:val="92"/>
              </w:rPr>
              <w:t>47,200</w:t>
            </w:r>
          </w:p>
        </w:tc>
        <w:tc>
          <w:tcPr>
            <w:tcW w:w="28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w w:val="92"/>
              </w:rPr>
              <w:t>46,400</w:t>
            </w:r>
          </w:p>
        </w:tc>
        <w:tc>
          <w:tcPr>
            <w:tcW w:w="28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96"/>
              </w:rPr>
              <w:t>47,100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Basic Subscribers (000’s)</w:t>
            </w:r>
          </w:p>
        </w:tc>
        <w:tc>
          <w:tcPr>
            <w:tcW w:w="4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Times New Roman" w:cs="Times New Roman" w:eastAsia="Times New Roman" w:hAnsi="Times New Roman"/>
                <w:sz w:val="18"/>
                <w:szCs w:val="18"/>
                <w:color w:val="auto"/>
                <w:w w:val="92"/>
              </w:rPr>
              <w:t>24,051</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Times New Roman" w:cs="Times New Roman" w:eastAsia="Times New Roman" w:hAnsi="Times New Roman"/>
                <w:sz w:val="18"/>
                <w:szCs w:val="18"/>
                <w:color w:val="auto"/>
                <w:w w:val="92"/>
              </w:rPr>
              <w:t>24,053</w:t>
            </w: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w w:val="96"/>
              </w:rPr>
              <w:t>24,041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Basic Penetration</w:t>
            </w:r>
          </w:p>
        </w:tc>
        <w:tc>
          <w:tcPr>
            <w:tcW w:w="4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50.9%</w:t>
            </w:r>
          </w:p>
        </w:tc>
        <w:tc>
          <w:tcPr>
            <w:tcW w:w="2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51.9%</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Quarterly Net Basic Subscriber Additions (000’s)</w:t>
            </w:r>
          </w:p>
        </w:tc>
        <w:tc>
          <w:tcPr>
            <w:tcW w:w="4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13"/>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322"/>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Digital Subscribers (000’s)</w:t>
            </w:r>
          </w:p>
        </w:tc>
        <w:tc>
          <w:tcPr>
            <w:tcW w:w="480" w:type="dxa"/>
            <w:vAlign w:val="bottom"/>
          </w:tcPr>
          <w:p>
            <w:pPr>
              <w:spacing w:after="0"/>
              <w:rPr>
                <w:sz w:val="24"/>
                <w:szCs w:val="24"/>
                <w:color w:val="auto"/>
              </w:rPr>
            </w:pPr>
          </w:p>
        </w:tc>
        <w:tc>
          <w:tcPr>
            <w:tcW w:w="8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w w:val="92"/>
              </w:rPr>
              <w:t>12,053</w:t>
            </w:r>
          </w:p>
        </w:tc>
        <w:tc>
          <w:tcPr>
            <w:tcW w:w="280" w:type="dxa"/>
            <w:vAlign w:val="bottom"/>
          </w:tcPr>
          <w:p>
            <w:pPr>
              <w:spacing w:after="0"/>
              <w:rPr>
                <w:sz w:val="24"/>
                <w:szCs w:val="24"/>
                <w:color w:val="auto"/>
              </w:rPr>
            </w:pPr>
          </w:p>
        </w:tc>
        <w:tc>
          <w:tcPr>
            <w:tcW w:w="8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w w:val="92"/>
              </w:rPr>
              <w:t>10,439</w:t>
            </w:r>
          </w:p>
        </w:tc>
        <w:tc>
          <w:tcPr>
            <w:tcW w:w="280" w:type="dxa"/>
            <w:vAlign w:val="bottom"/>
          </w:tcPr>
          <w:p>
            <w:pPr>
              <w:spacing w:after="0"/>
              <w:rPr>
                <w:sz w:val="24"/>
                <w:szCs w:val="24"/>
                <w:color w:val="auto"/>
              </w:rPr>
            </w:pP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96"/>
              </w:rPr>
              <w:t>11,495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Digital Penetration</w:t>
            </w:r>
          </w:p>
        </w:tc>
        <w:tc>
          <w:tcPr>
            <w:tcW w:w="4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50.1%</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43.4%</w:t>
            </w: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Quarterly Net Digital Subscriber Additions (000’s)</w:t>
            </w:r>
          </w:p>
        </w:tc>
        <w:tc>
          <w:tcPr>
            <w:tcW w:w="48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558</w:t>
            </w:r>
          </w:p>
        </w:tc>
        <w:tc>
          <w:tcPr>
            <w:tcW w:w="28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315</w:t>
            </w:r>
          </w:p>
        </w:tc>
        <w:tc>
          <w:tcPr>
            <w:tcW w:w="28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Digital Set-Top Boxes</w:t>
            </w:r>
          </w:p>
        </w:tc>
        <w:tc>
          <w:tcPr>
            <w:tcW w:w="4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Times New Roman" w:cs="Times New Roman" w:eastAsia="Times New Roman" w:hAnsi="Times New Roman"/>
                <w:sz w:val="18"/>
                <w:szCs w:val="18"/>
                <w:color w:val="auto"/>
                <w:w w:val="92"/>
              </w:rPr>
              <w:t>18,510</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Times New Roman" w:cs="Times New Roman" w:eastAsia="Times New Roman" w:hAnsi="Times New Roman"/>
                <w:sz w:val="18"/>
                <w:szCs w:val="18"/>
                <w:color w:val="auto"/>
                <w:w w:val="92"/>
              </w:rPr>
              <w:t>15,701</w:t>
            </w: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w w:val="96"/>
              </w:rPr>
              <w:t>17,704</w:t>
            </w:r>
          </w:p>
        </w:tc>
        <w:tc>
          <w:tcPr>
            <w:tcW w:w="0" w:type="dxa"/>
            <w:vAlign w:val="bottom"/>
          </w:tcPr>
          <w:p>
            <w:pPr>
              <w:spacing w:after="0"/>
              <w:rPr>
                <w:sz w:val="1"/>
                <w:szCs w:val="1"/>
                <w:color w:val="auto"/>
              </w:rPr>
            </w:pPr>
          </w:p>
        </w:tc>
      </w:tr>
      <w:tr>
        <w:trPr>
          <w:trHeight w:val="322"/>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Monthly Average Video Revenue per Basic Subscriber</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57.75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53.18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57.87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Monthly Average Total Revenue per Basic Subscriber</w:t>
            </w:r>
          </w:p>
        </w:tc>
        <w:tc>
          <w:tcPr>
            <w:tcW w:w="4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5E5E5"/>
          </w:tcPr>
          <w:p>
            <w:pPr>
              <w:jc w:val="right"/>
              <w:ind w:right="273"/>
              <w:spacing w:after="0"/>
              <w:rPr>
                <w:sz w:val="20"/>
                <w:szCs w:val="20"/>
                <w:color w:val="auto"/>
              </w:rPr>
            </w:pPr>
            <w:r>
              <w:rPr>
                <w:rFonts w:ascii="Times New Roman" w:cs="Times New Roman" w:eastAsia="Times New Roman" w:hAnsi="Times New Roman"/>
                <w:sz w:val="18"/>
                <w:szCs w:val="18"/>
                <w:color w:val="auto"/>
              </w:rPr>
              <w:t>91.89</w:t>
            </w:r>
          </w:p>
        </w:tc>
        <w:tc>
          <w:tcPr>
            <w:tcW w:w="2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5E5E5"/>
          </w:tcPr>
          <w:p>
            <w:pPr>
              <w:jc w:val="right"/>
              <w:ind w:right="273"/>
              <w:spacing w:after="0"/>
              <w:rPr>
                <w:sz w:val="20"/>
                <w:szCs w:val="20"/>
                <w:color w:val="auto"/>
              </w:rPr>
            </w:pPr>
            <w:r>
              <w:rPr>
                <w:rFonts w:ascii="Times New Roman" w:cs="Times New Roman" w:eastAsia="Times New Roman" w:hAnsi="Times New Roman"/>
                <w:sz w:val="18"/>
                <w:szCs w:val="18"/>
                <w:color w:val="auto"/>
              </w:rPr>
              <w:t>81.94</w:t>
            </w:r>
          </w:p>
        </w:tc>
        <w:tc>
          <w:tcPr>
            <w:tcW w:w="2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90.94</w:t>
            </w:r>
          </w:p>
        </w:tc>
        <w:tc>
          <w:tcPr>
            <w:tcW w:w="0" w:type="dxa"/>
            <w:vAlign w:val="bottom"/>
          </w:tcPr>
          <w:p>
            <w:pPr>
              <w:spacing w:after="0"/>
              <w:rPr>
                <w:sz w:val="1"/>
                <w:szCs w:val="1"/>
                <w:color w:val="auto"/>
              </w:rPr>
            </w:pPr>
          </w:p>
        </w:tc>
      </w:tr>
      <w:tr>
        <w:trPr>
          <w:trHeight w:val="322"/>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High-Speed Internet</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“Available” Homes (000’s)</w:t>
            </w:r>
          </w:p>
        </w:tc>
        <w:tc>
          <w:tcPr>
            <w:tcW w:w="4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Times New Roman" w:cs="Times New Roman" w:eastAsia="Times New Roman" w:hAnsi="Times New Roman"/>
                <w:sz w:val="18"/>
                <w:szCs w:val="18"/>
                <w:color w:val="auto"/>
                <w:w w:val="92"/>
              </w:rPr>
              <w:t>46,731</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Times New Roman" w:cs="Times New Roman" w:eastAsia="Times New Roman" w:hAnsi="Times New Roman"/>
                <w:sz w:val="18"/>
                <w:szCs w:val="18"/>
                <w:color w:val="auto"/>
                <w:w w:val="92"/>
              </w:rPr>
              <w:t>45,577</w:t>
            </w: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w w:val="96"/>
              </w:rPr>
              <w:t>46,390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Subscribers (000’s)</w:t>
            </w:r>
          </w:p>
        </w:tc>
        <w:tc>
          <w:tcPr>
            <w:tcW w:w="48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w w:val="92"/>
              </w:rPr>
              <w:t>11,000</w:t>
            </w:r>
          </w:p>
        </w:tc>
        <w:tc>
          <w:tcPr>
            <w:tcW w:w="28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9,184</w:t>
            </w:r>
          </w:p>
        </w:tc>
        <w:tc>
          <w:tcPr>
            <w:tcW w:w="28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96"/>
              </w:rPr>
              <w:t>10,463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Penetration</w:t>
            </w:r>
          </w:p>
        </w:tc>
        <w:tc>
          <w:tcPr>
            <w:tcW w:w="4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23.5%</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20.1%</w:t>
            </w: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Quarterly Net Subscriber Additions (000’s)</w:t>
            </w:r>
          </w:p>
        </w:tc>
        <w:tc>
          <w:tcPr>
            <w:tcW w:w="48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536</w:t>
            </w:r>
          </w:p>
        </w:tc>
        <w:tc>
          <w:tcPr>
            <w:tcW w:w="28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507</w:t>
            </w:r>
          </w:p>
        </w:tc>
        <w:tc>
          <w:tcPr>
            <w:tcW w:w="28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Monthly Average Revenue per Subscriber</w:t>
            </w:r>
          </w:p>
        </w:tc>
        <w:tc>
          <w:tcPr>
            <w:tcW w:w="4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5E5E5"/>
          </w:tcPr>
          <w:p>
            <w:pPr>
              <w:jc w:val="right"/>
              <w:ind w:right="273"/>
              <w:spacing w:after="0"/>
              <w:rPr>
                <w:sz w:val="20"/>
                <w:szCs w:val="20"/>
                <w:color w:val="auto"/>
              </w:rPr>
            </w:pPr>
            <w:r>
              <w:rPr>
                <w:rFonts w:ascii="Times New Roman" w:cs="Times New Roman" w:eastAsia="Times New Roman" w:hAnsi="Times New Roman"/>
                <w:sz w:val="18"/>
                <w:szCs w:val="18"/>
                <w:color w:val="auto"/>
              </w:rPr>
              <w:t>43.14</w:t>
            </w:r>
          </w:p>
        </w:tc>
        <w:tc>
          <w:tcPr>
            <w:tcW w:w="2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5E5E5"/>
          </w:tcPr>
          <w:p>
            <w:pPr>
              <w:jc w:val="right"/>
              <w:ind w:right="273"/>
              <w:spacing w:after="0"/>
              <w:rPr>
                <w:sz w:val="20"/>
                <w:szCs w:val="20"/>
                <w:color w:val="auto"/>
              </w:rPr>
            </w:pPr>
            <w:r>
              <w:rPr>
                <w:rFonts w:ascii="Times New Roman" w:cs="Times New Roman" w:eastAsia="Times New Roman" w:hAnsi="Times New Roman"/>
                <w:sz w:val="18"/>
                <w:szCs w:val="18"/>
                <w:color w:val="auto"/>
              </w:rPr>
              <w:t>42.45</w:t>
            </w:r>
          </w:p>
        </w:tc>
        <w:tc>
          <w:tcPr>
            <w:tcW w:w="2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43.35</w:t>
            </w:r>
          </w:p>
        </w:tc>
        <w:tc>
          <w:tcPr>
            <w:tcW w:w="0" w:type="dxa"/>
            <w:vAlign w:val="bottom"/>
          </w:tcPr>
          <w:p>
            <w:pPr>
              <w:spacing w:after="0"/>
              <w:rPr>
                <w:sz w:val="1"/>
                <w:szCs w:val="1"/>
                <w:color w:val="auto"/>
              </w:rPr>
            </w:pPr>
          </w:p>
        </w:tc>
      </w:tr>
      <w:tr>
        <w:trPr>
          <w:trHeight w:val="323"/>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Phone</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Comcast Digital Voice</w:t>
            </w:r>
          </w:p>
        </w:tc>
        <w:tc>
          <w:tcPr>
            <w:tcW w:w="4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“Available” Homes (000’s)</w:t>
            </w:r>
          </w:p>
        </w:tc>
        <w:tc>
          <w:tcPr>
            <w:tcW w:w="48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w w:val="92"/>
              </w:rPr>
              <w:t>30,800</w:t>
            </w:r>
          </w:p>
        </w:tc>
        <w:tc>
          <w:tcPr>
            <w:tcW w:w="28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9,507</w:t>
            </w:r>
          </w:p>
        </w:tc>
        <w:tc>
          <w:tcPr>
            <w:tcW w:w="28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96"/>
              </w:rPr>
              <w:t>28,339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Subscribers (000’s)</w:t>
            </w:r>
          </w:p>
        </w:tc>
        <w:tc>
          <w:tcPr>
            <w:tcW w:w="4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Times New Roman" w:cs="Times New Roman" w:eastAsia="Times New Roman" w:hAnsi="Times New Roman"/>
                <w:sz w:val="18"/>
                <w:szCs w:val="18"/>
                <w:color w:val="auto"/>
              </w:rPr>
              <w:t>1,348</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Times New Roman" w:cs="Times New Roman" w:eastAsia="Times New Roman" w:hAnsi="Times New Roman"/>
                <w:sz w:val="18"/>
                <w:szCs w:val="18"/>
                <w:color w:val="auto"/>
              </w:rPr>
              <w:t>159</w:t>
            </w: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Penetration</w:t>
            </w:r>
          </w:p>
        </w:tc>
        <w:tc>
          <w:tcPr>
            <w:tcW w:w="4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Quarterly Net Subscriber Additions (000’s)</w:t>
            </w:r>
          </w:p>
        </w:tc>
        <w:tc>
          <w:tcPr>
            <w:tcW w:w="4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Times New Roman" w:cs="Times New Roman" w:eastAsia="Times New Roman" w:hAnsi="Times New Roman"/>
                <w:sz w:val="18"/>
                <w:szCs w:val="18"/>
                <w:color w:val="auto"/>
              </w:rPr>
              <w:t>483</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Circuit Switched Phone</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“Available” Homes (000’s)</w:t>
            </w:r>
          </w:p>
        </w:tc>
        <w:tc>
          <w:tcPr>
            <w:tcW w:w="4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Times New Roman" w:cs="Times New Roman" w:eastAsia="Times New Roman" w:hAnsi="Times New Roman"/>
                <w:sz w:val="18"/>
                <w:szCs w:val="18"/>
                <w:color w:val="auto"/>
              </w:rPr>
              <w:t>8,858</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Times New Roman" w:cs="Times New Roman" w:eastAsia="Times New Roman" w:hAnsi="Times New Roman"/>
                <w:sz w:val="18"/>
                <w:szCs w:val="18"/>
                <w:color w:val="auto"/>
              </w:rPr>
              <w:t>8,455</w:t>
            </w: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8,854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Subscribers (000’s)</w:t>
            </w:r>
          </w:p>
        </w:tc>
        <w:tc>
          <w:tcPr>
            <w:tcW w:w="48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740</w:t>
            </w:r>
          </w:p>
        </w:tc>
        <w:tc>
          <w:tcPr>
            <w:tcW w:w="28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1,042</w:t>
            </w:r>
          </w:p>
        </w:tc>
        <w:tc>
          <w:tcPr>
            <w:tcW w:w="28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Penetration</w:t>
            </w:r>
          </w:p>
        </w:tc>
        <w:tc>
          <w:tcPr>
            <w:tcW w:w="4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Quarterly Net Subscriber Additions (000’s)</w:t>
            </w:r>
          </w:p>
        </w:tc>
        <w:tc>
          <w:tcPr>
            <w:tcW w:w="480" w:type="dxa"/>
            <w:vAlign w:val="bottom"/>
          </w:tcPr>
          <w:p>
            <w:pPr>
              <w:spacing w:after="0"/>
              <w:rPr>
                <w:sz w:val="19"/>
                <w:szCs w:val="19"/>
                <w:color w:val="auto"/>
              </w:rPr>
            </w:pPr>
          </w:p>
        </w:tc>
        <w:tc>
          <w:tcPr>
            <w:tcW w:w="8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tcPr>
          <w:p>
            <w:pPr>
              <w:spacing w:after="0"/>
              <w:rPr>
                <w:sz w:val="19"/>
                <w:szCs w:val="19"/>
                <w:color w:val="auto"/>
              </w:rPr>
            </w:pPr>
          </w:p>
        </w:tc>
        <w:tc>
          <w:tcPr>
            <w:tcW w:w="8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Pr>
          <w:p>
            <w:pPr>
              <w:spacing w:after="0"/>
              <w:rPr>
                <w:sz w:val="19"/>
                <w:szCs w:val="19"/>
                <w:color w:val="auto"/>
              </w:rPr>
            </w:pP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Monthly Average Total Phone Revenue per Subscriber</w:t>
            </w:r>
          </w:p>
        </w:tc>
        <w:tc>
          <w:tcPr>
            <w:tcW w:w="4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5E5E5"/>
          </w:tcPr>
          <w:p>
            <w:pPr>
              <w:jc w:val="right"/>
              <w:ind w:right="273"/>
              <w:spacing w:after="0"/>
              <w:rPr>
                <w:sz w:val="20"/>
                <w:szCs w:val="20"/>
                <w:color w:val="auto"/>
              </w:rPr>
            </w:pPr>
            <w:r>
              <w:rPr>
                <w:rFonts w:ascii="Times New Roman" w:cs="Times New Roman" w:eastAsia="Times New Roman" w:hAnsi="Times New Roman"/>
                <w:sz w:val="18"/>
                <w:szCs w:val="18"/>
                <w:color w:val="auto"/>
              </w:rPr>
              <w:t>45.09</w:t>
            </w:r>
          </w:p>
        </w:tc>
        <w:tc>
          <w:tcPr>
            <w:tcW w:w="2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5E5E5"/>
          </w:tcPr>
          <w:p>
            <w:pPr>
              <w:jc w:val="right"/>
              <w:ind w:right="273"/>
              <w:spacing w:after="0"/>
              <w:rPr>
                <w:sz w:val="20"/>
                <w:szCs w:val="20"/>
                <w:color w:val="auto"/>
              </w:rPr>
            </w:pPr>
            <w:r>
              <w:rPr>
                <w:rFonts w:ascii="Times New Roman" w:cs="Times New Roman" w:eastAsia="Times New Roman" w:hAnsi="Times New Roman"/>
                <w:sz w:val="18"/>
                <w:szCs w:val="18"/>
                <w:color w:val="auto"/>
              </w:rPr>
              <w:t>46.94</w:t>
            </w:r>
          </w:p>
        </w:tc>
        <w:tc>
          <w:tcPr>
            <w:tcW w:w="2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45.35</w:t>
            </w:r>
          </w:p>
        </w:tc>
        <w:tc>
          <w:tcPr>
            <w:tcW w:w="0" w:type="dxa"/>
            <w:vAlign w:val="bottom"/>
          </w:tcPr>
          <w:p>
            <w:pPr>
              <w:spacing w:after="0"/>
              <w:rPr>
                <w:sz w:val="1"/>
                <w:szCs w:val="1"/>
                <w:color w:val="auto"/>
              </w:rPr>
            </w:pPr>
          </w:p>
        </w:tc>
      </w:tr>
      <w:tr>
        <w:trPr>
          <w:trHeight w:val="322"/>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 Generating Units (000’s) (6)</w:t>
            </w:r>
          </w:p>
        </w:tc>
        <w:tc>
          <w:tcPr>
            <w:tcW w:w="480" w:type="dxa"/>
            <w:vAlign w:val="bottom"/>
          </w:tcPr>
          <w:p>
            <w:pPr>
              <w:spacing w:after="0"/>
              <w:rPr>
                <w:sz w:val="24"/>
                <w:szCs w:val="24"/>
                <w:color w:val="auto"/>
              </w:rPr>
            </w:pPr>
          </w:p>
        </w:tc>
        <w:tc>
          <w:tcPr>
            <w:tcW w:w="8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w w:val="92"/>
              </w:rPr>
              <w:t>49,190</w:t>
            </w:r>
          </w:p>
        </w:tc>
        <w:tc>
          <w:tcPr>
            <w:tcW w:w="280" w:type="dxa"/>
            <w:vAlign w:val="bottom"/>
          </w:tcPr>
          <w:p>
            <w:pPr>
              <w:spacing w:after="0"/>
              <w:rPr>
                <w:sz w:val="24"/>
                <w:szCs w:val="24"/>
                <w:color w:val="auto"/>
              </w:rPr>
            </w:pPr>
          </w:p>
        </w:tc>
        <w:tc>
          <w:tcPr>
            <w:tcW w:w="8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w w:val="92"/>
              </w:rPr>
              <w:t>44,876</w:t>
            </w:r>
          </w:p>
        </w:tc>
        <w:tc>
          <w:tcPr>
            <w:tcW w:w="280" w:type="dxa"/>
            <w:vAlign w:val="bottom"/>
          </w:tcPr>
          <w:p>
            <w:pPr>
              <w:spacing w:after="0"/>
              <w:rPr>
                <w:sz w:val="24"/>
                <w:szCs w:val="24"/>
                <w:color w:val="auto"/>
              </w:rPr>
            </w:pP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96"/>
              </w:rPr>
              <w:t>47,705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Quarterly Net Additions</w:t>
            </w:r>
          </w:p>
        </w:tc>
        <w:tc>
          <w:tcPr>
            <w:tcW w:w="4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Times New Roman" w:cs="Times New Roman" w:eastAsia="Times New Roman" w:hAnsi="Times New Roman"/>
                <w:sz w:val="18"/>
                <w:szCs w:val="18"/>
                <w:color w:val="auto"/>
              </w:rPr>
              <w:t>1,486</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73"/>
              <w:spacing w:after="0"/>
              <w:rPr>
                <w:sz w:val="20"/>
                <w:szCs w:val="20"/>
                <w:color w:val="auto"/>
              </w:rPr>
            </w:pPr>
            <w:r>
              <w:rPr>
                <w:rFonts w:ascii="Times New Roman" w:cs="Times New Roman" w:eastAsia="Times New Roman" w:hAnsi="Times New Roman"/>
                <w:sz w:val="18"/>
                <w:szCs w:val="18"/>
                <w:color w:val="auto"/>
              </w:rPr>
              <w:t>816</w:t>
            </w: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line="275"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Non-GAAP and Other Financial Measures in Table 7. All percentages are calculated based on actual amounts. Minor differences may exist due to rounding.</w:t>
      </w:r>
    </w:p>
    <w:p>
      <w:pPr>
        <w:spacing w:after="0" w:line="38" w:lineRule="exact"/>
        <w:rPr>
          <w:rFonts w:ascii="Times New Roman" w:cs="Times New Roman" w:eastAsia="Times New Roman" w:hAnsi="Times New Roman"/>
          <w:sz w:val="18"/>
          <w:szCs w:val="18"/>
          <w:color w:val="auto"/>
        </w:rPr>
      </w:pPr>
    </w:p>
    <w:p>
      <w:pPr>
        <w:jc w:val="both"/>
        <w:ind w:left="460" w:hanging="452"/>
        <w:spacing w:after="0" w:line="258"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financial data includes the results of Susquehanna Communications acquired on April 30, 2006, cable systems acquired and sold in the Adelphia/Time Warner transactions on July 31, 2006, and cable systems serving Houston, Texas included as a result of the expected dissolution of our cable partnership with Time Warner, which was initiated in July 2006. The net impact of these transactions was to increase the number of basic cable subscribers by 2.6 million.</w:t>
      </w:r>
    </w:p>
    <w:p>
      <w:pPr>
        <w:spacing w:after="0" w:line="136" w:lineRule="exact"/>
        <w:rPr>
          <w:rFonts w:ascii="Times New Roman" w:cs="Times New Roman" w:eastAsia="Times New Roman" w:hAnsi="Times New Roman"/>
          <w:sz w:val="18"/>
          <w:szCs w:val="18"/>
          <w:color w:val="auto"/>
        </w:rPr>
      </w:pPr>
    </w:p>
    <w:p>
      <w:pPr>
        <w:ind w:left="4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subscriber data also includes 13,000 subscribers acquired in various small acquisitions during 2005. The impact of these acquisitions on our segment operating results was not material.</w:t>
      </w:r>
    </w:p>
    <w:p>
      <w:pPr>
        <w:spacing w:after="0" w:line="16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Video revenues consist of our basic, expanded basic, digital, premium, pay-per-view and equipment services.</w:t>
      </w:r>
    </w:p>
    <w:p>
      <w:pPr>
        <w:spacing w:after="0" w:line="90" w:lineRule="exact"/>
        <w:rPr>
          <w:rFonts w:ascii="Times New Roman" w:cs="Times New Roman" w:eastAsia="Times New Roman" w:hAnsi="Times New Roman"/>
          <w:sz w:val="18"/>
          <w:szCs w:val="18"/>
          <w:color w:val="auto"/>
        </w:rPr>
      </w:pPr>
    </w:p>
    <w:p>
      <w:pPr>
        <w:ind w:left="460" w:hanging="452"/>
        <w:spacing w:after="0" w:line="275"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revenues include installation revenues, guide revenues, commissions from electronic retailing, other product offerings, commercial data services and revenues of our digital media center and regional sports programming networks.</w:t>
      </w:r>
    </w:p>
    <w:p>
      <w:pPr>
        <w:sectPr>
          <w:pgSz w:w="11900" w:h="16838" w:orient="portrait"/>
          <w:cols w:equalWidth="0" w:num="1">
            <w:col w:w="11420"/>
          </w:cols>
          <w:pgMar w:left="240" w:top="967" w:right="239" w:bottom="0" w:gutter="0" w:footer="0" w:header="0"/>
        </w:sectPr>
      </w:pPr>
    </w:p>
    <w:bookmarkStart w:id="13" w:name="page14"/>
    <w:bookmarkEnd w:id="13"/>
    <w:p>
      <w:pPr>
        <w:ind w:left="452" w:hanging="452"/>
        <w:spacing w:after="0"/>
        <w:tabs>
          <w:tab w:leader="none" w:pos="4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as if stock options had been expensed in 2005.</w:t>
      </w:r>
    </w:p>
    <w:p>
      <w:pPr>
        <w:spacing w:after="0" w:line="9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sum of basic and digital video, high-speed Internet and net phone subscribers, excluding additional outlets.</w:t>
      </w:r>
    </w:p>
    <w:p>
      <w:pPr>
        <w:spacing w:after="0" w:line="176"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11"/>
          </w:cols>
          <w:pgMar w:left="248" w:top="125" w:right="1440"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7</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and Other Financial Measures</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Operating Cash Flow is the primary basis used to measure the operational strength and performance of our businesses. Free Cash Flow is an additional performance measure used as an indicator of our ability to repay debt, make investments and return capital to investors, principally through stock repurchases. We also adjust certain historical data on a pro forma basis following significant acquisitions or dispositions to enhance comparability.</w:t>
      </w:r>
    </w:p>
    <w:p>
      <w:pPr>
        <w:spacing w:after="0" w:line="13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Operating Cash Flow is defined as operating income before depreciation and amortization, excluding impairment charges related to fixed and intangible assets and gains or losses on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Operating Cash Flow is also useful to investors as it is one of the bases for comparing our operating performance with other companies in our industries, although our measure of Operating Cash Flow may not be directly comparable to similar measures used by other companies.</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Operating Cash Flow is the measure of our segment profit or loss, we reconcile it to operating income, the most directly comparable financial measure calculated and presented in accordance with Generally Accepted Accounting Principles (GAAP), in the business segment footnote of our quarterly and annual financial statements. Therefore, we believe our measure of Operating Cash Flow for our business segments is not a “non-GAAP financial measure” as contemplated by Regulation G adopted by the Securities and Exchange Commission. Consolidated Operating Cash Flow is a non-GAAP financial measure.</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Beginning in 2006, we changed our definition of Free Cash Flow, which is a non-GAAP financial measure, to mean “Net Cash Provided by Operating Activities From Continuing Operations” (as stated in our Consolidated Statement of Cash Flows) reduced by capital expenditures and cash paid for intangible assets; and increased by any payments related to certain non-operating items, net of estimated tax benefits (such as income taxes on investment sales, and non-recurring payments related to income tax and litigation contingencies of acquired companies). We believe that Free Cash Flow is also useful to investors as it is one of the bases for comparing our performance with other companies in our industries, although our measure of Free Cash Flow may not be comparable to similar measures used by other companies.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 forma data is used by management to evaluate performance when significant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prior year. Our pro forma data is only adjusted for the timing of acquisitions and does not include adjustments for costs related to integration activities, cost savings or synergies that have been or may be achieved by the combined businesses. We believe our pro forma data is not a non-GAAP financial measure as contemplated by Regulation G.</w:t>
      </w:r>
    </w:p>
    <w:p>
      <w:pPr>
        <w:spacing w:after="0" w:line="13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certain circumstances we also present data, as adjusted, in order to enhance comparability between periods. In connection with the adoption of FAS 123R, we have adjusted 2005 data as if stock options had been expensed.</w:t>
      </w:r>
    </w:p>
    <w:p>
      <w:pPr>
        <w:spacing w:after="0" w:line="120"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auto"/>
        </w:rPr>
        <w:t>Operating Cash Flow and Free Cash Flow should not be considered as substitutes for operating income (loss), net income (loss), net cash provided by operating activities or other measures of performance or liquidity reported in accordance with GAAP. Additionally, in the opinion of management, our pro forma data is not necessarily indicative of future results or what results would have been had the acquired businesses been operated by us after the assumed earlier date.</w:t>
      </w:r>
    </w:p>
    <w:p>
      <w:pPr>
        <w:spacing w:after="0" w:line="97"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We provide reconciliations of Consolidated Operating Cash Flow in Table 1, Free Cash Flow in Table 4, Pro Forma and “As Adjusted” in Tables 7-A and 7-B, and Adjusted Net Income in Table 7-C.</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96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7-A</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Pro Forma(1), “As Adjusted” Financial Data by Business Segment</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vMerge w:val="restart"/>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7"/>
              </w:rPr>
              <w:t>Corporate,</w:t>
            </w:r>
          </w:p>
        </w:tc>
        <w:tc>
          <w:tcPr>
            <w:tcW w:w="22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Cable</w:t>
            </w: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center"/>
              <w:ind w:right="274"/>
              <w:spacing w:after="0" w:line="149" w:lineRule="exact"/>
              <w:rPr>
                <w:sz w:val="20"/>
                <w:szCs w:val="20"/>
                <w:color w:val="auto"/>
              </w:rPr>
            </w:pPr>
            <w:r>
              <w:rPr>
                <w:rFonts w:ascii="Times New Roman" w:cs="Times New Roman" w:eastAsia="Times New Roman" w:hAnsi="Times New Roman"/>
                <w:sz w:val="14"/>
                <w:szCs w:val="14"/>
                <w:b w:val="1"/>
                <w:bCs w:val="1"/>
                <w:color w:val="auto"/>
                <w:w w:val="96"/>
              </w:rPr>
              <w:t>Other and</w:t>
            </w:r>
          </w:p>
        </w:tc>
        <w:tc>
          <w:tcPr>
            <w:tcW w:w="2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jc w:val="right"/>
              <w:ind w:right="314"/>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220" w:type="dxa"/>
            <w:vAlign w:val="bottom"/>
          </w:tcPr>
          <w:p>
            <w:pPr>
              <w:spacing w:after="0"/>
              <w:rPr>
                <w:sz w:val="12"/>
                <w:szCs w:val="12"/>
                <w:color w:val="auto"/>
              </w:rPr>
            </w:pPr>
          </w:p>
        </w:tc>
        <w:tc>
          <w:tcPr>
            <w:tcW w:w="640" w:type="dxa"/>
            <w:vAlign w:val="bottom"/>
            <w:tcBorders>
              <w:right w:val="single" w:sz="8" w:color="auto"/>
            </w:tcBorders>
          </w:tcPr>
          <w:p>
            <w:pPr>
              <w:jc w:val="right"/>
              <w:ind w:right="193"/>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Cable</w:t>
            </w:r>
          </w:p>
        </w:tc>
        <w:tc>
          <w:tcPr>
            <w:tcW w:w="400" w:type="dxa"/>
            <w:vAlign w:val="bottom"/>
          </w:tcPr>
          <w:p>
            <w:pPr>
              <w:spacing w:after="0"/>
              <w:rPr>
                <w:sz w:val="12"/>
                <w:szCs w:val="12"/>
                <w:color w:val="auto"/>
              </w:rPr>
            </w:pPr>
          </w:p>
        </w:tc>
        <w:tc>
          <w:tcPr>
            <w:tcW w:w="1080" w:type="dxa"/>
            <w:vAlign w:val="bottom"/>
          </w:tcPr>
          <w:p>
            <w:pPr>
              <w:jc w:val="right"/>
              <w:ind w:right="294"/>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240" w:type="dxa"/>
            <w:vAlign w:val="bottom"/>
          </w:tcPr>
          <w:p>
            <w:pPr>
              <w:spacing w:after="0"/>
              <w:rPr>
                <w:sz w:val="12"/>
                <w:szCs w:val="12"/>
                <w:color w:val="auto"/>
              </w:rPr>
            </w:pPr>
          </w:p>
        </w:tc>
        <w:tc>
          <w:tcPr>
            <w:tcW w:w="620" w:type="dxa"/>
            <w:vAlign w:val="bottom"/>
          </w:tcPr>
          <w:p>
            <w:pPr>
              <w:jc w:val="right"/>
              <w:ind w:right="193"/>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Cable (2)</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Content</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Eliminations (2) (6)</w:t>
            </w:r>
          </w:p>
        </w:tc>
        <w:tc>
          <w:tcPr>
            <w:tcW w:w="220" w:type="dxa"/>
            <w:vAlign w:val="bottom"/>
          </w:tcPr>
          <w:p>
            <w:pPr>
              <w:spacing w:after="0"/>
              <w:rPr>
                <w:sz w:val="14"/>
                <w:szCs w:val="14"/>
                <w:color w:val="auto"/>
              </w:rPr>
            </w:pPr>
          </w:p>
        </w:tc>
        <w:tc>
          <w:tcPr>
            <w:tcW w:w="540" w:type="dxa"/>
            <w:vAlign w:val="bottom"/>
            <w:tcBorders>
              <w:right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Adjustments (1) (3)</w:t>
            </w:r>
          </w:p>
        </w:tc>
        <w:tc>
          <w:tcPr>
            <w:tcW w:w="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Adjustments (1) (4)</w:t>
            </w: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20" w:type="dxa"/>
            <w:vAlign w:val="bottom"/>
            <w:tcBorders>
              <w:top w:val="single" w:sz="8" w:color="auto"/>
            </w:tcBorders>
            <w:shd w:val="clear" w:color="auto" w:fill="E5E5E5"/>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60" w:type="dxa"/>
            <w:vAlign w:val="bottom"/>
            <w:tcBorders>
              <w:top w:val="single" w:sz="8" w:color="auto"/>
            </w:tcBorders>
            <w:shd w:val="clear" w:color="auto" w:fill="E5E5E5"/>
          </w:tcPr>
          <w:p>
            <w:pPr>
              <w:spacing w:after="0"/>
              <w:rPr>
                <w:sz w:val="16"/>
                <w:szCs w:val="16"/>
                <w:color w:val="auto"/>
              </w:rPr>
            </w:pPr>
          </w:p>
        </w:tc>
        <w:tc>
          <w:tcPr>
            <w:tcW w:w="620" w:type="dxa"/>
            <w:vAlign w:val="bottom"/>
            <w:tcBorders>
              <w:top w:val="single" w:sz="8" w:color="auto"/>
            </w:tcBorders>
            <w:shd w:val="clear" w:color="auto" w:fill="E5E5E5"/>
          </w:tcPr>
          <w:p>
            <w:pPr>
              <w:spacing w:after="0"/>
              <w:rPr>
                <w:sz w:val="16"/>
                <w:szCs w:val="16"/>
                <w:color w:val="auto"/>
              </w:rPr>
            </w:pPr>
          </w:p>
        </w:tc>
        <w:tc>
          <w:tcPr>
            <w:tcW w:w="260" w:type="dxa"/>
            <w:vAlign w:val="bottom"/>
            <w:tcBorders>
              <w:top w:val="single" w:sz="8" w:color="auto"/>
            </w:tcBorders>
            <w:shd w:val="clear" w:color="auto" w:fill="E5E5E5"/>
          </w:tcPr>
          <w:p>
            <w:pPr>
              <w:spacing w:after="0"/>
              <w:rPr>
                <w:sz w:val="16"/>
                <w:szCs w:val="16"/>
                <w:color w:val="auto"/>
              </w:rPr>
            </w:pPr>
          </w:p>
        </w:tc>
        <w:tc>
          <w:tcPr>
            <w:tcW w:w="460" w:type="dxa"/>
            <w:vAlign w:val="bottom"/>
            <w:tcBorders>
              <w:top w:val="single" w:sz="8" w:color="auto"/>
            </w:tcBorders>
            <w:shd w:val="clear" w:color="auto" w:fill="E5E5E5"/>
          </w:tcPr>
          <w:p>
            <w:pPr>
              <w:spacing w:after="0"/>
              <w:rPr>
                <w:sz w:val="16"/>
                <w:szCs w:val="16"/>
                <w:color w:val="auto"/>
              </w:rPr>
            </w:pPr>
          </w:p>
        </w:tc>
        <w:tc>
          <w:tcPr>
            <w:tcW w:w="300" w:type="dxa"/>
            <w:vAlign w:val="bottom"/>
            <w:tcBorders>
              <w:top w:val="single" w:sz="8" w:color="auto"/>
            </w:tcBorders>
            <w:shd w:val="clear" w:color="auto" w:fill="E5E5E5"/>
          </w:tcPr>
          <w:p>
            <w:pPr>
              <w:spacing w:after="0"/>
              <w:rPr>
                <w:sz w:val="16"/>
                <w:szCs w:val="16"/>
                <w:color w:val="auto"/>
              </w:rPr>
            </w:pPr>
          </w:p>
        </w:tc>
        <w:tc>
          <w:tcPr>
            <w:tcW w:w="1120" w:type="dxa"/>
            <w:vAlign w:val="bottom"/>
            <w:tcBorders>
              <w:top w:val="single" w:sz="8" w:color="auto"/>
            </w:tcBorders>
            <w:shd w:val="clear" w:color="auto" w:fill="E5E5E5"/>
          </w:tcPr>
          <w:p>
            <w:pPr>
              <w:spacing w:after="0"/>
              <w:rPr>
                <w:sz w:val="16"/>
                <w:szCs w:val="16"/>
                <w:color w:val="auto"/>
              </w:rPr>
            </w:pPr>
          </w:p>
        </w:tc>
        <w:tc>
          <w:tcPr>
            <w:tcW w:w="220" w:type="dxa"/>
            <w:vAlign w:val="bottom"/>
            <w:tcBorders>
              <w:top w:val="single" w:sz="8" w:color="auto"/>
            </w:tcBorders>
            <w:shd w:val="clear" w:color="auto" w:fill="E5E5E5"/>
          </w:tcPr>
          <w:p>
            <w:pPr>
              <w:spacing w:after="0"/>
              <w:rPr>
                <w:sz w:val="16"/>
                <w:szCs w:val="16"/>
                <w:color w:val="auto"/>
              </w:rPr>
            </w:pPr>
          </w:p>
        </w:tc>
        <w:tc>
          <w:tcPr>
            <w:tcW w:w="540" w:type="dxa"/>
            <w:vAlign w:val="bottom"/>
            <w:tcBorders>
              <w:top w:val="single" w:sz="8" w:color="auto"/>
              <w:right w:val="single" w:sz="8" w:color="auto"/>
            </w:tcBorders>
            <w:shd w:val="clear" w:color="auto" w:fill="E5E5E5"/>
          </w:tcPr>
          <w:p>
            <w:pPr>
              <w:spacing w:after="0"/>
              <w:rPr>
                <w:sz w:val="16"/>
                <w:szCs w:val="16"/>
                <w:color w:val="auto"/>
              </w:rPr>
            </w:pPr>
          </w:p>
        </w:tc>
        <w:tc>
          <w:tcPr>
            <w:tcW w:w="400" w:type="dxa"/>
            <w:vAlign w:val="bottom"/>
            <w:tcBorders>
              <w:top w:val="single" w:sz="8" w:color="auto"/>
            </w:tcBorders>
            <w:shd w:val="clear" w:color="auto" w:fill="E5E5E5"/>
          </w:tcPr>
          <w:p>
            <w:pPr>
              <w:spacing w:after="0"/>
              <w:rPr>
                <w:sz w:val="16"/>
                <w:szCs w:val="16"/>
                <w:color w:val="auto"/>
              </w:rPr>
            </w:pPr>
          </w:p>
        </w:tc>
        <w:tc>
          <w:tcPr>
            <w:tcW w:w="1100" w:type="dxa"/>
            <w:vAlign w:val="bottom"/>
            <w:tcBorders>
              <w:top w:val="single" w:sz="8" w:color="auto"/>
            </w:tcBorders>
            <w:shd w:val="clear" w:color="auto" w:fill="E5E5E5"/>
          </w:tcPr>
          <w:p>
            <w:pPr>
              <w:spacing w:after="0"/>
              <w:rPr>
                <w:sz w:val="16"/>
                <w:szCs w:val="16"/>
                <w:color w:val="auto"/>
              </w:rPr>
            </w:pPr>
          </w:p>
        </w:tc>
        <w:tc>
          <w:tcPr>
            <w:tcW w:w="220" w:type="dxa"/>
            <w:vAlign w:val="bottom"/>
            <w:tcBorders>
              <w:top w:val="single" w:sz="8" w:color="auto"/>
            </w:tcBorders>
            <w:shd w:val="clear" w:color="auto" w:fill="E5E5E5"/>
          </w:tcPr>
          <w:p>
            <w:pPr>
              <w:spacing w:after="0"/>
              <w:rPr>
                <w:sz w:val="16"/>
                <w:szCs w:val="16"/>
                <w:color w:val="auto"/>
              </w:rPr>
            </w:pPr>
          </w:p>
        </w:tc>
        <w:tc>
          <w:tcPr>
            <w:tcW w:w="640" w:type="dxa"/>
            <w:vAlign w:val="bottom"/>
            <w:tcBorders>
              <w:top w:val="single" w:sz="8" w:color="auto"/>
              <w:right w:val="single" w:sz="8" w:color="auto"/>
            </w:tcBorders>
            <w:shd w:val="clear" w:color="auto" w:fill="E5E5E5"/>
          </w:tcPr>
          <w:p>
            <w:pPr>
              <w:spacing w:after="0"/>
              <w:rPr>
                <w:sz w:val="16"/>
                <w:szCs w:val="16"/>
                <w:color w:val="auto"/>
              </w:rPr>
            </w:pPr>
          </w:p>
        </w:tc>
        <w:tc>
          <w:tcPr>
            <w:tcW w:w="400" w:type="dxa"/>
            <w:vAlign w:val="bottom"/>
            <w:tcBorders>
              <w:top w:val="single" w:sz="8" w:color="auto"/>
            </w:tcBorders>
            <w:shd w:val="clear" w:color="auto" w:fill="E5E5E5"/>
          </w:tcPr>
          <w:p>
            <w:pPr>
              <w:spacing w:after="0"/>
              <w:rPr>
                <w:sz w:val="16"/>
                <w:szCs w:val="16"/>
                <w:color w:val="auto"/>
              </w:rPr>
            </w:pPr>
          </w:p>
        </w:tc>
        <w:tc>
          <w:tcPr>
            <w:tcW w:w="1080" w:type="dxa"/>
            <w:vAlign w:val="bottom"/>
            <w:tcBorders>
              <w:top w:val="single" w:sz="8" w:color="auto"/>
            </w:tcBorders>
            <w:shd w:val="clear" w:color="auto" w:fill="E5E5E5"/>
          </w:tcPr>
          <w:p>
            <w:pPr>
              <w:spacing w:after="0"/>
              <w:rPr>
                <w:sz w:val="16"/>
                <w:szCs w:val="16"/>
                <w:color w:val="auto"/>
              </w:rPr>
            </w:pPr>
          </w:p>
        </w:tc>
        <w:tc>
          <w:tcPr>
            <w:tcW w:w="240" w:type="dxa"/>
            <w:vAlign w:val="bottom"/>
            <w:tcBorders>
              <w:top w:val="single" w:sz="8" w:color="auto"/>
            </w:tcBorders>
            <w:shd w:val="clear" w:color="auto" w:fill="E5E5E5"/>
          </w:tcPr>
          <w:p>
            <w:pPr>
              <w:spacing w:after="0"/>
              <w:rPr>
                <w:sz w:val="16"/>
                <w:szCs w:val="16"/>
                <w:color w:val="auto"/>
              </w:rPr>
            </w:pPr>
          </w:p>
        </w:tc>
        <w:tc>
          <w:tcPr>
            <w:tcW w:w="620" w:type="dxa"/>
            <w:vAlign w:val="bottom"/>
            <w:tcBorders>
              <w:top w:val="single" w:sz="8" w:color="auto"/>
            </w:tcBorders>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82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b w:val="1"/>
                <w:bCs w:val="1"/>
                <w:color w:val="auto"/>
              </w:rPr>
              <w:t>2006</w:t>
            </w:r>
          </w:p>
        </w:tc>
        <w:tc>
          <w:tcPr>
            <w:tcW w:w="360" w:type="dxa"/>
            <w:vAlign w:val="bottom"/>
            <w:shd w:val="clear" w:color="auto" w:fill="E5E5E5"/>
          </w:tcPr>
          <w:p>
            <w:pPr>
              <w:spacing w:after="0"/>
              <w:rPr>
                <w:sz w:val="20"/>
                <w:szCs w:val="20"/>
                <w:color w:val="auto"/>
              </w:rPr>
            </w:pPr>
          </w:p>
        </w:tc>
        <w:tc>
          <w:tcPr>
            <w:tcW w:w="62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460" w:type="dxa"/>
            <w:vAlign w:val="bottom"/>
            <w:shd w:val="clear" w:color="auto" w:fill="E5E5E5"/>
          </w:tcPr>
          <w:p>
            <w:pPr>
              <w:spacing w:after="0"/>
              <w:rPr>
                <w:sz w:val="20"/>
                <w:szCs w:val="20"/>
                <w:color w:val="auto"/>
              </w:rPr>
            </w:pPr>
          </w:p>
        </w:tc>
        <w:tc>
          <w:tcPr>
            <w:tcW w:w="300" w:type="dxa"/>
            <w:vAlign w:val="bottom"/>
            <w:shd w:val="clear" w:color="auto" w:fill="E5E5E5"/>
          </w:tcPr>
          <w:p>
            <w:pPr>
              <w:spacing w:after="0"/>
              <w:rPr>
                <w:sz w:val="20"/>
                <w:szCs w:val="20"/>
                <w:color w:val="auto"/>
              </w:rPr>
            </w:pPr>
          </w:p>
        </w:tc>
        <w:tc>
          <w:tcPr>
            <w:tcW w:w="112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540" w:type="dxa"/>
            <w:vAlign w:val="bottom"/>
            <w:tcBorders>
              <w:right w:val="single" w:sz="8" w:color="auto"/>
            </w:tcBorders>
            <w:shd w:val="clear" w:color="auto" w:fill="E5E5E5"/>
          </w:tcPr>
          <w:p>
            <w:pPr>
              <w:spacing w:after="0"/>
              <w:rPr>
                <w:sz w:val="20"/>
                <w:szCs w:val="20"/>
                <w:color w:val="auto"/>
              </w:rPr>
            </w:pPr>
          </w:p>
        </w:tc>
        <w:tc>
          <w:tcPr>
            <w:tcW w:w="400" w:type="dxa"/>
            <w:vAlign w:val="bottom"/>
            <w:shd w:val="clear" w:color="auto" w:fill="E5E5E5"/>
          </w:tcPr>
          <w:p>
            <w:pPr>
              <w:spacing w:after="0"/>
              <w:rPr>
                <w:sz w:val="20"/>
                <w:szCs w:val="20"/>
                <w:color w:val="auto"/>
              </w:rPr>
            </w:pPr>
          </w:p>
        </w:tc>
        <w:tc>
          <w:tcPr>
            <w:tcW w:w="110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640" w:type="dxa"/>
            <w:vAlign w:val="bottom"/>
            <w:tcBorders>
              <w:right w:val="single" w:sz="8" w:color="auto"/>
            </w:tcBorders>
            <w:shd w:val="clear" w:color="auto" w:fill="E5E5E5"/>
          </w:tcPr>
          <w:p>
            <w:pPr>
              <w:spacing w:after="0"/>
              <w:rPr>
                <w:sz w:val="20"/>
                <w:szCs w:val="20"/>
                <w:color w:val="auto"/>
              </w:rPr>
            </w:pPr>
          </w:p>
        </w:tc>
        <w:tc>
          <w:tcPr>
            <w:tcW w:w="400" w:type="dxa"/>
            <w:vAlign w:val="bottom"/>
            <w:shd w:val="clear" w:color="auto" w:fill="E5E5E5"/>
          </w:tcPr>
          <w:p>
            <w:pPr>
              <w:spacing w:after="0"/>
              <w:rPr>
                <w:sz w:val="20"/>
                <w:szCs w:val="20"/>
                <w:color w:val="auto"/>
              </w:rPr>
            </w:pPr>
          </w:p>
        </w:tc>
        <w:tc>
          <w:tcPr>
            <w:tcW w:w="108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62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98"/>
              </w:rPr>
              <w:t>6,312</w:t>
            </w: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258</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93"/>
              </w:rPr>
              <w:t>6,432</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6,630</w:t>
            </w:r>
          </w:p>
        </w:tc>
        <w:tc>
          <w:tcPr>
            <w:tcW w:w="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472</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6,904</w:t>
            </w:r>
          </w:p>
        </w:tc>
        <w:tc>
          <w:tcPr>
            <w:tcW w:w="0" w:type="dxa"/>
            <w:vAlign w:val="bottom"/>
          </w:tcPr>
          <w:p>
            <w:pPr>
              <w:spacing w:after="0"/>
              <w:rPr>
                <w:sz w:val="1"/>
                <w:szCs w:val="1"/>
                <w:color w:val="auto"/>
              </w:rPr>
            </w:pPr>
          </w:p>
        </w:tc>
      </w:tr>
      <w:tr>
        <w:trPr>
          <w:trHeight w:val="231"/>
        </w:trPr>
        <w:tc>
          <w:tcPr>
            <w:tcW w:w="20" w:type="dxa"/>
            <w:vAlign w:val="bottom"/>
            <w:vMerge w:val="restart"/>
          </w:tcPr>
          <w:p>
            <w:pPr>
              <w:spacing w:after="0"/>
              <w:rPr>
                <w:sz w:val="20"/>
                <w:szCs w:val="20"/>
                <w:color w:val="auto"/>
              </w:rPr>
            </w:pPr>
          </w:p>
        </w:tc>
        <w:tc>
          <w:tcPr>
            <w:tcW w:w="2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20" w:type="dxa"/>
            <w:vAlign w:val="bottom"/>
            <w:shd w:val="clear" w:color="auto" w:fill="E5E5E5"/>
          </w:tcPr>
          <w:p>
            <w:pPr>
              <w:spacing w:after="0" w:line="201" w:lineRule="exact"/>
              <w:rPr>
                <w:sz w:val="20"/>
                <w:szCs w:val="20"/>
                <w:color w:val="auto"/>
              </w:rPr>
            </w:pPr>
            <w:r>
              <w:rPr>
                <w:rFonts w:ascii="Times New Roman" w:cs="Times New Roman" w:eastAsia="Times New Roman" w:hAnsi="Times New Roman"/>
                <w:sz w:val="18"/>
                <w:szCs w:val="18"/>
                <w:color w:val="auto"/>
              </w:rPr>
              <w:t>Operating Expenses (excluding</w:t>
            </w:r>
          </w:p>
        </w:tc>
        <w:tc>
          <w:tcPr>
            <w:tcW w:w="360" w:type="dxa"/>
            <w:vAlign w:val="bottom"/>
            <w:shd w:val="clear" w:color="auto" w:fill="E5E5E5"/>
          </w:tcPr>
          <w:p>
            <w:pPr>
              <w:spacing w:after="0"/>
              <w:rPr>
                <w:sz w:val="17"/>
                <w:szCs w:val="17"/>
                <w:color w:val="auto"/>
              </w:rPr>
            </w:pPr>
          </w:p>
        </w:tc>
        <w:tc>
          <w:tcPr>
            <w:tcW w:w="620" w:type="dxa"/>
            <w:vAlign w:val="bottom"/>
            <w:vMerge w:val="restart"/>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w w:val="98"/>
              </w:rPr>
              <w:t>3,805</w:t>
            </w:r>
          </w:p>
        </w:tc>
        <w:tc>
          <w:tcPr>
            <w:tcW w:w="260" w:type="dxa"/>
            <w:vAlign w:val="bottom"/>
            <w:shd w:val="clear" w:color="auto" w:fill="E5E5E5"/>
          </w:tcPr>
          <w:p>
            <w:pPr>
              <w:spacing w:after="0"/>
              <w:rPr>
                <w:sz w:val="17"/>
                <w:szCs w:val="17"/>
                <w:color w:val="auto"/>
              </w:rPr>
            </w:pPr>
          </w:p>
        </w:tc>
        <w:tc>
          <w:tcPr>
            <w:tcW w:w="460" w:type="dxa"/>
            <w:vAlign w:val="bottom"/>
            <w:vMerge w:val="restart"/>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170</w:t>
            </w:r>
          </w:p>
        </w:tc>
        <w:tc>
          <w:tcPr>
            <w:tcW w:w="300" w:type="dxa"/>
            <w:vAlign w:val="bottom"/>
            <w:shd w:val="clear" w:color="auto" w:fill="E5E5E5"/>
          </w:tcPr>
          <w:p>
            <w:pPr>
              <w:spacing w:after="0"/>
              <w:rPr>
                <w:sz w:val="17"/>
                <w:szCs w:val="17"/>
                <w:color w:val="auto"/>
              </w:rPr>
            </w:pPr>
          </w:p>
        </w:tc>
        <w:tc>
          <w:tcPr>
            <w:tcW w:w="1120" w:type="dxa"/>
            <w:vAlign w:val="bottom"/>
            <w:vMerge w:val="restart"/>
            <w:shd w:val="clear" w:color="auto" w:fill="E5E5E5"/>
          </w:tcPr>
          <w:p>
            <w:pPr>
              <w:jc w:val="right"/>
              <w:ind w:right="94"/>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E5E5E5"/>
          </w:tcPr>
          <w:p>
            <w:pPr>
              <w:spacing w:after="0"/>
              <w:rPr>
                <w:sz w:val="17"/>
                <w:szCs w:val="17"/>
                <w:color w:val="auto"/>
              </w:rPr>
            </w:pPr>
          </w:p>
        </w:tc>
        <w:tc>
          <w:tcPr>
            <w:tcW w:w="540" w:type="dxa"/>
            <w:vAlign w:val="bottom"/>
            <w:tcBorders>
              <w:right w:val="single" w:sz="8" w:color="auto"/>
            </w:tcBorders>
            <w:vMerge w:val="restart"/>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w w:val="93"/>
              </w:rPr>
              <w:t>3,995</w:t>
            </w:r>
          </w:p>
        </w:tc>
        <w:tc>
          <w:tcPr>
            <w:tcW w:w="400" w:type="dxa"/>
            <w:vAlign w:val="bottom"/>
            <w:shd w:val="clear" w:color="auto" w:fill="E5E5E5"/>
          </w:tcPr>
          <w:p>
            <w:pPr>
              <w:spacing w:after="0"/>
              <w:rPr>
                <w:sz w:val="17"/>
                <w:szCs w:val="17"/>
                <w:color w:val="auto"/>
              </w:rPr>
            </w:pPr>
          </w:p>
        </w:tc>
        <w:tc>
          <w:tcPr>
            <w:tcW w:w="1100" w:type="dxa"/>
            <w:vAlign w:val="bottom"/>
            <w:vMerge w:val="restart"/>
            <w:shd w:val="clear" w:color="auto" w:fill="E5E5E5"/>
          </w:tcPr>
          <w:p>
            <w:pPr>
              <w:jc w:val="right"/>
              <w:ind w:right="54"/>
              <w:spacing w:after="0"/>
              <w:rPr>
                <w:sz w:val="20"/>
                <w:szCs w:val="20"/>
                <w:color w:val="auto"/>
              </w:rPr>
            </w:pPr>
            <w:r>
              <w:rPr>
                <w:rFonts w:ascii="Times New Roman" w:cs="Times New Roman" w:eastAsia="Times New Roman" w:hAnsi="Times New Roman"/>
                <w:sz w:val="18"/>
                <w:szCs w:val="18"/>
                <w:color w:val="auto"/>
              </w:rPr>
              <w:t>201</w:t>
            </w:r>
          </w:p>
        </w:tc>
        <w:tc>
          <w:tcPr>
            <w:tcW w:w="220" w:type="dxa"/>
            <w:vAlign w:val="bottom"/>
            <w:shd w:val="clear" w:color="auto" w:fill="E5E5E5"/>
          </w:tcPr>
          <w:p>
            <w:pPr>
              <w:spacing w:after="0"/>
              <w:rPr>
                <w:sz w:val="17"/>
                <w:szCs w:val="17"/>
                <w:color w:val="auto"/>
              </w:rPr>
            </w:pPr>
          </w:p>
        </w:tc>
        <w:tc>
          <w:tcPr>
            <w:tcW w:w="640" w:type="dxa"/>
            <w:vAlign w:val="bottom"/>
            <w:tcBorders>
              <w:right w:val="single" w:sz="8" w:color="auto"/>
            </w:tcBorders>
            <w:vMerge w:val="restart"/>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4,006</w:t>
            </w:r>
          </w:p>
        </w:tc>
        <w:tc>
          <w:tcPr>
            <w:tcW w:w="400" w:type="dxa"/>
            <w:vAlign w:val="bottom"/>
            <w:shd w:val="clear" w:color="auto" w:fill="E5E5E5"/>
          </w:tcPr>
          <w:p>
            <w:pPr>
              <w:spacing w:after="0"/>
              <w:rPr>
                <w:sz w:val="17"/>
                <w:szCs w:val="17"/>
                <w:color w:val="auto"/>
              </w:rPr>
            </w:pPr>
          </w:p>
        </w:tc>
        <w:tc>
          <w:tcPr>
            <w:tcW w:w="1080" w:type="dxa"/>
            <w:vAlign w:val="bottom"/>
            <w:vMerge w:val="restart"/>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301</w:t>
            </w:r>
          </w:p>
        </w:tc>
        <w:tc>
          <w:tcPr>
            <w:tcW w:w="240" w:type="dxa"/>
            <w:vAlign w:val="bottom"/>
            <w:shd w:val="clear" w:color="auto" w:fill="E5E5E5"/>
          </w:tcPr>
          <w:p>
            <w:pPr>
              <w:spacing w:after="0"/>
              <w:rPr>
                <w:sz w:val="17"/>
                <w:szCs w:val="17"/>
                <w:color w:val="auto"/>
              </w:rPr>
            </w:pPr>
          </w:p>
        </w:tc>
        <w:tc>
          <w:tcPr>
            <w:tcW w:w="620" w:type="dxa"/>
            <w:vAlign w:val="bottom"/>
            <w:vMerge w:val="restart"/>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4,296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20" w:type="dxa"/>
            <w:vAlign w:val="bottom"/>
            <w:tcBorders>
              <w:bottom w:val="single" w:sz="8" w:color="E5E5E5"/>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vMerge w:val="continue"/>
            <w:shd w:val="clear" w:color="auto" w:fill="E5E5E5"/>
          </w:tcPr>
          <w:p>
            <w:pPr>
              <w:spacing w:after="0"/>
              <w:rPr>
                <w:sz w:val="18"/>
                <w:szCs w:val="18"/>
                <w:color w:val="auto"/>
              </w:rPr>
            </w:pPr>
          </w:p>
        </w:tc>
        <w:tc>
          <w:tcPr>
            <w:tcW w:w="26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vMerge w:val="continue"/>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spacing w:after="0"/>
              <w:rPr>
                <w:sz w:val="18"/>
                <w:szCs w:val="18"/>
                <w:color w:val="auto"/>
              </w:rPr>
            </w:pPr>
          </w:p>
        </w:tc>
        <w:tc>
          <w:tcPr>
            <w:tcW w:w="1120" w:type="dxa"/>
            <w:vAlign w:val="bottom"/>
            <w:tcBorders>
              <w:bottom w:val="single" w:sz="8" w:color="auto"/>
            </w:tcBorders>
            <w:vMerge w:val="continue"/>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right w:val="single" w:sz="8" w:color="auto"/>
            </w:tcBorders>
            <w:vMerge w:val="continue"/>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1100" w:type="dxa"/>
            <w:vAlign w:val="bottom"/>
            <w:tcBorders>
              <w:bottom w:val="single" w:sz="8" w:color="auto"/>
            </w:tcBorders>
            <w:vMerge w:val="continue"/>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right w:val="single" w:sz="8" w:color="auto"/>
            </w:tcBorders>
            <w:vMerge w:val="continue"/>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vMerge w:val="continue"/>
            <w:shd w:val="clear" w:color="auto" w:fill="E5E5E5"/>
          </w:tcPr>
          <w:p>
            <w:pPr>
              <w:spacing w:after="0"/>
              <w:rPr>
                <w:sz w:val="18"/>
                <w:szCs w:val="18"/>
                <w:color w:val="auto"/>
              </w:rPr>
            </w:pP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vMerge w:val="continue"/>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w:t>
            </w:r>
          </w:p>
        </w:tc>
        <w:tc>
          <w:tcPr>
            <w:tcW w:w="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98"/>
              </w:rPr>
              <w:t>2,507</w:t>
            </w: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88</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93"/>
              </w:rPr>
              <w:t>2,437</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2,624</w:t>
            </w:r>
          </w:p>
        </w:tc>
        <w:tc>
          <w:tcPr>
            <w:tcW w:w="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w w:val="98"/>
              </w:rPr>
              <w:t>1,157</w:t>
            </w:r>
          </w:p>
        </w:tc>
        <w:tc>
          <w:tcPr>
            <w:tcW w:w="26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tcBorders>
              <w:bottom w:val="single" w:sz="8" w:color="auto"/>
            </w:tcBorders>
            <w:shd w:val="clear" w:color="auto" w:fill="E5E5E5"/>
          </w:tcPr>
          <w:p>
            <w:pPr>
              <w:spacing w:after="0"/>
              <w:rPr>
                <w:sz w:val="18"/>
                <w:szCs w:val="18"/>
                <w:color w:val="auto"/>
              </w:rPr>
            </w:pPr>
          </w:p>
        </w:tc>
        <w:tc>
          <w:tcPr>
            <w:tcW w:w="1120" w:type="dxa"/>
            <w:vAlign w:val="bottom"/>
            <w:tcBorders>
              <w:bottom w:val="single" w:sz="8" w:color="auto"/>
            </w:tcBorders>
            <w:shd w:val="clear" w:color="auto" w:fill="E5E5E5"/>
          </w:tcPr>
          <w:p>
            <w:pPr>
              <w:jc w:val="right"/>
              <w:ind w:right="94"/>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right w:val="single" w:sz="8" w:color="auto"/>
            </w:tcBorders>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w w:val="93"/>
              </w:rPr>
              <w:t>1,213</w:t>
            </w:r>
          </w:p>
        </w:tc>
        <w:tc>
          <w:tcPr>
            <w:tcW w:w="400" w:type="dxa"/>
            <w:vAlign w:val="bottom"/>
            <w:tcBorders>
              <w:bottom w:val="single" w:sz="8" w:color="auto"/>
            </w:tcBorders>
            <w:shd w:val="clear" w:color="auto" w:fill="E5E5E5"/>
          </w:tcPr>
          <w:p>
            <w:pPr>
              <w:spacing w:after="0"/>
              <w:rPr>
                <w:sz w:val="18"/>
                <w:szCs w:val="18"/>
                <w:color w:val="auto"/>
              </w:rPr>
            </w:pPr>
          </w:p>
        </w:tc>
        <w:tc>
          <w:tcPr>
            <w:tcW w:w="1100" w:type="dxa"/>
            <w:vAlign w:val="bottom"/>
            <w:tcBorders>
              <w:bottom w:val="single" w:sz="8" w:color="auto"/>
            </w:tcBorders>
            <w:shd w:val="clear" w:color="auto" w:fill="E5E5E5"/>
          </w:tcPr>
          <w:p>
            <w:pPr>
              <w:jc w:val="right"/>
              <w:ind w:right="54"/>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right w:val="single" w:sz="8" w:color="auto"/>
            </w:tcBorders>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1,204</w:t>
            </w:r>
          </w:p>
        </w:tc>
        <w:tc>
          <w:tcPr>
            <w:tcW w:w="40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1,263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98"/>
              </w:rPr>
              <w:t>1,350</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93"/>
              </w:rPr>
              <w:t>1,224</w:t>
            </w:r>
          </w:p>
        </w:tc>
        <w:tc>
          <w:tcPr>
            <w:tcW w:w="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1,420</w:t>
            </w:r>
          </w:p>
        </w:tc>
        <w:tc>
          <w:tcPr>
            <w:tcW w:w="4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1,345</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82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60" w:type="dxa"/>
            <w:vAlign w:val="bottom"/>
            <w:tcBorders>
              <w:bottom w:val="single" w:sz="8" w:color="auto"/>
            </w:tcBorders>
            <w:shd w:val="clear" w:color="auto" w:fill="E5E5E5"/>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w w:val="98"/>
              </w:rPr>
              <w:t>1,206</w:t>
            </w:r>
          </w:p>
        </w:tc>
        <w:tc>
          <w:tcPr>
            <w:tcW w:w="260" w:type="dxa"/>
            <w:vAlign w:val="bottom"/>
            <w:tcBorders>
              <w:bottom w:val="single" w:sz="8" w:color="auto"/>
            </w:tcBorders>
            <w:shd w:val="clear" w:color="auto" w:fill="E5E5E5"/>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Borders>
              <w:bottom w:val="single" w:sz="8" w:color="auto"/>
            </w:tcBorders>
            <w:shd w:val="clear" w:color="auto" w:fill="E5E5E5"/>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right w:val="single" w:sz="8" w:color="auto"/>
            </w:tcBorders>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w w:val="93"/>
              </w:rPr>
              <w:t>1,197</w:t>
            </w:r>
          </w:p>
        </w:tc>
        <w:tc>
          <w:tcPr>
            <w:tcW w:w="400" w:type="dxa"/>
            <w:vAlign w:val="bottom"/>
            <w:tcBorders>
              <w:bottom w:val="single" w:sz="8" w:color="auto"/>
            </w:tcBorders>
            <w:shd w:val="clear" w:color="auto" w:fill="E5E5E5"/>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E5E5E5"/>
          </w:tcPr>
          <w:p>
            <w:pPr>
              <w:jc w:val="right"/>
              <w:ind w:right="54"/>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Borders>
              <w:bottom w:val="single" w:sz="8" w:color="auto"/>
            </w:tcBorders>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right w:val="single" w:sz="8" w:color="auto"/>
            </w:tcBorders>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1,247</w:t>
            </w:r>
          </w:p>
        </w:tc>
        <w:tc>
          <w:tcPr>
            <w:tcW w:w="400" w:type="dxa"/>
            <w:vAlign w:val="bottom"/>
            <w:tcBorders>
              <w:bottom w:val="single" w:sz="8" w:color="auto"/>
            </w:tcBorders>
            <w:shd w:val="clear" w:color="auto" w:fill="E5E5E5"/>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Borders>
              <w:bottom w:val="single" w:sz="8" w:color="auto"/>
            </w:tcBorders>
            <w:shd w:val="clear" w:color="auto" w:fill="E5E5E5"/>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443"/>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2005</w:t>
            </w: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E5E5E5"/>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w w:val="98"/>
              </w:rPr>
              <w:t>5,026</w:t>
            </w:r>
          </w:p>
        </w:tc>
        <w:tc>
          <w:tcPr>
            <w:tcW w:w="260" w:type="dxa"/>
            <w:vAlign w:val="bottom"/>
            <w:shd w:val="clear" w:color="auto" w:fill="E5E5E5"/>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237</w:t>
            </w:r>
          </w:p>
        </w:tc>
        <w:tc>
          <w:tcPr>
            <w:tcW w:w="300" w:type="dxa"/>
            <w:vAlign w:val="bottom"/>
            <w:shd w:val="clear" w:color="auto" w:fill="E5E5E5"/>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E5E5E5"/>
          </w:tcPr>
          <w:p>
            <w:pPr>
              <w:jc w:val="right"/>
              <w:ind w:right="94"/>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auto"/>
            </w:tcBorders>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w w:val="93"/>
              </w:rPr>
              <w:t>5,284</w:t>
            </w:r>
          </w:p>
        </w:tc>
        <w:tc>
          <w:tcPr>
            <w:tcW w:w="400" w:type="dxa"/>
            <w:vAlign w:val="bottom"/>
            <w:shd w:val="clear" w:color="auto" w:fill="E5E5E5"/>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E5E5E5"/>
          </w:tcPr>
          <w:p>
            <w:pPr>
              <w:jc w:val="right"/>
              <w:ind w:right="54"/>
              <w:spacing w:after="0"/>
              <w:rPr>
                <w:sz w:val="20"/>
                <w:szCs w:val="20"/>
                <w:color w:val="auto"/>
              </w:rPr>
            </w:pPr>
            <w:r>
              <w:rPr>
                <w:rFonts w:ascii="Times New Roman" w:cs="Times New Roman" w:eastAsia="Times New Roman" w:hAnsi="Times New Roman"/>
                <w:sz w:val="18"/>
                <w:szCs w:val="18"/>
                <w:color w:val="auto"/>
              </w:rPr>
              <w:t>891</w:t>
            </w:r>
          </w:p>
        </w:tc>
        <w:tc>
          <w:tcPr>
            <w:tcW w:w="220" w:type="dxa"/>
            <w:vAlign w:val="bottom"/>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auto"/>
            </w:tcBorders>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5,917</w:t>
            </w:r>
          </w:p>
        </w:tc>
        <w:tc>
          <w:tcPr>
            <w:tcW w:w="400" w:type="dxa"/>
            <w:vAlign w:val="bottom"/>
            <w:shd w:val="clear" w:color="auto" w:fill="E5E5E5"/>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893</w:t>
            </w:r>
          </w:p>
        </w:tc>
        <w:tc>
          <w:tcPr>
            <w:tcW w:w="240" w:type="dxa"/>
            <w:vAlign w:val="bottom"/>
            <w:shd w:val="clear" w:color="auto" w:fill="E5E5E5"/>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6,177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Segment reclassifications (5)</w:t>
            </w: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E5E5E5"/>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w w:val="98"/>
              </w:rPr>
              <w:t>5,028</w:t>
            </w:r>
          </w:p>
        </w:tc>
        <w:tc>
          <w:tcPr>
            <w:tcW w:w="260" w:type="dxa"/>
            <w:vAlign w:val="bottom"/>
            <w:shd w:val="clear" w:color="auto" w:fill="E5E5E5"/>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237</w:t>
            </w:r>
          </w:p>
        </w:tc>
        <w:tc>
          <w:tcPr>
            <w:tcW w:w="300" w:type="dxa"/>
            <w:vAlign w:val="bottom"/>
            <w:shd w:val="clear" w:color="auto" w:fill="E5E5E5"/>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E5E5E5"/>
          </w:tcPr>
          <w:p>
            <w:pPr>
              <w:jc w:val="right"/>
              <w:ind w:right="94"/>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auto"/>
            </w:tcBorders>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w w:val="93"/>
              </w:rPr>
              <w:t>5,284</w:t>
            </w:r>
          </w:p>
        </w:tc>
        <w:tc>
          <w:tcPr>
            <w:tcW w:w="400" w:type="dxa"/>
            <w:vAlign w:val="bottom"/>
            <w:shd w:val="clear" w:color="auto" w:fill="E5E5E5"/>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E5E5E5"/>
          </w:tcPr>
          <w:p>
            <w:pPr>
              <w:jc w:val="right"/>
              <w:ind w:right="54"/>
              <w:spacing w:after="0"/>
              <w:rPr>
                <w:sz w:val="20"/>
                <w:szCs w:val="20"/>
                <w:color w:val="auto"/>
              </w:rPr>
            </w:pPr>
            <w:r>
              <w:rPr>
                <w:rFonts w:ascii="Times New Roman" w:cs="Times New Roman" w:eastAsia="Times New Roman" w:hAnsi="Times New Roman"/>
                <w:sz w:val="18"/>
                <w:szCs w:val="18"/>
                <w:color w:val="auto"/>
              </w:rPr>
              <w:t>891</w:t>
            </w:r>
          </w:p>
        </w:tc>
        <w:tc>
          <w:tcPr>
            <w:tcW w:w="220" w:type="dxa"/>
            <w:vAlign w:val="bottom"/>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auto"/>
            </w:tcBorders>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5,919</w:t>
            </w:r>
          </w:p>
        </w:tc>
        <w:tc>
          <w:tcPr>
            <w:tcW w:w="400" w:type="dxa"/>
            <w:vAlign w:val="bottom"/>
            <w:shd w:val="clear" w:color="auto" w:fill="E5E5E5"/>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893</w:t>
            </w:r>
          </w:p>
        </w:tc>
        <w:tc>
          <w:tcPr>
            <w:tcW w:w="240" w:type="dxa"/>
            <w:vAlign w:val="bottom"/>
            <w:shd w:val="clear" w:color="auto" w:fill="E5E5E5"/>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6,177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Operating Expenses (excluding</w:t>
            </w: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98"/>
              </w:rPr>
              <w:t>3,012</w:t>
            </w:r>
          </w:p>
        </w:tc>
        <w:tc>
          <w:tcPr>
            <w:tcW w:w="260" w:type="dxa"/>
            <w:vAlign w:val="bottom"/>
          </w:tcPr>
          <w:p>
            <w:pPr>
              <w:spacing w:after="0"/>
              <w:rPr>
                <w:sz w:val="19"/>
                <w:szCs w:val="19"/>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163</w:t>
            </w:r>
          </w:p>
        </w:tc>
        <w:tc>
          <w:tcPr>
            <w:tcW w:w="300" w:type="dxa"/>
            <w:vAlign w:val="bottom"/>
          </w:tcPr>
          <w:p>
            <w:pPr>
              <w:spacing w:after="0"/>
              <w:rPr>
                <w:sz w:val="19"/>
                <w:szCs w:val="19"/>
                <w:color w:val="auto"/>
              </w:rPr>
            </w:pPr>
          </w:p>
        </w:tc>
        <w:tc>
          <w:tcPr>
            <w:tcW w:w="11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Pr>
          <w:p>
            <w:pPr>
              <w:spacing w:after="0"/>
              <w:rPr>
                <w:sz w:val="19"/>
                <w:szCs w:val="19"/>
                <w:color w:val="auto"/>
              </w:rPr>
            </w:pPr>
          </w:p>
        </w:tc>
        <w:tc>
          <w:tcPr>
            <w:tcW w:w="54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93"/>
              </w:rPr>
              <w:t>3,288</w:t>
            </w:r>
          </w:p>
        </w:tc>
        <w:tc>
          <w:tcPr>
            <w:tcW w:w="400" w:type="dxa"/>
            <w:vAlign w:val="bottom"/>
          </w:tcPr>
          <w:p>
            <w:pPr>
              <w:spacing w:after="0"/>
              <w:rPr>
                <w:sz w:val="19"/>
                <w:szCs w:val="19"/>
                <w:color w:val="auto"/>
              </w:rPr>
            </w:pP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603</w:t>
            </w:r>
          </w:p>
        </w:tc>
        <w:tc>
          <w:tcPr>
            <w:tcW w:w="220" w:type="dxa"/>
            <w:vAlign w:val="bottom"/>
          </w:tcPr>
          <w:p>
            <w:pPr>
              <w:spacing w:after="0"/>
              <w:rPr>
                <w:sz w:val="19"/>
                <w:szCs w:val="19"/>
                <w:color w:val="auto"/>
              </w:rPr>
            </w:pPr>
          </w:p>
        </w:tc>
        <w:tc>
          <w:tcPr>
            <w:tcW w:w="64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3,615</w:t>
            </w:r>
          </w:p>
        </w:tc>
        <w:tc>
          <w:tcPr>
            <w:tcW w:w="40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604</w:t>
            </w:r>
          </w:p>
        </w:tc>
        <w:tc>
          <w:tcPr>
            <w:tcW w:w="240" w:type="dxa"/>
            <w:vAlign w:val="bottom"/>
          </w:tcPr>
          <w:p>
            <w:pPr>
              <w:spacing w:after="0"/>
              <w:rPr>
                <w:sz w:val="19"/>
                <w:szCs w:val="19"/>
                <w:color w:val="auto"/>
              </w:rPr>
            </w:pP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3,892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2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Segment reclassifications (5)</w:t>
            </w: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E5E5E5"/>
          </w:tcPr>
          <w:p>
            <w:pPr>
              <w:spacing w:after="0"/>
              <w:rPr>
                <w:sz w:val="18"/>
                <w:szCs w:val="18"/>
                <w:color w:val="auto"/>
              </w:rPr>
            </w:pPr>
          </w:p>
        </w:tc>
        <w:tc>
          <w:tcPr>
            <w:tcW w:w="1120" w:type="dxa"/>
            <w:vAlign w:val="bottom"/>
            <w:shd w:val="clear" w:color="auto" w:fill="E5E5E5"/>
          </w:tcPr>
          <w:p>
            <w:pPr>
              <w:jc w:val="right"/>
              <w:ind w:right="94"/>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E5E5E5"/>
          </w:tcPr>
          <w:p>
            <w:pPr>
              <w:spacing w:after="0"/>
              <w:rPr>
                <w:sz w:val="18"/>
                <w:szCs w:val="18"/>
                <w:color w:val="auto"/>
              </w:rPr>
            </w:pPr>
          </w:p>
        </w:tc>
        <w:tc>
          <w:tcPr>
            <w:tcW w:w="540" w:type="dxa"/>
            <w:vAlign w:val="bottom"/>
            <w:tcBorders>
              <w:right w:val="single" w:sz="8" w:color="auto"/>
            </w:tcBorders>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E5E5"/>
          </w:tcPr>
          <w:p>
            <w:pPr>
              <w:spacing w:after="0"/>
              <w:rPr>
                <w:sz w:val="18"/>
                <w:szCs w:val="18"/>
                <w:color w:val="auto"/>
              </w:rPr>
            </w:pPr>
          </w:p>
        </w:tc>
        <w:tc>
          <w:tcPr>
            <w:tcW w:w="640" w:type="dxa"/>
            <w:vAlign w:val="bottom"/>
            <w:tcBorders>
              <w:right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shd w:val="clear" w:color="auto" w:fill="E5E5E5"/>
          </w:tcPr>
          <w:p>
            <w:pPr>
              <w:spacing w:after="0"/>
              <w:rPr>
                <w:sz w:val="18"/>
                <w:szCs w:val="18"/>
                <w:color w:val="auto"/>
              </w:rPr>
            </w:pPr>
          </w:p>
        </w:tc>
        <w:tc>
          <w:tcPr>
            <w:tcW w:w="1080" w:type="dxa"/>
            <w:vAlign w:val="bottom"/>
            <w:shd w:val="clear" w:color="auto" w:fill="E5E5E5"/>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 adjustment (6)</w:t>
            </w: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Cash Flow</w:t>
            </w:r>
          </w:p>
        </w:tc>
        <w:tc>
          <w:tcPr>
            <w:tcW w:w="360" w:type="dxa"/>
            <w:vAlign w:val="bottom"/>
            <w:shd w:val="clear" w:color="auto" w:fill="E5E5E5"/>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w w:val="98"/>
              </w:rPr>
              <w:t>1,991</w:t>
            </w:r>
          </w:p>
        </w:tc>
        <w:tc>
          <w:tcPr>
            <w:tcW w:w="260" w:type="dxa"/>
            <w:vAlign w:val="bottom"/>
            <w:shd w:val="clear" w:color="auto" w:fill="E5E5E5"/>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71</w:t>
            </w:r>
          </w:p>
        </w:tc>
        <w:tc>
          <w:tcPr>
            <w:tcW w:w="300" w:type="dxa"/>
            <w:vAlign w:val="bottom"/>
            <w:shd w:val="clear" w:color="auto" w:fill="E5E5E5"/>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auto"/>
            </w:tcBorders>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w w:val="93"/>
              </w:rPr>
              <w:t>1,996</w:t>
            </w:r>
          </w:p>
        </w:tc>
        <w:tc>
          <w:tcPr>
            <w:tcW w:w="400" w:type="dxa"/>
            <w:vAlign w:val="bottom"/>
            <w:shd w:val="clear" w:color="auto" w:fill="E5E5E5"/>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E5E5E5"/>
          </w:tcPr>
          <w:p>
            <w:pPr>
              <w:jc w:val="right"/>
              <w:ind w:right="54"/>
              <w:spacing w:after="0"/>
              <w:rPr>
                <w:sz w:val="20"/>
                <w:szCs w:val="20"/>
                <w:color w:val="auto"/>
              </w:rPr>
            </w:pPr>
            <w:r>
              <w:rPr>
                <w:rFonts w:ascii="Times New Roman" w:cs="Times New Roman" w:eastAsia="Times New Roman" w:hAnsi="Times New Roman"/>
                <w:sz w:val="18"/>
                <w:szCs w:val="18"/>
                <w:color w:val="auto"/>
              </w:rPr>
              <w:t>288</w:t>
            </w:r>
          </w:p>
        </w:tc>
        <w:tc>
          <w:tcPr>
            <w:tcW w:w="220" w:type="dxa"/>
            <w:vAlign w:val="bottom"/>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auto"/>
            </w:tcBorders>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2,279</w:t>
            </w:r>
          </w:p>
        </w:tc>
        <w:tc>
          <w:tcPr>
            <w:tcW w:w="400" w:type="dxa"/>
            <w:vAlign w:val="bottom"/>
            <w:shd w:val="clear" w:color="auto" w:fill="E5E5E5"/>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289</w:t>
            </w:r>
          </w:p>
        </w:tc>
        <w:tc>
          <w:tcPr>
            <w:tcW w:w="240" w:type="dxa"/>
            <w:vAlign w:val="bottom"/>
            <w:shd w:val="clear" w:color="auto" w:fill="E5E5E5"/>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2,285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98"/>
              </w:rPr>
              <w:t>1,107</w:t>
            </w: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93"/>
              </w:rPr>
              <w:t>1,155</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203</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1,310</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2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60" w:type="dxa"/>
            <w:vAlign w:val="bottom"/>
            <w:tcBorders>
              <w:bottom w:val="single" w:sz="8" w:color="auto"/>
            </w:tcBorders>
            <w:shd w:val="clear" w:color="auto" w:fill="E5E5E5"/>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E5E5E5"/>
          </w:tcPr>
          <w:p>
            <w:pPr>
              <w:jc w:val="right"/>
              <w:ind w:right="112"/>
              <w:spacing w:after="0"/>
              <w:rPr>
                <w:sz w:val="20"/>
                <w:szCs w:val="20"/>
                <w:color w:val="auto"/>
              </w:rPr>
            </w:pPr>
            <w:r>
              <w:rPr>
                <w:rFonts w:ascii="Times New Roman" w:cs="Times New Roman" w:eastAsia="Times New Roman" w:hAnsi="Times New Roman"/>
                <w:sz w:val="18"/>
                <w:szCs w:val="18"/>
                <w:color w:val="auto"/>
              </w:rPr>
              <w:t>884</w:t>
            </w:r>
          </w:p>
        </w:tc>
        <w:tc>
          <w:tcPr>
            <w:tcW w:w="260" w:type="dxa"/>
            <w:vAlign w:val="bottom"/>
            <w:tcBorders>
              <w:bottom w:val="single" w:sz="8" w:color="auto"/>
            </w:tcBorders>
            <w:shd w:val="clear" w:color="auto" w:fill="E5E5E5"/>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E5E5E5"/>
          </w:tcPr>
          <w:p>
            <w:pPr>
              <w:jc w:val="right"/>
              <w:ind w:right="32"/>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Borders>
              <w:bottom w:val="single" w:sz="8" w:color="auto"/>
            </w:tcBorders>
            <w:shd w:val="clear" w:color="auto" w:fill="E5E5E5"/>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right w:val="single" w:sz="8" w:color="auto"/>
            </w:tcBorders>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841</w:t>
            </w:r>
          </w:p>
        </w:tc>
        <w:tc>
          <w:tcPr>
            <w:tcW w:w="400" w:type="dxa"/>
            <w:vAlign w:val="bottom"/>
            <w:tcBorders>
              <w:bottom w:val="single" w:sz="8" w:color="auto"/>
            </w:tcBorders>
            <w:shd w:val="clear" w:color="auto" w:fill="E5E5E5"/>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E5E5E5"/>
          </w:tcPr>
          <w:p>
            <w:pPr>
              <w:jc w:val="right"/>
              <w:ind w:right="54"/>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Borders>
              <w:bottom w:val="single" w:sz="8" w:color="auto"/>
            </w:tcBorders>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right w:val="single" w:sz="8" w:color="auto"/>
            </w:tcBorders>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969</w:t>
            </w:r>
          </w:p>
        </w:tc>
        <w:tc>
          <w:tcPr>
            <w:tcW w:w="400" w:type="dxa"/>
            <w:vAlign w:val="bottom"/>
            <w:tcBorders>
              <w:bottom w:val="single" w:sz="8" w:color="auto"/>
            </w:tcBorders>
            <w:shd w:val="clear" w:color="auto" w:fill="E5E5E5"/>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E5E5E5"/>
          </w:tcPr>
          <w:p>
            <w:pPr>
              <w:jc w:val="right"/>
              <w:ind w:right="34"/>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Borders>
              <w:bottom w:val="single" w:sz="8" w:color="auto"/>
            </w:tcBorders>
            <w:shd w:val="clear" w:color="auto" w:fill="E5E5E5"/>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926</w:t>
            </w:r>
          </w:p>
        </w:tc>
        <w:tc>
          <w:tcPr>
            <w:tcW w:w="0" w:type="dxa"/>
            <w:vAlign w:val="bottom"/>
          </w:tcPr>
          <w:p>
            <w:pPr>
              <w:spacing w:after="0"/>
              <w:rPr>
                <w:sz w:val="1"/>
                <w:szCs w:val="1"/>
                <w:color w:val="auto"/>
              </w:rPr>
            </w:pPr>
          </w:p>
        </w:tc>
      </w:tr>
      <w:tr>
        <w:trPr>
          <w:trHeight w:val="466"/>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849</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911</w:t>
            </w:r>
          </w:p>
        </w:tc>
        <w:tc>
          <w:tcPr>
            <w:tcW w:w="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1,000</w:t>
            </w:r>
          </w:p>
        </w:tc>
        <w:tc>
          <w:tcPr>
            <w:tcW w:w="4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Total Pro Forma (1), “As Adjusted” Financial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6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3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2006</w:t>
            </w:r>
          </w:p>
        </w:tc>
        <w:tc>
          <w:tcPr>
            <w:tcW w:w="138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Growth</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Pr>
          <w:p>
            <w:pPr>
              <w:jc w:val="right"/>
              <w:ind w:right="415"/>
              <w:spacing w:after="0" w:line="125" w:lineRule="exact"/>
              <w:rPr>
                <w:sz w:val="20"/>
                <w:szCs w:val="20"/>
                <w:color w:val="auto"/>
              </w:rPr>
            </w:pPr>
            <w:r>
              <w:rPr>
                <w:rFonts w:ascii="Times New Roman" w:cs="Times New Roman" w:eastAsia="Times New Roman" w:hAnsi="Times New Roman"/>
                <w:sz w:val="14"/>
                <w:szCs w:val="14"/>
                <w:b w:val="1"/>
                <w:bCs w:val="1"/>
                <w:color w:val="auto"/>
              </w:rPr>
              <w:t>Total</w:t>
            </w:r>
          </w:p>
        </w:tc>
        <w:tc>
          <w:tcPr>
            <w:tcW w:w="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60" w:type="dxa"/>
            <w:vAlign w:val="bottom"/>
            <w:gridSpan w:val="2"/>
          </w:tcPr>
          <w:p>
            <w:pPr>
              <w:ind w:left="200"/>
              <w:spacing w:after="0" w:line="125" w:lineRule="exact"/>
              <w:rPr>
                <w:sz w:val="20"/>
                <w:szCs w:val="20"/>
                <w:color w:val="auto"/>
              </w:rPr>
            </w:pPr>
            <w:r>
              <w:rPr>
                <w:rFonts w:ascii="Times New Roman" w:cs="Times New Roman" w:eastAsia="Times New Roman" w:hAnsi="Times New Roman"/>
                <w:sz w:val="14"/>
                <w:szCs w:val="14"/>
                <w:b w:val="1"/>
                <w:bCs w:val="1"/>
                <w:color w:val="auto"/>
              </w:rPr>
              <w:t>Total Pro Forma,</w:t>
            </w:r>
          </w:p>
        </w:tc>
        <w:tc>
          <w:tcPr>
            <w:tcW w:w="200" w:type="dxa"/>
            <w:vAlign w:val="bottom"/>
          </w:tcPr>
          <w:p>
            <w:pPr>
              <w:spacing w:after="0"/>
              <w:rPr>
                <w:sz w:val="10"/>
                <w:szCs w:val="10"/>
                <w:color w:val="auto"/>
              </w:rPr>
            </w:pPr>
          </w:p>
        </w:tc>
        <w:tc>
          <w:tcPr>
            <w:tcW w:w="640" w:type="dxa"/>
            <w:vAlign w:val="bottom"/>
          </w:tcPr>
          <w:p>
            <w:pPr>
              <w:jc w:val="right"/>
              <w:ind w:right="237"/>
              <w:spacing w:after="0" w:line="125"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3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13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Adjustment (6)</w:t>
            </w:r>
          </w:p>
        </w:tc>
        <w:tc>
          <w:tcPr>
            <w:tcW w:w="320" w:type="dxa"/>
            <w:vAlign w:val="bottom"/>
          </w:tcPr>
          <w:p>
            <w:pPr>
              <w:spacing w:after="0"/>
              <w:rPr>
                <w:sz w:val="14"/>
                <w:szCs w:val="14"/>
                <w:color w:val="auto"/>
              </w:rPr>
            </w:pPr>
          </w:p>
        </w:tc>
        <w:tc>
          <w:tcPr>
            <w:tcW w:w="134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w w:val="95"/>
              </w:rPr>
              <w:t>As Adjusted</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38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 Growth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Revenue</w:t>
            </w:r>
          </w:p>
        </w:tc>
        <w:tc>
          <w:tcPr>
            <w:tcW w:w="480" w:type="dxa"/>
            <w:vAlign w:val="bottom"/>
            <w:tcBorders>
              <w:top w:val="single" w:sz="8" w:color="auto"/>
            </w:tcBorders>
            <w:shd w:val="clear" w:color="auto" w:fill="E5E5E5"/>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E5E5E5"/>
          </w:tcPr>
          <w:p>
            <w:pPr>
              <w:jc w:val="right"/>
              <w:ind w:right="235"/>
              <w:spacing w:after="0"/>
              <w:rPr>
                <w:sz w:val="20"/>
                <w:szCs w:val="20"/>
                <w:color w:val="auto"/>
              </w:rPr>
            </w:pPr>
            <w:r>
              <w:rPr>
                <w:rFonts w:ascii="Times New Roman" w:cs="Times New Roman" w:eastAsia="Times New Roman" w:hAnsi="Times New Roman"/>
                <w:sz w:val="18"/>
                <w:szCs w:val="18"/>
                <w:color w:val="auto"/>
              </w:rPr>
              <w:t>6,177</w:t>
            </w:r>
          </w:p>
        </w:tc>
        <w:tc>
          <w:tcPr>
            <w:tcW w:w="480" w:type="dxa"/>
            <w:vAlign w:val="bottom"/>
            <w:tcBorders>
              <w:top w:val="single" w:sz="8" w:color="auto"/>
            </w:tcBorders>
            <w:shd w:val="clear" w:color="auto" w:fill="E5E5E5"/>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E5E5E5"/>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E5E5E5"/>
          </w:tcPr>
          <w:p>
            <w:pPr>
              <w:jc w:val="right"/>
              <w:ind w:right="379"/>
              <w:spacing w:after="0"/>
              <w:rPr>
                <w:sz w:val="20"/>
                <w:szCs w:val="20"/>
                <w:color w:val="auto"/>
              </w:rPr>
            </w:pPr>
            <w:r>
              <w:rPr>
                <w:rFonts w:ascii="Times New Roman" w:cs="Times New Roman" w:eastAsia="Times New Roman" w:hAnsi="Times New Roman"/>
                <w:sz w:val="18"/>
                <w:szCs w:val="18"/>
                <w:color w:val="auto"/>
              </w:rPr>
              <w:t>6,177</w:t>
            </w:r>
          </w:p>
        </w:tc>
        <w:tc>
          <w:tcPr>
            <w:tcW w:w="200" w:type="dxa"/>
            <w:vAlign w:val="bottom"/>
            <w:tcBorders>
              <w:top w:val="single" w:sz="8" w:color="auto"/>
            </w:tcBorders>
            <w:shd w:val="clear" w:color="auto" w:fill="E5E5E5"/>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E5E5E5"/>
          </w:tcPr>
          <w:p>
            <w:pPr>
              <w:jc w:val="right"/>
              <w:ind w:right="77"/>
              <w:spacing w:after="0"/>
              <w:rPr>
                <w:sz w:val="20"/>
                <w:szCs w:val="20"/>
                <w:color w:val="auto"/>
              </w:rPr>
            </w:pPr>
            <w:r>
              <w:rPr>
                <w:rFonts w:ascii="Times New Roman" w:cs="Times New Roman" w:eastAsia="Times New Roman" w:hAnsi="Times New Roman"/>
                <w:sz w:val="18"/>
                <w:szCs w:val="18"/>
                <w:color w:val="auto"/>
              </w:rPr>
              <w:t>6,904</w:t>
            </w:r>
          </w:p>
        </w:tc>
        <w:tc>
          <w:tcPr>
            <w:tcW w:w="1380" w:type="dxa"/>
            <w:vAlign w:val="bottom"/>
            <w:tcBorders>
              <w:top w:val="single" w:sz="8" w:color="auto"/>
            </w:tcBorders>
            <w:shd w:val="clear" w:color="auto" w:fill="E5E5E5"/>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96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310"/>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 (excluding depreciation and</w:t>
            </w:r>
          </w:p>
        </w:tc>
        <w:tc>
          <w:tcPr>
            <w:tcW w:w="480" w:type="dxa"/>
            <w:vAlign w:val="bottom"/>
          </w:tcPr>
          <w:p>
            <w:pPr>
              <w:spacing w:after="0"/>
              <w:rPr>
                <w:sz w:val="24"/>
                <w:szCs w:val="24"/>
                <w:color w:val="auto"/>
              </w:rPr>
            </w:pPr>
          </w:p>
        </w:tc>
        <w:tc>
          <w:tcPr>
            <w:tcW w:w="840" w:type="dxa"/>
            <w:vAlign w:val="bottom"/>
            <w:vMerge w:val="restart"/>
          </w:tcPr>
          <w:p>
            <w:pPr>
              <w:jc w:val="right"/>
              <w:ind w:right="235"/>
              <w:spacing w:after="0"/>
              <w:rPr>
                <w:sz w:val="20"/>
                <w:szCs w:val="20"/>
                <w:color w:val="auto"/>
              </w:rPr>
            </w:pPr>
            <w:r>
              <w:rPr>
                <w:rFonts w:ascii="Times New Roman" w:cs="Times New Roman" w:eastAsia="Times New Roman" w:hAnsi="Times New Roman"/>
                <w:sz w:val="18"/>
                <w:szCs w:val="18"/>
                <w:color w:val="auto"/>
              </w:rPr>
              <w:t>3,892</w:t>
            </w:r>
          </w:p>
        </w:tc>
        <w:tc>
          <w:tcPr>
            <w:tcW w:w="480" w:type="dxa"/>
            <w:vAlign w:val="bottom"/>
          </w:tcPr>
          <w:p>
            <w:pPr>
              <w:spacing w:after="0"/>
              <w:rPr>
                <w:sz w:val="24"/>
                <w:szCs w:val="24"/>
                <w:color w:val="auto"/>
              </w:rPr>
            </w:pPr>
          </w:p>
        </w:tc>
        <w:tc>
          <w:tcPr>
            <w:tcW w:w="8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tcPr>
          <w:p>
            <w:pPr>
              <w:spacing w:after="0"/>
              <w:rPr>
                <w:sz w:val="24"/>
                <w:szCs w:val="24"/>
                <w:color w:val="auto"/>
              </w:rPr>
            </w:pPr>
          </w:p>
        </w:tc>
        <w:tc>
          <w:tcPr>
            <w:tcW w:w="1340" w:type="dxa"/>
            <w:vAlign w:val="bottom"/>
            <w:vMerge w:val="restart"/>
          </w:tcPr>
          <w:p>
            <w:pPr>
              <w:jc w:val="right"/>
              <w:ind w:right="379"/>
              <w:spacing w:after="0"/>
              <w:rPr>
                <w:sz w:val="20"/>
                <w:szCs w:val="20"/>
                <w:color w:val="auto"/>
              </w:rPr>
            </w:pPr>
            <w:r>
              <w:rPr>
                <w:rFonts w:ascii="Times New Roman" w:cs="Times New Roman" w:eastAsia="Times New Roman" w:hAnsi="Times New Roman"/>
                <w:sz w:val="18"/>
                <w:szCs w:val="18"/>
                <w:color w:val="auto"/>
              </w:rPr>
              <w:t>3,932</w:t>
            </w:r>
          </w:p>
        </w:tc>
        <w:tc>
          <w:tcPr>
            <w:tcW w:w="200" w:type="dxa"/>
            <w:vAlign w:val="bottom"/>
          </w:tcPr>
          <w:p>
            <w:pPr>
              <w:spacing w:after="0"/>
              <w:rPr>
                <w:sz w:val="24"/>
                <w:szCs w:val="24"/>
                <w:color w:val="auto"/>
              </w:rPr>
            </w:pPr>
          </w:p>
        </w:tc>
        <w:tc>
          <w:tcPr>
            <w:tcW w:w="640" w:type="dxa"/>
            <w:vAlign w:val="bottom"/>
            <w:vMerge w:val="restart"/>
          </w:tcPr>
          <w:p>
            <w:pPr>
              <w:jc w:val="right"/>
              <w:ind w:right="77"/>
              <w:spacing w:after="0"/>
              <w:rPr>
                <w:sz w:val="20"/>
                <w:szCs w:val="20"/>
                <w:color w:val="auto"/>
              </w:rPr>
            </w:pPr>
            <w:r>
              <w:rPr>
                <w:rFonts w:ascii="Times New Roman" w:cs="Times New Roman" w:eastAsia="Times New Roman" w:hAnsi="Times New Roman"/>
                <w:sz w:val="18"/>
                <w:szCs w:val="18"/>
                <w:color w:val="auto"/>
              </w:rPr>
              <w:t>4,296</w:t>
            </w:r>
          </w:p>
        </w:tc>
        <w:tc>
          <w:tcPr>
            <w:tcW w:w="1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Cash Flow</w:t>
            </w:r>
          </w:p>
        </w:tc>
        <w:tc>
          <w:tcPr>
            <w:tcW w:w="480" w:type="dxa"/>
            <w:vAlign w:val="bottom"/>
            <w:shd w:val="clear" w:color="auto" w:fill="E5E5E5"/>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5E5E5"/>
          </w:tcPr>
          <w:p>
            <w:pPr>
              <w:jc w:val="right"/>
              <w:ind w:right="235"/>
              <w:spacing w:after="0"/>
              <w:rPr>
                <w:sz w:val="20"/>
                <w:szCs w:val="20"/>
                <w:color w:val="auto"/>
              </w:rPr>
            </w:pPr>
            <w:r>
              <w:rPr>
                <w:rFonts w:ascii="Times New Roman" w:cs="Times New Roman" w:eastAsia="Times New Roman" w:hAnsi="Times New Roman"/>
                <w:sz w:val="18"/>
                <w:szCs w:val="18"/>
                <w:color w:val="auto"/>
              </w:rPr>
              <w:t>2,285</w:t>
            </w:r>
          </w:p>
        </w:tc>
        <w:tc>
          <w:tcPr>
            <w:tcW w:w="480" w:type="dxa"/>
            <w:vAlign w:val="bottom"/>
            <w:shd w:val="clear" w:color="auto" w:fill="E5E5E5"/>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E5E5E5"/>
          </w:tcPr>
          <w:p>
            <w:pPr>
              <w:ind w:left="400"/>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E5E5E5"/>
          </w:tcPr>
          <w:p>
            <w:pPr>
              <w:jc w:val="right"/>
              <w:ind w:right="379"/>
              <w:spacing w:after="0"/>
              <w:rPr>
                <w:sz w:val="20"/>
                <w:szCs w:val="20"/>
                <w:color w:val="auto"/>
              </w:rPr>
            </w:pPr>
            <w:r>
              <w:rPr>
                <w:rFonts w:ascii="Times New Roman" w:cs="Times New Roman" w:eastAsia="Times New Roman" w:hAnsi="Times New Roman"/>
                <w:sz w:val="18"/>
                <w:szCs w:val="18"/>
                <w:color w:val="auto"/>
              </w:rPr>
              <w:t>2,245</w:t>
            </w:r>
          </w:p>
        </w:tc>
        <w:tc>
          <w:tcPr>
            <w:tcW w:w="200" w:type="dxa"/>
            <w:vAlign w:val="bottom"/>
            <w:shd w:val="clear" w:color="auto" w:fill="E5E5E5"/>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E5E5E5"/>
          </w:tcPr>
          <w:p>
            <w:pPr>
              <w:jc w:val="right"/>
              <w:ind w:right="77"/>
              <w:spacing w:after="0"/>
              <w:rPr>
                <w:sz w:val="20"/>
                <w:szCs w:val="20"/>
                <w:color w:val="auto"/>
              </w:rPr>
            </w:pPr>
            <w:r>
              <w:rPr>
                <w:rFonts w:ascii="Times New Roman" w:cs="Times New Roman" w:eastAsia="Times New Roman" w:hAnsi="Times New Roman"/>
                <w:sz w:val="18"/>
                <w:szCs w:val="18"/>
                <w:color w:val="auto"/>
              </w:rPr>
              <w:t>2,608</w:t>
            </w:r>
          </w:p>
        </w:tc>
        <w:tc>
          <w:tcPr>
            <w:tcW w:w="1380" w:type="dxa"/>
            <w:vAlign w:val="bottom"/>
            <w:shd w:val="clear" w:color="auto" w:fill="E5E5E5"/>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9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rPr>
              <w:t>1,359</w:t>
            </w:r>
          </w:p>
        </w:tc>
        <w:tc>
          <w:tcPr>
            <w:tcW w:w="4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8"/>
                <w:szCs w:val="18"/>
                <w:color w:val="auto"/>
              </w:rPr>
              <w:t>1,359</w:t>
            </w: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8"/>
                <w:szCs w:val="18"/>
                <w:color w:val="auto"/>
              </w:rPr>
              <w:t>1,263</w:t>
            </w:r>
          </w:p>
        </w:tc>
        <w:tc>
          <w:tcPr>
            <w:tcW w:w="1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4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480" w:type="dxa"/>
            <w:vAlign w:val="bottom"/>
            <w:tcBorders>
              <w:bottom w:val="single" w:sz="8" w:color="auto"/>
            </w:tcBorders>
            <w:shd w:val="clear" w:color="auto" w:fill="E5E5E5"/>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E5E5E5"/>
          </w:tcPr>
          <w:p>
            <w:pPr>
              <w:jc w:val="right"/>
              <w:ind w:right="235"/>
              <w:spacing w:after="0"/>
              <w:rPr>
                <w:sz w:val="20"/>
                <w:szCs w:val="20"/>
                <w:color w:val="auto"/>
              </w:rPr>
            </w:pPr>
            <w:r>
              <w:rPr>
                <w:rFonts w:ascii="Times New Roman" w:cs="Times New Roman" w:eastAsia="Times New Roman" w:hAnsi="Times New Roman"/>
                <w:sz w:val="18"/>
                <w:szCs w:val="18"/>
                <w:color w:val="auto"/>
              </w:rPr>
              <w:t>926</w:t>
            </w:r>
          </w:p>
        </w:tc>
        <w:tc>
          <w:tcPr>
            <w:tcW w:w="480" w:type="dxa"/>
            <w:vAlign w:val="bottom"/>
            <w:tcBorders>
              <w:bottom w:val="single" w:sz="8" w:color="auto"/>
            </w:tcBorders>
            <w:shd w:val="clear" w:color="auto" w:fill="E5E5E5"/>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E5E5E5"/>
          </w:tcPr>
          <w:p>
            <w:pPr>
              <w:ind w:left="400"/>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tcBorders>
              <w:bottom w:val="single" w:sz="8" w:color="auto"/>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E5E5E5"/>
          </w:tcPr>
          <w:p>
            <w:pPr>
              <w:jc w:val="right"/>
              <w:ind w:right="379"/>
              <w:spacing w:after="0"/>
              <w:rPr>
                <w:sz w:val="20"/>
                <w:szCs w:val="20"/>
                <w:color w:val="auto"/>
              </w:rPr>
            </w:pPr>
            <w:r>
              <w:rPr>
                <w:rFonts w:ascii="Times New Roman" w:cs="Times New Roman" w:eastAsia="Times New Roman" w:hAnsi="Times New Roman"/>
                <w:sz w:val="18"/>
                <w:szCs w:val="18"/>
                <w:color w:val="auto"/>
              </w:rPr>
              <w:t>886</w:t>
            </w:r>
          </w:p>
        </w:tc>
        <w:tc>
          <w:tcPr>
            <w:tcW w:w="200" w:type="dxa"/>
            <w:vAlign w:val="bottom"/>
            <w:tcBorders>
              <w:bottom w:val="single" w:sz="8" w:color="auto"/>
            </w:tcBorders>
            <w:shd w:val="clear" w:color="auto" w:fill="E5E5E5"/>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E5E5E5"/>
          </w:tcPr>
          <w:p>
            <w:pPr>
              <w:jc w:val="right"/>
              <w:ind w:right="77"/>
              <w:spacing w:after="0"/>
              <w:rPr>
                <w:sz w:val="20"/>
                <w:szCs w:val="20"/>
                <w:color w:val="auto"/>
              </w:rPr>
            </w:pPr>
            <w:r>
              <w:rPr>
                <w:rFonts w:ascii="Times New Roman" w:cs="Times New Roman" w:eastAsia="Times New Roman" w:hAnsi="Times New Roman"/>
                <w:sz w:val="18"/>
                <w:szCs w:val="18"/>
                <w:color w:val="auto"/>
              </w:rPr>
              <w:t>1,345</w:t>
            </w:r>
          </w:p>
        </w:tc>
        <w:tc>
          <w:tcPr>
            <w:tcW w:w="1380" w:type="dxa"/>
            <w:vAlign w:val="bottom"/>
            <w:tcBorders>
              <w:bottom w:val="single" w:sz="8" w:color="auto"/>
            </w:tcBorders>
            <w:shd w:val="clear" w:color="auto" w:fill="E5E5E5"/>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9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 Margin</w:t>
            </w:r>
          </w:p>
        </w:tc>
        <w:tc>
          <w:tcPr>
            <w:tcW w:w="480" w:type="dxa"/>
            <w:vAlign w:val="bottom"/>
          </w:tcPr>
          <w:p>
            <w:pPr>
              <w:spacing w:after="0"/>
              <w:rPr>
                <w:sz w:val="19"/>
                <w:szCs w:val="19"/>
                <w:color w:val="auto"/>
              </w:rPr>
            </w:pP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37.0%</w:t>
            </w:r>
          </w:p>
        </w:tc>
        <w:tc>
          <w:tcPr>
            <w:tcW w:w="480" w:type="dxa"/>
            <w:vAlign w:val="bottom"/>
          </w:tcPr>
          <w:p>
            <w:pPr>
              <w:spacing w:after="0"/>
              <w:rPr>
                <w:sz w:val="19"/>
                <w:szCs w:val="19"/>
                <w:color w:val="auto"/>
              </w:rPr>
            </w:pPr>
          </w:p>
        </w:tc>
        <w:tc>
          <w:tcPr>
            <w:tcW w:w="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NM</w:t>
            </w:r>
          </w:p>
        </w:tc>
        <w:tc>
          <w:tcPr>
            <w:tcW w:w="320" w:type="dxa"/>
            <w:vAlign w:val="bottom"/>
          </w:tcPr>
          <w:p>
            <w:pPr>
              <w:spacing w:after="0"/>
              <w:rPr>
                <w:sz w:val="19"/>
                <w:szCs w:val="19"/>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8"/>
                <w:szCs w:val="18"/>
                <w:color w:val="auto"/>
              </w:rPr>
              <w:t>36.3%</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Total “As Adjusted” Financial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80" w:type="dxa"/>
            <w:vAlign w:val="bottom"/>
            <w:gridSpan w:val="3"/>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1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3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2006</w:t>
            </w:r>
          </w:p>
        </w:tc>
        <w:tc>
          <w:tcPr>
            <w:tcW w:w="132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 Growth</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200" w:type="dxa"/>
            <w:vAlign w:val="bottom"/>
            <w:gridSpan w:val="2"/>
          </w:tcPr>
          <w:p>
            <w:pPr>
              <w:ind w:left="320"/>
              <w:spacing w:after="0" w:line="125"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millions, except per share data)</w:t>
            </w:r>
          </w:p>
        </w:tc>
        <w:tc>
          <w:tcPr>
            <w:tcW w:w="420" w:type="dxa"/>
            <w:vAlign w:val="bottom"/>
          </w:tcPr>
          <w:p>
            <w:pPr>
              <w:spacing w:after="0"/>
              <w:rPr>
                <w:sz w:val="14"/>
                <w:szCs w:val="14"/>
                <w:color w:val="auto"/>
              </w:rPr>
            </w:pPr>
          </w:p>
        </w:tc>
        <w:tc>
          <w:tcPr>
            <w:tcW w:w="7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40" w:type="dxa"/>
            <w:vAlign w:val="bottom"/>
            <w:gridSpan w:val="2"/>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Adjustment (6)</w:t>
            </w: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260" w:type="dxa"/>
            <w:vAlign w:val="bottom"/>
          </w:tcPr>
          <w:p>
            <w:pPr>
              <w:spacing w:after="0"/>
              <w:rPr>
                <w:sz w:val="14"/>
                <w:szCs w:val="14"/>
                <w:color w:val="auto"/>
              </w:rPr>
            </w:pPr>
          </w:p>
        </w:tc>
        <w:tc>
          <w:tcPr>
            <w:tcW w:w="5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132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9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 Growth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tcBorders>
              <w:top w:val="single" w:sz="8" w:color="auto"/>
            </w:tcBorders>
            <w:shd w:val="clear" w:color="auto" w:fill="E5E5E5"/>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E5E5E5"/>
          </w:tcPr>
          <w:p>
            <w:pPr>
              <w:jc w:val="right"/>
              <w:ind w:right="215"/>
              <w:spacing w:after="0"/>
              <w:rPr>
                <w:sz w:val="20"/>
                <w:szCs w:val="20"/>
                <w:color w:val="auto"/>
              </w:rPr>
            </w:pPr>
            <w:r>
              <w:rPr>
                <w:rFonts w:ascii="Times New Roman" w:cs="Times New Roman" w:eastAsia="Times New Roman" w:hAnsi="Times New Roman"/>
                <w:sz w:val="18"/>
                <w:szCs w:val="18"/>
                <w:color w:val="auto"/>
              </w:rPr>
              <w:t>5,284</w:t>
            </w:r>
          </w:p>
        </w:tc>
        <w:tc>
          <w:tcPr>
            <w:tcW w:w="380" w:type="dxa"/>
            <w:vAlign w:val="bottom"/>
            <w:tcBorders>
              <w:top w:val="single" w:sz="8" w:color="auto"/>
            </w:tcBorders>
            <w:shd w:val="clear" w:color="auto" w:fill="E5E5E5"/>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E5E5E5"/>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E5E5E5"/>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E5E5E5"/>
          </w:tcPr>
          <w:p>
            <w:pPr>
              <w:jc w:val="right"/>
              <w:ind w:right="217"/>
              <w:spacing w:after="0"/>
              <w:rPr>
                <w:sz w:val="20"/>
                <w:szCs w:val="20"/>
                <w:color w:val="auto"/>
              </w:rPr>
            </w:pPr>
            <w:r>
              <w:rPr>
                <w:rFonts w:ascii="Times New Roman" w:cs="Times New Roman" w:eastAsia="Times New Roman" w:hAnsi="Times New Roman"/>
                <w:sz w:val="18"/>
                <w:szCs w:val="18"/>
                <w:color w:val="auto"/>
              </w:rPr>
              <w:t>5,284</w:t>
            </w:r>
          </w:p>
        </w:tc>
        <w:tc>
          <w:tcPr>
            <w:tcW w:w="26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E5E5E5"/>
          </w:tcPr>
          <w:p>
            <w:pPr>
              <w:jc w:val="right"/>
              <w:ind w:right="77"/>
              <w:spacing w:after="0"/>
              <w:rPr>
                <w:sz w:val="20"/>
                <w:szCs w:val="20"/>
                <w:color w:val="auto"/>
              </w:rPr>
            </w:pPr>
            <w:r>
              <w:rPr>
                <w:rFonts w:ascii="Times New Roman" w:cs="Times New Roman" w:eastAsia="Times New Roman" w:hAnsi="Times New Roman"/>
                <w:sz w:val="18"/>
                <w:szCs w:val="18"/>
                <w:color w:val="auto"/>
                <w:w w:val="93"/>
              </w:rPr>
              <w:t>6,432</w:t>
            </w:r>
          </w:p>
        </w:tc>
        <w:tc>
          <w:tcPr>
            <w:tcW w:w="1320" w:type="dxa"/>
            <w:vAlign w:val="bottom"/>
            <w:tcBorders>
              <w:top w:val="single" w:sz="8" w:color="auto"/>
            </w:tcBorders>
            <w:shd w:val="clear" w:color="auto" w:fill="E5E5E5"/>
          </w:tcPr>
          <w:p>
            <w:pPr>
              <w:jc w:val="right"/>
              <w:ind w:right="79"/>
              <w:spacing w:after="0"/>
              <w:rPr>
                <w:sz w:val="20"/>
                <w:szCs w:val="20"/>
                <w:color w:val="auto"/>
              </w:rPr>
            </w:pPr>
            <w:r>
              <w:rPr>
                <w:rFonts w:ascii="Times New Roman" w:cs="Times New Roman" w:eastAsia="Times New Roman" w:hAnsi="Times New Roman"/>
                <w:sz w:val="18"/>
                <w:szCs w:val="18"/>
                <w:color w:val="auto"/>
              </w:rPr>
              <w:t>22%</w:t>
            </w:r>
          </w:p>
        </w:tc>
        <w:tc>
          <w:tcPr>
            <w:tcW w:w="94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350"/>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 (excluding depreciation and amortization)</w:t>
            </w: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3,288</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8"/>
                <w:szCs w:val="18"/>
                <w:color w:val="auto"/>
              </w:rPr>
              <w:t>3,328</w:t>
            </w: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8"/>
                <w:szCs w:val="18"/>
                <w:color w:val="auto"/>
                <w:w w:val="93"/>
              </w:rPr>
              <w:t>3,995</w:t>
            </w:r>
          </w:p>
        </w:tc>
        <w:tc>
          <w:tcPr>
            <w:tcW w:w="1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Cash Flow</w:t>
            </w:r>
          </w:p>
        </w:tc>
        <w:tc>
          <w:tcPr>
            <w:tcW w:w="420" w:type="dxa"/>
            <w:vAlign w:val="bottom"/>
            <w:shd w:val="clear" w:color="auto" w:fill="E5E5E5"/>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E5E5E5"/>
          </w:tcPr>
          <w:p>
            <w:pPr>
              <w:jc w:val="right"/>
              <w:ind w:right="215"/>
              <w:spacing w:after="0"/>
              <w:rPr>
                <w:sz w:val="20"/>
                <w:szCs w:val="20"/>
                <w:color w:val="auto"/>
              </w:rPr>
            </w:pPr>
            <w:r>
              <w:rPr>
                <w:rFonts w:ascii="Times New Roman" w:cs="Times New Roman" w:eastAsia="Times New Roman" w:hAnsi="Times New Roman"/>
                <w:sz w:val="18"/>
                <w:szCs w:val="18"/>
                <w:color w:val="auto"/>
              </w:rPr>
              <w:t>1,996</w:t>
            </w:r>
          </w:p>
        </w:tc>
        <w:tc>
          <w:tcPr>
            <w:tcW w:w="380" w:type="dxa"/>
            <w:vAlign w:val="bottom"/>
            <w:shd w:val="clear" w:color="auto" w:fill="E5E5E5"/>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E5E5E5"/>
          </w:tcPr>
          <w:p>
            <w:pPr>
              <w:jc w:val="right"/>
              <w:ind w:right="75"/>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shd w:val="clear" w:color="auto" w:fill="E5E5E5"/>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E5E5E5"/>
          </w:tcPr>
          <w:p>
            <w:pPr>
              <w:jc w:val="right"/>
              <w:ind w:right="217"/>
              <w:spacing w:after="0"/>
              <w:rPr>
                <w:sz w:val="20"/>
                <w:szCs w:val="20"/>
                <w:color w:val="auto"/>
              </w:rPr>
            </w:pPr>
            <w:r>
              <w:rPr>
                <w:rFonts w:ascii="Times New Roman" w:cs="Times New Roman" w:eastAsia="Times New Roman" w:hAnsi="Times New Roman"/>
                <w:sz w:val="18"/>
                <w:szCs w:val="18"/>
                <w:color w:val="auto"/>
              </w:rPr>
              <w:t>1,956</w:t>
            </w:r>
          </w:p>
        </w:tc>
        <w:tc>
          <w:tcPr>
            <w:tcW w:w="2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E5E5E5"/>
          </w:tcPr>
          <w:p>
            <w:pPr>
              <w:jc w:val="right"/>
              <w:ind w:right="77"/>
              <w:spacing w:after="0"/>
              <w:rPr>
                <w:sz w:val="20"/>
                <w:szCs w:val="20"/>
                <w:color w:val="auto"/>
              </w:rPr>
            </w:pPr>
            <w:r>
              <w:rPr>
                <w:rFonts w:ascii="Times New Roman" w:cs="Times New Roman" w:eastAsia="Times New Roman" w:hAnsi="Times New Roman"/>
                <w:sz w:val="18"/>
                <w:szCs w:val="18"/>
                <w:color w:val="auto"/>
                <w:w w:val="93"/>
              </w:rPr>
              <w:t>2,437</w:t>
            </w:r>
          </w:p>
        </w:tc>
        <w:tc>
          <w:tcPr>
            <w:tcW w:w="1320" w:type="dxa"/>
            <w:vAlign w:val="bottom"/>
            <w:shd w:val="clear" w:color="auto" w:fill="E5E5E5"/>
          </w:tcPr>
          <w:p>
            <w:pPr>
              <w:jc w:val="right"/>
              <w:ind w:right="79"/>
              <w:spacing w:after="0"/>
              <w:rPr>
                <w:sz w:val="20"/>
                <w:szCs w:val="20"/>
                <w:color w:val="auto"/>
              </w:rPr>
            </w:pPr>
            <w:r>
              <w:rPr>
                <w:rFonts w:ascii="Times New Roman" w:cs="Times New Roman" w:eastAsia="Times New Roman" w:hAnsi="Times New Roman"/>
                <w:sz w:val="18"/>
                <w:szCs w:val="18"/>
                <w:color w:val="auto"/>
              </w:rPr>
              <w:t>25%</w:t>
            </w:r>
          </w:p>
        </w:tc>
        <w:tc>
          <w:tcPr>
            <w:tcW w:w="9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1,155</w:t>
            </w: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8"/>
                <w:szCs w:val="18"/>
                <w:color w:val="auto"/>
              </w:rPr>
              <w:t>1,155</w:t>
            </w:r>
          </w:p>
        </w:tc>
        <w:tc>
          <w:tcPr>
            <w:tcW w:w="2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8"/>
                <w:szCs w:val="18"/>
                <w:color w:val="auto"/>
                <w:w w:val="93"/>
              </w:rPr>
              <w:t>1,213</w:t>
            </w:r>
          </w:p>
        </w:tc>
        <w:tc>
          <w:tcPr>
            <w:tcW w:w="1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420" w:type="dxa"/>
            <w:vAlign w:val="bottom"/>
            <w:tcBorders>
              <w:bottom w:val="single" w:sz="8" w:color="auto"/>
            </w:tcBorders>
            <w:shd w:val="clear" w:color="auto" w:fill="E5E5E5"/>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E5E5E5"/>
          </w:tcPr>
          <w:p>
            <w:pPr>
              <w:jc w:val="right"/>
              <w:ind w:right="215"/>
              <w:spacing w:after="0"/>
              <w:rPr>
                <w:sz w:val="20"/>
                <w:szCs w:val="20"/>
                <w:color w:val="auto"/>
              </w:rPr>
            </w:pPr>
            <w:r>
              <w:rPr>
                <w:rFonts w:ascii="Times New Roman" w:cs="Times New Roman" w:eastAsia="Times New Roman" w:hAnsi="Times New Roman"/>
                <w:sz w:val="18"/>
                <w:szCs w:val="18"/>
                <w:color w:val="auto"/>
              </w:rPr>
              <w:t>841</w:t>
            </w:r>
          </w:p>
        </w:tc>
        <w:tc>
          <w:tcPr>
            <w:tcW w:w="380" w:type="dxa"/>
            <w:vAlign w:val="bottom"/>
            <w:tcBorders>
              <w:bottom w:val="single" w:sz="8" w:color="auto"/>
            </w:tcBorders>
            <w:shd w:val="clear" w:color="auto" w:fill="E5E5E5"/>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E5E5E5"/>
          </w:tcPr>
          <w:p>
            <w:pPr>
              <w:jc w:val="right"/>
              <w:ind w:right="75"/>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tcBorders>
              <w:bottom w:val="single" w:sz="8" w:color="auto"/>
            </w:tcBorders>
            <w:shd w:val="clear" w:color="auto" w:fill="E5E5E5"/>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E5E5E5"/>
          </w:tcPr>
          <w:p>
            <w:pPr>
              <w:jc w:val="right"/>
              <w:ind w:right="217"/>
              <w:spacing w:after="0"/>
              <w:rPr>
                <w:sz w:val="20"/>
                <w:szCs w:val="20"/>
                <w:color w:val="auto"/>
              </w:rPr>
            </w:pPr>
            <w:r>
              <w:rPr>
                <w:rFonts w:ascii="Times New Roman" w:cs="Times New Roman" w:eastAsia="Times New Roman" w:hAnsi="Times New Roman"/>
                <w:sz w:val="18"/>
                <w:szCs w:val="18"/>
                <w:color w:val="auto"/>
              </w:rPr>
              <w:t>801</w:t>
            </w:r>
          </w:p>
        </w:tc>
        <w:tc>
          <w:tcPr>
            <w:tcW w:w="2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E5E5E5"/>
          </w:tcPr>
          <w:p>
            <w:pPr>
              <w:jc w:val="right"/>
              <w:ind w:right="77"/>
              <w:spacing w:after="0"/>
              <w:rPr>
                <w:sz w:val="20"/>
                <w:szCs w:val="20"/>
                <w:color w:val="auto"/>
              </w:rPr>
            </w:pPr>
            <w:r>
              <w:rPr>
                <w:rFonts w:ascii="Times New Roman" w:cs="Times New Roman" w:eastAsia="Times New Roman" w:hAnsi="Times New Roman"/>
                <w:sz w:val="18"/>
                <w:szCs w:val="18"/>
                <w:color w:val="auto"/>
                <w:w w:val="93"/>
              </w:rPr>
              <w:t>1,224</w:t>
            </w:r>
          </w:p>
        </w:tc>
        <w:tc>
          <w:tcPr>
            <w:tcW w:w="1320" w:type="dxa"/>
            <w:vAlign w:val="bottom"/>
            <w:tcBorders>
              <w:bottom w:val="single" w:sz="8" w:color="auto"/>
            </w:tcBorders>
            <w:shd w:val="clear" w:color="auto" w:fill="E5E5E5"/>
          </w:tcPr>
          <w:p>
            <w:pPr>
              <w:jc w:val="right"/>
              <w:ind w:right="79"/>
              <w:spacing w:after="0"/>
              <w:rPr>
                <w:sz w:val="20"/>
                <w:szCs w:val="20"/>
                <w:color w:val="auto"/>
              </w:rPr>
            </w:pPr>
            <w:r>
              <w:rPr>
                <w:rFonts w:ascii="Times New Roman" w:cs="Times New Roman" w:eastAsia="Times New Roman" w:hAnsi="Times New Roman"/>
                <w:sz w:val="18"/>
                <w:szCs w:val="18"/>
                <w:color w:val="auto"/>
              </w:rPr>
              <w:t>53%</w:t>
            </w:r>
          </w:p>
        </w:tc>
        <w:tc>
          <w:tcPr>
            <w:tcW w:w="9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 Margin</w:t>
            </w:r>
          </w:p>
        </w:tc>
        <w:tc>
          <w:tcPr>
            <w:tcW w:w="420" w:type="dxa"/>
            <w:vAlign w:val="bottom"/>
          </w:tcPr>
          <w:p>
            <w:pPr>
              <w:spacing w:after="0"/>
              <w:rPr>
                <w:sz w:val="18"/>
                <w:szCs w:val="18"/>
                <w:color w:val="auto"/>
              </w:rPr>
            </w:pPr>
          </w:p>
        </w:tc>
        <w:tc>
          <w:tcPr>
            <w:tcW w:w="7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37.8%</w:t>
            </w:r>
          </w:p>
        </w:tc>
        <w:tc>
          <w:tcPr>
            <w:tcW w:w="380" w:type="dxa"/>
            <w:vAlign w:val="bottom"/>
          </w:tcPr>
          <w:p>
            <w:pPr>
              <w:spacing w:after="0"/>
              <w:rPr>
                <w:sz w:val="18"/>
                <w:szCs w:val="18"/>
                <w:color w:val="auto"/>
              </w:rPr>
            </w:pPr>
          </w:p>
        </w:tc>
        <w:tc>
          <w:tcPr>
            <w:tcW w:w="8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NM</w:t>
            </w:r>
          </w:p>
        </w:tc>
        <w:tc>
          <w:tcPr>
            <w:tcW w:w="320" w:type="dxa"/>
            <w:vAlign w:val="bottom"/>
          </w:tcPr>
          <w:p>
            <w:pPr>
              <w:spacing w:after="0"/>
              <w:rPr>
                <w:sz w:val="18"/>
                <w:szCs w:val="18"/>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37.0%</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420" w:type="dxa"/>
            <w:vAlign w:val="bottom"/>
            <w:shd w:val="clear" w:color="auto" w:fill="E5E5E5"/>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E5E5E5"/>
          </w:tcPr>
          <w:p>
            <w:pPr>
              <w:jc w:val="right"/>
              <w:ind w:right="215"/>
              <w:spacing w:after="0"/>
              <w:rPr>
                <w:sz w:val="20"/>
                <w:szCs w:val="20"/>
                <w:color w:val="auto"/>
              </w:rPr>
            </w:pPr>
            <w:r>
              <w:rPr>
                <w:rFonts w:ascii="Times New Roman" w:cs="Times New Roman" w:eastAsia="Times New Roman" w:hAnsi="Times New Roman"/>
                <w:sz w:val="18"/>
                <w:szCs w:val="18"/>
                <w:color w:val="auto"/>
              </w:rPr>
              <w:t>0.10</w:t>
            </w:r>
          </w:p>
        </w:tc>
        <w:tc>
          <w:tcPr>
            <w:tcW w:w="380" w:type="dxa"/>
            <w:vAlign w:val="bottom"/>
            <w:shd w:val="clear" w:color="auto" w:fill="E5E5E5"/>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E5E5E5"/>
          </w:tcPr>
          <w:p>
            <w:pPr>
              <w:jc w:val="right"/>
              <w:ind w:right="75"/>
              <w:spacing w:after="0"/>
              <w:rPr>
                <w:sz w:val="20"/>
                <w:szCs w:val="20"/>
                <w:color w:val="auto"/>
              </w:rPr>
            </w:pPr>
            <w:r>
              <w:rPr>
                <w:rFonts w:ascii="Times New Roman" w:cs="Times New Roman" w:eastAsia="Times New Roman" w:hAnsi="Times New Roman"/>
                <w:sz w:val="18"/>
                <w:szCs w:val="18"/>
                <w:color w:val="auto"/>
              </w:rPr>
              <w:t>0.01)</w:t>
            </w:r>
          </w:p>
        </w:tc>
        <w:tc>
          <w:tcPr>
            <w:tcW w:w="320" w:type="dxa"/>
            <w:vAlign w:val="bottom"/>
            <w:shd w:val="clear" w:color="auto" w:fill="E5E5E5"/>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E5E5E5"/>
          </w:tcPr>
          <w:p>
            <w:pPr>
              <w:jc w:val="right"/>
              <w:ind w:right="217"/>
              <w:spacing w:after="0"/>
              <w:rPr>
                <w:sz w:val="20"/>
                <w:szCs w:val="20"/>
                <w:color w:val="auto"/>
              </w:rPr>
            </w:pPr>
            <w:r>
              <w:rPr>
                <w:rFonts w:ascii="Times New Roman" w:cs="Times New Roman" w:eastAsia="Times New Roman" w:hAnsi="Times New Roman"/>
                <w:sz w:val="18"/>
                <w:szCs w:val="18"/>
                <w:color w:val="auto"/>
              </w:rPr>
              <w:t>0.09</w:t>
            </w:r>
          </w:p>
        </w:tc>
        <w:tc>
          <w:tcPr>
            <w:tcW w:w="2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E5E5E5"/>
          </w:tcPr>
          <w:p>
            <w:pPr>
              <w:jc w:val="right"/>
              <w:ind w:right="77"/>
              <w:spacing w:after="0"/>
              <w:rPr>
                <w:sz w:val="20"/>
                <w:szCs w:val="20"/>
                <w:color w:val="auto"/>
              </w:rPr>
            </w:pPr>
            <w:r>
              <w:rPr>
                <w:rFonts w:ascii="Times New Roman" w:cs="Times New Roman" w:eastAsia="Times New Roman" w:hAnsi="Times New Roman"/>
                <w:sz w:val="18"/>
                <w:szCs w:val="18"/>
                <w:color w:val="auto"/>
              </w:rPr>
              <w:t>0.58</w:t>
            </w:r>
          </w:p>
        </w:tc>
        <w:tc>
          <w:tcPr>
            <w:tcW w:w="1320" w:type="dxa"/>
            <w:vAlign w:val="bottom"/>
            <w:shd w:val="clear" w:color="auto" w:fill="E5E5E5"/>
          </w:tcPr>
          <w:p>
            <w:pPr>
              <w:jc w:val="right"/>
              <w:ind w:right="79"/>
              <w:spacing w:after="0"/>
              <w:rPr>
                <w:sz w:val="20"/>
                <w:szCs w:val="20"/>
                <w:color w:val="auto"/>
              </w:rPr>
            </w:pPr>
            <w:r>
              <w:rPr>
                <w:rFonts w:ascii="Times New Roman" w:cs="Times New Roman" w:eastAsia="Times New Roman" w:hAnsi="Times New Roman"/>
                <w:sz w:val="18"/>
                <w:szCs w:val="18"/>
                <w:color w:val="auto"/>
              </w:rPr>
              <w:t>544%</w:t>
            </w:r>
          </w:p>
        </w:tc>
        <w:tc>
          <w:tcPr>
            <w:tcW w:w="9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460" w:hanging="452"/>
        <w:spacing w:after="0" w:line="262"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data is adjusted only for timing of acquisitions (or dispositions) and does not include adjustments for costs related to integration activities, cost savings or synergies that have been or may be achieved by the combined businesses. Pro Forma results are presented as if the acquisitions and dispositions were effective on January 1, 2005.</w:t>
      </w:r>
    </w:p>
    <w:p>
      <w:pPr>
        <w:spacing w:after="0" w:line="51" w:lineRule="exact"/>
        <w:rPr>
          <w:rFonts w:ascii="Times New Roman" w:cs="Times New Roman" w:eastAsia="Times New Roman" w:hAnsi="Times New Roman"/>
          <w:sz w:val="18"/>
          <w:szCs w:val="18"/>
          <w:color w:val="auto"/>
        </w:rPr>
      </w:pPr>
    </w:p>
    <w:p>
      <w:pPr>
        <w:jc w:val="both"/>
        <w:ind w:left="460" w:right="20" w:hanging="452"/>
        <w:spacing w:after="0" w:line="262"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on August 1, 2006, the cable segment includes the operating results of the cable systems serving Houston, TX as a result of the expected dissolution of our cable partnership with Time Warner. This adjustment is reversed in the Corporate, Other and Eliminations column to reconcile to our consolidated amounts.</w:t>
      </w:r>
    </w:p>
    <w:p>
      <w:pPr>
        <w:sectPr>
          <w:pgSz w:w="11900" w:h="16838" w:orient="portrait"/>
          <w:cols w:equalWidth="0" w:num="1">
            <w:col w:w="11420"/>
          </w:cols>
          <w:pgMar w:left="240" w:top="967" w:right="239" w:bottom="0" w:gutter="0" w:footer="0" w:header="0"/>
        </w:sectPr>
      </w:pPr>
    </w:p>
    <w:bookmarkStart w:id="16" w:name="page17"/>
    <w:bookmarkEnd w:id="16"/>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Pro Forma adjustments include cable systems serving Houston, TX prior to August 1, 2006.</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Pro Forma adjustments include cable systems serving Houston, TX for all periods.</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consistent with our management reporting, reclassifications were made to technology development ventures, programming headquarters and other.</w:t>
      </w:r>
    </w:p>
    <w:p>
      <w:pPr>
        <w:spacing w:after="0" w:line="113" w:lineRule="exact"/>
        <w:rPr>
          <w:rFonts w:ascii="Times New Roman" w:cs="Times New Roman" w:eastAsia="Times New Roman" w:hAnsi="Times New Roman"/>
          <w:sz w:val="16"/>
          <w:szCs w:val="16"/>
          <w:color w:val="auto"/>
        </w:rPr>
      </w:pPr>
    </w:p>
    <w:p>
      <w:pPr>
        <w:jc w:val="both"/>
        <w:ind w:left="460" w:hanging="452"/>
        <w:spacing w:after="0" w:line="258"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consistent with our management reporting, the 2005 segment amounts have been adjusted as if stock options had been expensed as of January 1, 2005. For the three months ended September 30, 2005, the adjustments reducing operating income before depreciation and amortization by segment were $30 million for Cable, $1 million for Content and $9 million for Corporate and Other. For the three months ended September 30, 2005, the total adjustment of $40 million is reversed in the Corporate, Other and Eliminations column to reconcile to our consolidated 2005 amounts.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7-B</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Pro Forma (1), “As Adjusted” Financial Data by Business Segment</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vMerge w:val="restart"/>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7"/>
              </w:rPr>
              <w:t>Corporate,</w:t>
            </w:r>
          </w:p>
        </w:tc>
        <w:tc>
          <w:tcPr>
            <w:tcW w:w="20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Cable</w:t>
            </w: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center"/>
              <w:ind w:right="274"/>
              <w:spacing w:after="0" w:line="149" w:lineRule="exact"/>
              <w:rPr>
                <w:sz w:val="20"/>
                <w:szCs w:val="20"/>
                <w:color w:val="auto"/>
              </w:rPr>
            </w:pPr>
            <w:r>
              <w:rPr>
                <w:rFonts w:ascii="Times New Roman" w:cs="Times New Roman" w:eastAsia="Times New Roman" w:hAnsi="Times New Roman"/>
                <w:sz w:val="14"/>
                <w:szCs w:val="14"/>
                <w:b w:val="1"/>
                <w:bCs w:val="1"/>
                <w:color w:val="auto"/>
                <w:w w:val="96"/>
              </w:rPr>
              <w:t>Other and</w:t>
            </w:r>
          </w:p>
        </w:tc>
        <w:tc>
          <w:tcPr>
            <w:tcW w:w="20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tcPr>
          <w:p>
            <w:pPr>
              <w:jc w:val="right"/>
              <w:ind w:right="274"/>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220" w:type="dxa"/>
            <w:vAlign w:val="bottom"/>
          </w:tcPr>
          <w:p>
            <w:pPr>
              <w:spacing w:after="0"/>
              <w:rPr>
                <w:sz w:val="12"/>
                <w:szCs w:val="12"/>
                <w:color w:val="auto"/>
              </w:rPr>
            </w:pPr>
          </w:p>
        </w:tc>
        <w:tc>
          <w:tcPr>
            <w:tcW w:w="640" w:type="dxa"/>
            <w:vAlign w:val="bottom"/>
            <w:tcBorders>
              <w:right w:val="single" w:sz="8" w:color="auto"/>
            </w:tcBorders>
          </w:tcPr>
          <w:p>
            <w:pPr>
              <w:jc w:val="right"/>
              <w:ind w:right="193"/>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Cable</w:t>
            </w:r>
          </w:p>
        </w:tc>
        <w:tc>
          <w:tcPr>
            <w:tcW w:w="400" w:type="dxa"/>
            <w:vAlign w:val="bottom"/>
          </w:tcPr>
          <w:p>
            <w:pPr>
              <w:spacing w:after="0"/>
              <w:rPr>
                <w:sz w:val="12"/>
                <w:szCs w:val="12"/>
                <w:color w:val="auto"/>
              </w:rPr>
            </w:pPr>
          </w:p>
        </w:tc>
        <w:tc>
          <w:tcPr>
            <w:tcW w:w="1020" w:type="dxa"/>
            <w:vAlign w:val="bottom"/>
          </w:tcPr>
          <w:p>
            <w:pPr>
              <w:jc w:val="right"/>
              <w:ind w:right="274"/>
              <w:spacing w:after="0" w:line="149" w:lineRule="exact"/>
              <w:rPr>
                <w:sz w:val="20"/>
                <w:szCs w:val="20"/>
                <w:color w:val="auto"/>
              </w:rPr>
            </w:pPr>
            <w:r>
              <w:rPr>
                <w:rFonts w:ascii="Times New Roman" w:cs="Times New Roman" w:eastAsia="Times New Roman" w:hAnsi="Times New Roman"/>
                <w:sz w:val="14"/>
                <w:szCs w:val="14"/>
                <w:b w:val="1"/>
                <w:bCs w:val="1"/>
                <w:color w:val="auto"/>
                <w:w w:val="97"/>
              </w:rPr>
              <w:t>Pro Forma</w:t>
            </w:r>
          </w:p>
        </w:tc>
        <w:tc>
          <w:tcPr>
            <w:tcW w:w="220" w:type="dxa"/>
            <w:vAlign w:val="bottom"/>
          </w:tcPr>
          <w:p>
            <w:pPr>
              <w:spacing w:after="0"/>
              <w:rPr>
                <w:sz w:val="12"/>
                <w:szCs w:val="12"/>
                <w:color w:val="auto"/>
              </w:rPr>
            </w:pPr>
          </w:p>
        </w:tc>
        <w:tc>
          <w:tcPr>
            <w:tcW w:w="620" w:type="dxa"/>
            <w:vAlign w:val="bottom"/>
          </w:tcPr>
          <w:p>
            <w:pPr>
              <w:jc w:val="right"/>
              <w:ind w:right="193"/>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920" w:type="dxa"/>
            <w:vAlign w:val="bottom"/>
            <w:gridSpan w:val="2"/>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Cable (2)</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Content</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Eliminations (2) (6)</w:t>
            </w:r>
          </w:p>
        </w:tc>
        <w:tc>
          <w:tcPr>
            <w:tcW w:w="200" w:type="dxa"/>
            <w:vAlign w:val="bottom"/>
          </w:tcPr>
          <w:p>
            <w:pPr>
              <w:spacing w:after="0"/>
              <w:rPr>
                <w:sz w:val="14"/>
                <w:szCs w:val="14"/>
                <w:color w:val="auto"/>
              </w:rPr>
            </w:pPr>
          </w:p>
        </w:tc>
        <w:tc>
          <w:tcPr>
            <w:tcW w:w="620" w:type="dxa"/>
            <w:vAlign w:val="bottom"/>
            <w:tcBorders>
              <w:right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Adjustments (1) (3)</w:t>
            </w:r>
          </w:p>
        </w:tc>
        <w:tc>
          <w:tcPr>
            <w:tcW w:w="8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Adjustments (1) (4)</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6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w w:val="98"/>
              </w:rPr>
              <w:t>Nine Months Ended September 30, 2006</w:t>
            </w:r>
          </w:p>
        </w:tc>
        <w:tc>
          <w:tcPr>
            <w:tcW w:w="280" w:type="dxa"/>
            <w:vAlign w:val="bottom"/>
            <w:tcBorders>
              <w:top w:val="single" w:sz="8" w:color="auto"/>
            </w:tcBorders>
            <w:shd w:val="clear" w:color="auto" w:fill="E5E5E5"/>
          </w:tcPr>
          <w:p>
            <w:pPr>
              <w:spacing w:after="0"/>
              <w:rPr>
                <w:sz w:val="20"/>
                <w:szCs w:val="20"/>
                <w:color w:val="auto"/>
              </w:rPr>
            </w:pPr>
          </w:p>
        </w:tc>
        <w:tc>
          <w:tcPr>
            <w:tcW w:w="640" w:type="dxa"/>
            <w:vAlign w:val="bottom"/>
            <w:tcBorders>
              <w:top w:val="single" w:sz="8" w:color="auto"/>
            </w:tcBorders>
            <w:shd w:val="clear" w:color="auto" w:fill="E5E5E5"/>
          </w:tcPr>
          <w:p>
            <w:pPr>
              <w:spacing w:after="0"/>
              <w:rPr>
                <w:sz w:val="20"/>
                <w:szCs w:val="20"/>
                <w:color w:val="auto"/>
              </w:rPr>
            </w:pPr>
          </w:p>
        </w:tc>
        <w:tc>
          <w:tcPr>
            <w:tcW w:w="240" w:type="dxa"/>
            <w:vAlign w:val="bottom"/>
            <w:tcBorders>
              <w:top w:val="single" w:sz="8" w:color="auto"/>
            </w:tcBorders>
            <w:shd w:val="clear" w:color="auto" w:fill="E5E5E5"/>
          </w:tcPr>
          <w:p>
            <w:pPr>
              <w:spacing w:after="0"/>
              <w:rPr>
                <w:sz w:val="20"/>
                <w:szCs w:val="20"/>
                <w:color w:val="auto"/>
              </w:rPr>
            </w:pPr>
          </w:p>
        </w:tc>
        <w:tc>
          <w:tcPr>
            <w:tcW w:w="440" w:type="dxa"/>
            <w:vAlign w:val="bottom"/>
            <w:tcBorders>
              <w:top w:val="single" w:sz="8" w:color="auto"/>
            </w:tcBorders>
            <w:shd w:val="clear" w:color="auto" w:fill="E5E5E5"/>
          </w:tcPr>
          <w:p>
            <w:pPr>
              <w:spacing w:after="0"/>
              <w:rPr>
                <w:sz w:val="20"/>
                <w:szCs w:val="20"/>
                <w:color w:val="auto"/>
              </w:rPr>
            </w:pPr>
          </w:p>
        </w:tc>
        <w:tc>
          <w:tcPr>
            <w:tcW w:w="300" w:type="dxa"/>
            <w:vAlign w:val="bottom"/>
            <w:tcBorders>
              <w:top w:val="single" w:sz="8" w:color="auto"/>
            </w:tcBorders>
            <w:shd w:val="clear" w:color="auto" w:fill="E5E5E5"/>
          </w:tcPr>
          <w:p>
            <w:pPr>
              <w:spacing w:after="0"/>
              <w:rPr>
                <w:sz w:val="20"/>
                <w:szCs w:val="20"/>
                <w:color w:val="auto"/>
              </w:rPr>
            </w:pPr>
          </w:p>
        </w:tc>
        <w:tc>
          <w:tcPr>
            <w:tcW w:w="1080" w:type="dxa"/>
            <w:vAlign w:val="bottom"/>
            <w:tcBorders>
              <w:top w:val="single" w:sz="8" w:color="auto"/>
            </w:tcBorders>
            <w:shd w:val="clear" w:color="auto" w:fill="E5E5E5"/>
          </w:tcPr>
          <w:p>
            <w:pPr>
              <w:spacing w:after="0"/>
              <w:rPr>
                <w:sz w:val="20"/>
                <w:szCs w:val="20"/>
                <w:color w:val="auto"/>
              </w:rPr>
            </w:pPr>
          </w:p>
        </w:tc>
        <w:tc>
          <w:tcPr>
            <w:tcW w:w="200" w:type="dxa"/>
            <w:vAlign w:val="bottom"/>
            <w:tcBorders>
              <w:top w:val="single" w:sz="8" w:color="auto"/>
            </w:tcBorders>
            <w:shd w:val="clear" w:color="auto" w:fill="E5E5E5"/>
          </w:tcPr>
          <w:p>
            <w:pPr>
              <w:spacing w:after="0"/>
              <w:rPr>
                <w:sz w:val="20"/>
                <w:szCs w:val="20"/>
                <w:color w:val="auto"/>
              </w:rPr>
            </w:pPr>
          </w:p>
        </w:tc>
        <w:tc>
          <w:tcPr>
            <w:tcW w:w="620" w:type="dxa"/>
            <w:vAlign w:val="bottom"/>
            <w:tcBorders>
              <w:top w:val="single" w:sz="8" w:color="auto"/>
              <w:right w:val="single" w:sz="8" w:color="auto"/>
            </w:tcBorders>
            <w:shd w:val="clear" w:color="auto" w:fill="E5E5E5"/>
          </w:tcPr>
          <w:p>
            <w:pPr>
              <w:spacing w:after="0"/>
              <w:rPr>
                <w:sz w:val="20"/>
                <w:szCs w:val="20"/>
                <w:color w:val="auto"/>
              </w:rPr>
            </w:pPr>
          </w:p>
        </w:tc>
        <w:tc>
          <w:tcPr>
            <w:tcW w:w="360" w:type="dxa"/>
            <w:vAlign w:val="bottom"/>
            <w:tcBorders>
              <w:top w:val="single" w:sz="8" w:color="auto"/>
            </w:tcBorders>
            <w:shd w:val="clear" w:color="auto" w:fill="E5E5E5"/>
          </w:tcPr>
          <w:p>
            <w:pPr>
              <w:spacing w:after="0"/>
              <w:rPr>
                <w:sz w:val="20"/>
                <w:szCs w:val="20"/>
                <w:color w:val="auto"/>
              </w:rPr>
            </w:pPr>
          </w:p>
        </w:tc>
        <w:tc>
          <w:tcPr>
            <w:tcW w:w="1060" w:type="dxa"/>
            <w:vAlign w:val="bottom"/>
            <w:tcBorders>
              <w:top w:val="single" w:sz="8" w:color="auto"/>
            </w:tcBorders>
            <w:shd w:val="clear" w:color="auto" w:fill="E5E5E5"/>
          </w:tcPr>
          <w:p>
            <w:pPr>
              <w:spacing w:after="0"/>
              <w:rPr>
                <w:sz w:val="20"/>
                <w:szCs w:val="20"/>
                <w:color w:val="auto"/>
              </w:rPr>
            </w:pPr>
          </w:p>
        </w:tc>
        <w:tc>
          <w:tcPr>
            <w:tcW w:w="220" w:type="dxa"/>
            <w:vAlign w:val="bottom"/>
            <w:tcBorders>
              <w:top w:val="single" w:sz="8" w:color="auto"/>
            </w:tcBorders>
            <w:shd w:val="clear" w:color="auto" w:fill="E5E5E5"/>
          </w:tcPr>
          <w:p>
            <w:pPr>
              <w:spacing w:after="0"/>
              <w:rPr>
                <w:sz w:val="20"/>
                <w:szCs w:val="20"/>
                <w:color w:val="auto"/>
              </w:rPr>
            </w:pPr>
          </w:p>
        </w:tc>
        <w:tc>
          <w:tcPr>
            <w:tcW w:w="640" w:type="dxa"/>
            <w:vAlign w:val="bottom"/>
            <w:tcBorders>
              <w:top w:val="single" w:sz="8" w:color="auto"/>
              <w:right w:val="single" w:sz="8" w:color="auto"/>
            </w:tcBorders>
            <w:shd w:val="clear" w:color="auto" w:fill="E5E5E5"/>
          </w:tcPr>
          <w:p>
            <w:pPr>
              <w:spacing w:after="0"/>
              <w:rPr>
                <w:sz w:val="20"/>
                <w:szCs w:val="20"/>
                <w:color w:val="auto"/>
              </w:rPr>
            </w:pPr>
          </w:p>
        </w:tc>
        <w:tc>
          <w:tcPr>
            <w:tcW w:w="400" w:type="dxa"/>
            <w:vAlign w:val="bottom"/>
            <w:tcBorders>
              <w:top w:val="single" w:sz="8" w:color="auto"/>
            </w:tcBorders>
            <w:shd w:val="clear" w:color="auto" w:fill="E5E5E5"/>
          </w:tcPr>
          <w:p>
            <w:pPr>
              <w:spacing w:after="0"/>
              <w:rPr>
                <w:sz w:val="20"/>
                <w:szCs w:val="20"/>
                <w:color w:val="auto"/>
              </w:rPr>
            </w:pPr>
          </w:p>
        </w:tc>
        <w:tc>
          <w:tcPr>
            <w:tcW w:w="1020" w:type="dxa"/>
            <w:vAlign w:val="bottom"/>
            <w:tcBorders>
              <w:top w:val="single" w:sz="8" w:color="auto"/>
            </w:tcBorders>
            <w:shd w:val="clear" w:color="auto" w:fill="E5E5E5"/>
          </w:tcPr>
          <w:p>
            <w:pPr>
              <w:spacing w:after="0"/>
              <w:rPr>
                <w:sz w:val="20"/>
                <w:szCs w:val="20"/>
                <w:color w:val="auto"/>
              </w:rPr>
            </w:pPr>
          </w:p>
        </w:tc>
        <w:tc>
          <w:tcPr>
            <w:tcW w:w="220" w:type="dxa"/>
            <w:vAlign w:val="bottom"/>
            <w:tcBorders>
              <w:top w:val="single" w:sz="8" w:color="auto"/>
            </w:tcBorders>
            <w:shd w:val="clear" w:color="auto" w:fill="E5E5E5"/>
          </w:tcPr>
          <w:p>
            <w:pPr>
              <w:spacing w:after="0"/>
              <w:rPr>
                <w:sz w:val="20"/>
                <w:szCs w:val="20"/>
                <w:color w:val="auto"/>
              </w:rPr>
            </w:pPr>
          </w:p>
        </w:tc>
        <w:tc>
          <w:tcPr>
            <w:tcW w:w="620" w:type="dxa"/>
            <w:vAlign w:val="bottom"/>
            <w:tcBorders>
              <w:top w:val="single" w:sz="8" w:color="auto"/>
            </w:tcBorders>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92"/>
              </w:rPr>
              <w:t>17,205</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770</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92"/>
              </w:rPr>
              <w:t>17,935</w:t>
            </w:r>
          </w:p>
        </w:tc>
        <w:tc>
          <w:tcPr>
            <w:tcW w:w="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2,240</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96"/>
              </w:rPr>
              <w:t>19,445</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2,393</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20,328</w:t>
            </w:r>
          </w:p>
        </w:tc>
        <w:tc>
          <w:tcPr>
            <w:tcW w:w="0" w:type="dxa"/>
            <w:vAlign w:val="bottom"/>
          </w:tcPr>
          <w:p>
            <w:pPr>
              <w:spacing w:after="0"/>
              <w:rPr>
                <w:sz w:val="1"/>
                <w:szCs w:val="1"/>
                <w:color w:val="auto"/>
              </w:rPr>
            </w:pPr>
          </w:p>
        </w:tc>
      </w:tr>
      <w:tr>
        <w:trPr>
          <w:trHeight w:val="231"/>
        </w:trPr>
        <w:tc>
          <w:tcPr>
            <w:tcW w:w="20" w:type="dxa"/>
            <w:vAlign w:val="bottom"/>
            <w:vMerge w:val="restart"/>
          </w:tcPr>
          <w:p>
            <w:pPr>
              <w:spacing w:after="0"/>
              <w:rPr>
                <w:sz w:val="20"/>
                <w:szCs w:val="20"/>
                <w:color w:val="auto"/>
              </w:rPr>
            </w:pPr>
          </w:p>
        </w:tc>
        <w:tc>
          <w:tcPr>
            <w:tcW w:w="3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60" w:type="dxa"/>
            <w:vAlign w:val="bottom"/>
            <w:shd w:val="clear" w:color="auto" w:fill="E5E5E5"/>
          </w:tcPr>
          <w:p>
            <w:pPr>
              <w:spacing w:after="0" w:line="201" w:lineRule="exact"/>
              <w:rPr>
                <w:sz w:val="20"/>
                <w:szCs w:val="20"/>
                <w:color w:val="auto"/>
              </w:rPr>
            </w:pPr>
            <w:r>
              <w:rPr>
                <w:rFonts w:ascii="Times New Roman" w:cs="Times New Roman" w:eastAsia="Times New Roman" w:hAnsi="Times New Roman"/>
                <w:sz w:val="18"/>
                <w:szCs w:val="18"/>
                <w:color w:val="auto"/>
              </w:rPr>
              <w:t>Operating Expenses (excluding</w:t>
            </w:r>
          </w:p>
        </w:tc>
        <w:tc>
          <w:tcPr>
            <w:tcW w:w="280" w:type="dxa"/>
            <w:vAlign w:val="bottom"/>
            <w:shd w:val="clear" w:color="auto" w:fill="E5E5E5"/>
          </w:tcPr>
          <w:p>
            <w:pPr>
              <w:spacing w:after="0"/>
              <w:rPr>
                <w:sz w:val="17"/>
                <w:szCs w:val="17"/>
                <w:color w:val="auto"/>
              </w:rPr>
            </w:pPr>
          </w:p>
        </w:tc>
        <w:tc>
          <w:tcPr>
            <w:tcW w:w="640" w:type="dxa"/>
            <w:vAlign w:val="bottom"/>
            <w:vMerge w:val="restart"/>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w w:val="92"/>
              </w:rPr>
              <w:t>10,250</w:t>
            </w:r>
          </w:p>
        </w:tc>
        <w:tc>
          <w:tcPr>
            <w:tcW w:w="240" w:type="dxa"/>
            <w:vAlign w:val="bottom"/>
            <w:shd w:val="clear" w:color="auto" w:fill="E5E5E5"/>
          </w:tcPr>
          <w:p>
            <w:pPr>
              <w:spacing w:after="0"/>
              <w:rPr>
                <w:sz w:val="17"/>
                <w:szCs w:val="17"/>
                <w:color w:val="auto"/>
              </w:rPr>
            </w:pPr>
          </w:p>
        </w:tc>
        <w:tc>
          <w:tcPr>
            <w:tcW w:w="440" w:type="dxa"/>
            <w:vAlign w:val="bottom"/>
            <w:vMerge w:val="restart"/>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572</w:t>
            </w:r>
          </w:p>
        </w:tc>
        <w:tc>
          <w:tcPr>
            <w:tcW w:w="300" w:type="dxa"/>
            <w:vAlign w:val="bottom"/>
            <w:shd w:val="clear" w:color="auto" w:fill="E5E5E5"/>
          </w:tcPr>
          <w:p>
            <w:pPr>
              <w:spacing w:after="0"/>
              <w:rPr>
                <w:sz w:val="17"/>
                <w:szCs w:val="17"/>
                <w:color w:val="auto"/>
              </w:rPr>
            </w:pPr>
          </w:p>
        </w:tc>
        <w:tc>
          <w:tcPr>
            <w:tcW w:w="1080" w:type="dxa"/>
            <w:vAlign w:val="bottom"/>
            <w:vMerge w:val="restart"/>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color w:val="auto"/>
              </w:rPr>
              <w:t>265</w:t>
            </w:r>
          </w:p>
        </w:tc>
        <w:tc>
          <w:tcPr>
            <w:tcW w:w="200" w:type="dxa"/>
            <w:vAlign w:val="bottom"/>
            <w:shd w:val="clear" w:color="auto" w:fill="E5E5E5"/>
          </w:tcPr>
          <w:p>
            <w:pPr>
              <w:spacing w:after="0"/>
              <w:rPr>
                <w:sz w:val="17"/>
                <w:szCs w:val="17"/>
                <w:color w:val="auto"/>
              </w:rPr>
            </w:pPr>
          </w:p>
        </w:tc>
        <w:tc>
          <w:tcPr>
            <w:tcW w:w="620" w:type="dxa"/>
            <w:vAlign w:val="bottom"/>
            <w:tcBorders>
              <w:right w:val="single" w:sz="8" w:color="auto"/>
            </w:tcBorders>
            <w:vMerge w:val="restart"/>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w w:val="92"/>
              </w:rPr>
              <w:t>11,087</w:t>
            </w:r>
          </w:p>
        </w:tc>
        <w:tc>
          <w:tcPr>
            <w:tcW w:w="360" w:type="dxa"/>
            <w:vAlign w:val="bottom"/>
            <w:shd w:val="clear" w:color="auto" w:fill="E5E5E5"/>
          </w:tcPr>
          <w:p>
            <w:pPr>
              <w:spacing w:after="0"/>
              <w:rPr>
                <w:sz w:val="17"/>
                <w:szCs w:val="17"/>
                <w:color w:val="auto"/>
              </w:rPr>
            </w:pPr>
          </w:p>
        </w:tc>
        <w:tc>
          <w:tcPr>
            <w:tcW w:w="1060" w:type="dxa"/>
            <w:vAlign w:val="bottom"/>
            <w:vMerge w:val="restart"/>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1,421</w:t>
            </w:r>
          </w:p>
        </w:tc>
        <w:tc>
          <w:tcPr>
            <w:tcW w:w="220" w:type="dxa"/>
            <w:vAlign w:val="bottom"/>
            <w:shd w:val="clear" w:color="auto" w:fill="E5E5E5"/>
          </w:tcPr>
          <w:p>
            <w:pPr>
              <w:spacing w:after="0"/>
              <w:rPr>
                <w:sz w:val="17"/>
                <w:szCs w:val="17"/>
                <w:color w:val="auto"/>
              </w:rPr>
            </w:pPr>
          </w:p>
        </w:tc>
        <w:tc>
          <w:tcPr>
            <w:tcW w:w="640" w:type="dxa"/>
            <w:vAlign w:val="bottom"/>
            <w:tcBorders>
              <w:right w:val="single" w:sz="8" w:color="auto"/>
            </w:tcBorders>
            <w:vMerge w:val="restart"/>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w w:val="96"/>
              </w:rPr>
              <w:t>11,671</w:t>
            </w:r>
          </w:p>
        </w:tc>
        <w:tc>
          <w:tcPr>
            <w:tcW w:w="400" w:type="dxa"/>
            <w:vAlign w:val="bottom"/>
            <w:shd w:val="clear" w:color="auto" w:fill="E5E5E5"/>
          </w:tcPr>
          <w:p>
            <w:pPr>
              <w:spacing w:after="0"/>
              <w:rPr>
                <w:sz w:val="17"/>
                <w:szCs w:val="17"/>
                <w:color w:val="auto"/>
              </w:rPr>
            </w:pPr>
          </w:p>
        </w:tc>
        <w:tc>
          <w:tcPr>
            <w:tcW w:w="1020" w:type="dxa"/>
            <w:vAlign w:val="bottom"/>
            <w:vMerge w:val="restart"/>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1,521</w:t>
            </w:r>
          </w:p>
        </w:tc>
        <w:tc>
          <w:tcPr>
            <w:tcW w:w="220" w:type="dxa"/>
            <w:vAlign w:val="bottom"/>
            <w:shd w:val="clear" w:color="auto" w:fill="E5E5E5"/>
          </w:tcPr>
          <w:p>
            <w:pPr>
              <w:spacing w:after="0"/>
              <w:rPr>
                <w:sz w:val="17"/>
                <w:szCs w:val="17"/>
                <w:color w:val="auto"/>
              </w:rPr>
            </w:pPr>
          </w:p>
        </w:tc>
        <w:tc>
          <w:tcPr>
            <w:tcW w:w="620" w:type="dxa"/>
            <w:vAlign w:val="bottom"/>
            <w:vMerge w:val="restart"/>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12,608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60" w:type="dxa"/>
            <w:vAlign w:val="bottom"/>
            <w:tcBorders>
              <w:bottom w:val="single" w:sz="8" w:color="E5E5E5"/>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vMerge w:val="continue"/>
            <w:shd w:val="clear" w:color="auto" w:fill="E5E5E5"/>
          </w:tcPr>
          <w:p>
            <w:pPr>
              <w:spacing w:after="0"/>
              <w:rPr>
                <w:sz w:val="18"/>
                <w:szCs w:val="18"/>
                <w:color w:val="auto"/>
              </w:rPr>
            </w:pPr>
          </w:p>
        </w:tc>
        <w:tc>
          <w:tcPr>
            <w:tcW w:w="2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vMerge w:val="continue"/>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vMerge w:val="continue"/>
            <w:shd w:val="clear" w:color="auto" w:fill="E5E5E5"/>
          </w:tcPr>
          <w:p>
            <w:pPr>
              <w:spacing w:after="0"/>
              <w:rPr>
                <w:sz w:val="18"/>
                <w:szCs w:val="18"/>
                <w:color w:val="auto"/>
              </w:rPr>
            </w:pPr>
          </w:p>
        </w:tc>
        <w:tc>
          <w:tcPr>
            <w:tcW w:w="2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right w:val="single" w:sz="8" w:color="auto"/>
            </w:tcBorders>
            <w:vMerge w:val="continue"/>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vMerge w:val="continue"/>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right w:val="single" w:sz="8" w:color="auto"/>
            </w:tcBorders>
            <w:vMerge w:val="continue"/>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vMerge w:val="continue"/>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vMerge w:val="continue"/>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6,955</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198</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6,848</w:t>
            </w:r>
          </w:p>
        </w:tc>
        <w:tc>
          <w:tcPr>
            <w:tcW w:w="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819</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7,774</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872</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3,269</w:t>
            </w:r>
          </w:p>
        </w:tc>
        <w:tc>
          <w:tcPr>
            <w:tcW w:w="2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124</w:t>
            </w:r>
          </w:p>
        </w:tc>
        <w:tc>
          <w:tcPr>
            <w:tcW w:w="30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right w:val="single" w:sz="8" w:color="auto"/>
            </w:tcBorders>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3,447</w:t>
            </w:r>
          </w:p>
        </w:tc>
        <w:tc>
          <w:tcPr>
            <w:tcW w:w="36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411</w:t>
            </w:r>
          </w:p>
        </w:tc>
        <w:tc>
          <w:tcPr>
            <w:tcW w:w="2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right w:val="single" w:sz="8" w:color="auto"/>
            </w:tcBorders>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3,680</w:t>
            </w:r>
          </w:p>
        </w:tc>
        <w:tc>
          <w:tcPr>
            <w:tcW w:w="40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414</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3,861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3,686</w:t>
            </w:r>
          </w:p>
        </w:tc>
        <w:tc>
          <w:tcPr>
            <w:tcW w:w="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359)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3,401</w:t>
            </w:r>
          </w:p>
        </w:tc>
        <w:tc>
          <w:tcPr>
            <w:tcW w:w="3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408</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4,094</w:t>
            </w:r>
          </w:p>
        </w:tc>
        <w:tc>
          <w:tcPr>
            <w:tcW w:w="4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458</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3,859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06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2,946</w:t>
            </w:r>
          </w:p>
        </w:tc>
        <w:tc>
          <w:tcPr>
            <w:tcW w:w="240" w:type="dxa"/>
            <w:vAlign w:val="bottom"/>
            <w:tcBorders>
              <w:bottom w:val="single" w:sz="8" w:color="auto"/>
            </w:tcBorders>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Borders>
              <w:bottom w:val="single" w:sz="8" w:color="auto"/>
            </w:tcBorders>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3,051</w:t>
            </w:r>
          </w:p>
        </w:tc>
        <w:tc>
          <w:tcPr>
            <w:tcW w:w="360" w:type="dxa"/>
            <w:vAlign w:val="bottom"/>
            <w:tcBorders>
              <w:bottom w:val="single" w:sz="8" w:color="auto"/>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313</w:t>
            </w:r>
          </w:p>
        </w:tc>
        <w:tc>
          <w:tcPr>
            <w:tcW w:w="220" w:type="dxa"/>
            <w:vAlign w:val="bottom"/>
            <w:tcBorders>
              <w:bottom w:val="single" w:sz="8" w:color="auto"/>
            </w:tcBorders>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right w:val="single" w:sz="8" w:color="auto"/>
            </w:tcBorders>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3,259</w:t>
            </w:r>
          </w:p>
        </w:tc>
        <w:tc>
          <w:tcPr>
            <w:tcW w:w="400" w:type="dxa"/>
            <w:vAlign w:val="bottom"/>
            <w:tcBorders>
              <w:bottom w:val="single" w:sz="8" w:color="auto"/>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241</w:t>
            </w:r>
          </w:p>
        </w:tc>
        <w:tc>
          <w:tcPr>
            <w:tcW w:w="220" w:type="dxa"/>
            <w:vAlign w:val="bottom"/>
            <w:tcBorders>
              <w:bottom w:val="single" w:sz="8" w:color="auto"/>
            </w:tcBorders>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3,292</w:t>
            </w:r>
          </w:p>
        </w:tc>
        <w:tc>
          <w:tcPr>
            <w:tcW w:w="0" w:type="dxa"/>
            <w:vAlign w:val="bottom"/>
          </w:tcPr>
          <w:p>
            <w:pPr>
              <w:spacing w:after="0"/>
              <w:rPr>
                <w:sz w:val="1"/>
                <w:szCs w:val="1"/>
                <w:color w:val="auto"/>
              </w:rPr>
            </w:pPr>
          </w:p>
        </w:tc>
      </w:tr>
      <w:tr>
        <w:trPr>
          <w:trHeight w:val="457"/>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2005</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w w:val="92"/>
              </w:rPr>
              <w:t>14,870</w:t>
            </w:r>
          </w:p>
        </w:tc>
        <w:tc>
          <w:tcPr>
            <w:tcW w:w="240" w:type="dxa"/>
            <w:vAlign w:val="bottom"/>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684</w:t>
            </w:r>
          </w:p>
        </w:tc>
        <w:tc>
          <w:tcPr>
            <w:tcW w:w="300" w:type="dxa"/>
            <w:vAlign w:val="bottom"/>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auto"/>
            </w:tcBorders>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w w:val="92"/>
              </w:rPr>
              <w:t>15,659</w:t>
            </w:r>
          </w:p>
        </w:tc>
        <w:tc>
          <w:tcPr>
            <w:tcW w:w="36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2,650</w:t>
            </w:r>
          </w:p>
        </w:tc>
        <w:tc>
          <w:tcPr>
            <w:tcW w:w="220" w:type="dxa"/>
            <w:vAlign w:val="bottom"/>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auto"/>
            </w:tcBorders>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w w:val="96"/>
              </w:rPr>
              <w:t>17,520</w:t>
            </w:r>
          </w:p>
        </w:tc>
        <w:tc>
          <w:tcPr>
            <w:tcW w:w="4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2,650</w:t>
            </w:r>
          </w:p>
        </w:tc>
        <w:tc>
          <w:tcPr>
            <w:tcW w:w="220" w:type="dxa"/>
            <w:vAlign w:val="bottom"/>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18,309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Segment reclassifications (5)</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w w:val="92"/>
              </w:rPr>
              <w:t>14,877</w:t>
            </w:r>
          </w:p>
        </w:tc>
        <w:tc>
          <w:tcPr>
            <w:tcW w:w="240" w:type="dxa"/>
            <w:vAlign w:val="bottom"/>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684</w:t>
            </w:r>
          </w:p>
        </w:tc>
        <w:tc>
          <w:tcPr>
            <w:tcW w:w="300" w:type="dxa"/>
            <w:vAlign w:val="bottom"/>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auto"/>
            </w:tcBorders>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w w:val="92"/>
              </w:rPr>
              <w:t>15,659</w:t>
            </w:r>
          </w:p>
        </w:tc>
        <w:tc>
          <w:tcPr>
            <w:tcW w:w="36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2,650</w:t>
            </w:r>
          </w:p>
        </w:tc>
        <w:tc>
          <w:tcPr>
            <w:tcW w:w="220" w:type="dxa"/>
            <w:vAlign w:val="bottom"/>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auto"/>
            </w:tcBorders>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w w:val="96"/>
              </w:rPr>
              <w:t>17,527</w:t>
            </w:r>
          </w:p>
        </w:tc>
        <w:tc>
          <w:tcPr>
            <w:tcW w:w="4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2,650</w:t>
            </w:r>
          </w:p>
        </w:tc>
        <w:tc>
          <w:tcPr>
            <w:tcW w:w="220" w:type="dxa"/>
            <w:vAlign w:val="bottom"/>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18,309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Operating Expenses (excluding</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8,890</w:t>
            </w:r>
          </w:p>
        </w:tc>
        <w:tc>
          <w:tcPr>
            <w:tcW w:w="240" w:type="dxa"/>
            <w:vAlign w:val="bottom"/>
          </w:tcPr>
          <w:p>
            <w:pPr>
              <w:spacing w:after="0"/>
              <w:rPr>
                <w:sz w:val="19"/>
                <w:szCs w:val="19"/>
                <w:color w:val="auto"/>
              </w:rPr>
            </w:pPr>
          </w:p>
        </w:tc>
        <w:tc>
          <w:tcPr>
            <w:tcW w:w="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436</w:t>
            </w:r>
          </w:p>
        </w:tc>
        <w:tc>
          <w:tcPr>
            <w:tcW w:w="300" w:type="dxa"/>
            <w:vAlign w:val="bottom"/>
          </w:tcPr>
          <w:p>
            <w:pPr>
              <w:spacing w:after="0"/>
              <w:rPr>
                <w:sz w:val="19"/>
                <w:szCs w:val="19"/>
                <w:color w:val="auto"/>
              </w:rPr>
            </w:pP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tcPr>
          <w:p>
            <w:pPr>
              <w:spacing w:after="0"/>
              <w:rPr>
                <w:sz w:val="19"/>
                <w:szCs w:val="19"/>
                <w:color w:val="auto"/>
              </w:rPr>
            </w:pPr>
          </w:p>
        </w:tc>
        <w:tc>
          <w:tcPr>
            <w:tcW w:w="62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9,627</w:t>
            </w:r>
          </w:p>
        </w:tc>
        <w:tc>
          <w:tcPr>
            <w:tcW w:w="360" w:type="dxa"/>
            <w:vAlign w:val="bottom"/>
          </w:tcPr>
          <w:p>
            <w:pPr>
              <w:spacing w:after="0"/>
              <w:rPr>
                <w:sz w:val="19"/>
                <w:szCs w:val="19"/>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1,764</w:t>
            </w:r>
          </w:p>
        </w:tc>
        <w:tc>
          <w:tcPr>
            <w:tcW w:w="220" w:type="dxa"/>
            <w:vAlign w:val="bottom"/>
          </w:tcPr>
          <w:p>
            <w:pPr>
              <w:spacing w:after="0"/>
              <w:rPr>
                <w:sz w:val="19"/>
                <w:szCs w:val="19"/>
                <w:color w:val="auto"/>
              </w:rPr>
            </w:pPr>
          </w:p>
        </w:tc>
        <w:tc>
          <w:tcPr>
            <w:tcW w:w="64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96"/>
              </w:rPr>
              <w:t>10,654</w:t>
            </w:r>
          </w:p>
        </w:tc>
        <w:tc>
          <w:tcPr>
            <w:tcW w:w="400" w:type="dxa"/>
            <w:vAlign w:val="bottom"/>
          </w:tcPr>
          <w:p>
            <w:pPr>
              <w:spacing w:after="0"/>
              <w:rPr>
                <w:sz w:val="19"/>
                <w:szCs w:val="19"/>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1,763</w:t>
            </w:r>
          </w:p>
        </w:tc>
        <w:tc>
          <w:tcPr>
            <w:tcW w:w="220" w:type="dxa"/>
            <w:vAlign w:val="bottom"/>
          </w:tcPr>
          <w:p>
            <w:pPr>
              <w:spacing w:after="0"/>
              <w:rPr>
                <w:sz w:val="19"/>
                <w:szCs w:val="19"/>
                <w:color w:val="auto"/>
              </w:rPr>
            </w:pP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11,390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6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Segment reclassifications (5)</w:t>
            </w: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74"/>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E5E5E5"/>
          </w:tcPr>
          <w:p>
            <w:pPr>
              <w:spacing w:after="0"/>
              <w:rPr>
                <w:sz w:val="18"/>
                <w:szCs w:val="18"/>
                <w:color w:val="auto"/>
              </w:rPr>
            </w:pPr>
          </w:p>
        </w:tc>
        <w:tc>
          <w:tcPr>
            <w:tcW w:w="620" w:type="dxa"/>
            <w:vAlign w:val="bottom"/>
            <w:tcBorders>
              <w:right w:val="single" w:sz="8" w:color="auto"/>
            </w:tcBorders>
            <w:shd w:val="clear" w:color="auto" w:fill="E5E5E5"/>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E5E5"/>
          </w:tcPr>
          <w:p>
            <w:pPr>
              <w:spacing w:after="0"/>
              <w:rPr>
                <w:sz w:val="18"/>
                <w:szCs w:val="18"/>
                <w:color w:val="auto"/>
              </w:rPr>
            </w:pPr>
          </w:p>
        </w:tc>
        <w:tc>
          <w:tcPr>
            <w:tcW w:w="640" w:type="dxa"/>
            <w:vAlign w:val="bottom"/>
            <w:tcBorders>
              <w:right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 adjustment (6)</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86</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Cash Flow</w:t>
            </w:r>
          </w:p>
        </w:tc>
        <w:tc>
          <w:tcPr>
            <w:tcW w:w="2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5,910</w:t>
            </w:r>
          </w:p>
        </w:tc>
        <w:tc>
          <w:tcPr>
            <w:tcW w:w="240" w:type="dxa"/>
            <w:vAlign w:val="bottom"/>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240</w:t>
            </w:r>
          </w:p>
        </w:tc>
        <w:tc>
          <w:tcPr>
            <w:tcW w:w="300" w:type="dxa"/>
            <w:vAlign w:val="bottom"/>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auto"/>
            </w:tcBorders>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6,032</w:t>
            </w:r>
          </w:p>
        </w:tc>
        <w:tc>
          <w:tcPr>
            <w:tcW w:w="36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886</w:t>
            </w:r>
          </w:p>
        </w:tc>
        <w:tc>
          <w:tcPr>
            <w:tcW w:w="220" w:type="dxa"/>
            <w:vAlign w:val="bottom"/>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auto"/>
            </w:tcBorders>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6,796</w:t>
            </w:r>
          </w:p>
        </w:tc>
        <w:tc>
          <w:tcPr>
            <w:tcW w:w="4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887</w:t>
            </w:r>
          </w:p>
        </w:tc>
        <w:tc>
          <w:tcPr>
            <w:tcW w:w="220" w:type="dxa"/>
            <w:vAlign w:val="bottom"/>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6,919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3,212</w:t>
            </w: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112</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3,360</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580</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3,792</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581</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3,941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6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E5E5E5"/>
          </w:tcPr>
          <w:p>
            <w:pPr>
              <w:jc w:val="right"/>
              <w:ind w:right="72"/>
              <w:spacing w:after="0"/>
              <w:rPr>
                <w:sz w:val="20"/>
                <w:szCs w:val="20"/>
                <w:color w:val="auto"/>
              </w:rPr>
            </w:pPr>
            <w:r>
              <w:rPr>
                <w:rFonts w:ascii="Times New Roman" w:cs="Times New Roman" w:eastAsia="Times New Roman" w:hAnsi="Times New Roman"/>
                <w:sz w:val="18"/>
                <w:szCs w:val="18"/>
                <w:color w:val="auto"/>
              </w:rPr>
              <w:t>2,698</w:t>
            </w:r>
          </w:p>
        </w:tc>
        <w:tc>
          <w:tcPr>
            <w:tcW w:w="240" w:type="dxa"/>
            <w:vAlign w:val="bottom"/>
            <w:tcBorders>
              <w:bottom w:val="single" w:sz="8" w:color="auto"/>
            </w:tcBorders>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E5E5E5"/>
          </w:tcPr>
          <w:p>
            <w:pPr>
              <w:jc w:val="right"/>
              <w:ind w:right="12"/>
              <w:spacing w:after="0"/>
              <w:rPr>
                <w:sz w:val="20"/>
                <w:szCs w:val="20"/>
                <w:color w:val="auto"/>
              </w:rPr>
            </w:pPr>
            <w:r>
              <w:rPr>
                <w:rFonts w:ascii="Times New Roman" w:cs="Times New Roman" w:eastAsia="Times New Roman" w:hAnsi="Times New Roman"/>
                <w:sz w:val="18"/>
                <w:szCs w:val="18"/>
                <w:color w:val="auto"/>
              </w:rPr>
              <w:t>128</w:t>
            </w:r>
          </w:p>
        </w:tc>
        <w:tc>
          <w:tcPr>
            <w:tcW w:w="300" w:type="dxa"/>
            <w:vAlign w:val="bottom"/>
            <w:tcBorders>
              <w:bottom w:val="single" w:sz="8" w:color="auto"/>
            </w:tcBorders>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2,672</w:t>
            </w:r>
          </w:p>
        </w:tc>
        <w:tc>
          <w:tcPr>
            <w:tcW w:w="360" w:type="dxa"/>
            <w:vAlign w:val="bottom"/>
            <w:tcBorders>
              <w:bottom w:val="single" w:sz="8" w:color="auto"/>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tcBorders>
              <w:bottom w:val="single" w:sz="8" w:color="auto"/>
            </w:tcBorders>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right w:val="single" w:sz="8" w:color="auto"/>
            </w:tcBorders>
            <w:shd w:val="clear" w:color="auto" w:fill="E5E5E5"/>
          </w:tcPr>
          <w:p>
            <w:pPr>
              <w:jc w:val="right"/>
              <w:ind w:right="53"/>
              <w:spacing w:after="0"/>
              <w:rPr>
                <w:sz w:val="20"/>
                <w:szCs w:val="20"/>
                <w:color w:val="auto"/>
              </w:rPr>
            </w:pPr>
            <w:r>
              <w:rPr>
                <w:rFonts w:ascii="Times New Roman" w:cs="Times New Roman" w:eastAsia="Times New Roman" w:hAnsi="Times New Roman"/>
                <w:sz w:val="18"/>
                <w:szCs w:val="18"/>
                <w:color w:val="auto"/>
              </w:rPr>
              <w:t>3,004</w:t>
            </w:r>
          </w:p>
        </w:tc>
        <w:tc>
          <w:tcPr>
            <w:tcW w:w="40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E5E5E5"/>
          </w:tcPr>
          <w:p>
            <w:pPr>
              <w:jc w:val="right"/>
              <w:ind w:right="14"/>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tcBorders>
              <w:bottom w:val="single" w:sz="8" w:color="auto"/>
            </w:tcBorders>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E5E5E5"/>
          </w:tcPr>
          <w:p>
            <w:pPr>
              <w:jc w:val="right"/>
              <w:ind w:right="13"/>
              <w:spacing w:after="0"/>
              <w:rPr>
                <w:sz w:val="20"/>
                <w:szCs w:val="20"/>
                <w:color w:val="auto"/>
              </w:rPr>
            </w:pPr>
            <w:r>
              <w:rPr>
                <w:rFonts w:ascii="Times New Roman" w:cs="Times New Roman" w:eastAsia="Times New Roman" w:hAnsi="Times New Roman"/>
                <w:sz w:val="18"/>
                <w:szCs w:val="18"/>
                <w:color w:val="auto"/>
              </w:rPr>
              <w:t>2,978</w:t>
            </w:r>
          </w:p>
        </w:tc>
        <w:tc>
          <w:tcPr>
            <w:tcW w:w="0" w:type="dxa"/>
            <w:vAlign w:val="bottom"/>
          </w:tcPr>
          <w:p>
            <w:pPr>
              <w:spacing w:after="0"/>
              <w:rPr>
                <w:sz w:val="1"/>
                <w:szCs w:val="1"/>
                <w:color w:val="auto"/>
              </w:rPr>
            </w:pPr>
          </w:p>
        </w:tc>
      </w:tr>
      <w:tr>
        <w:trPr>
          <w:trHeight w:val="46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2,594</w:t>
            </w:r>
          </w:p>
        </w:tc>
        <w:tc>
          <w:tcPr>
            <w:tcW w:w="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148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2,753</w:t>
            </w:r>
          </w:p>
        </w:tc>
        <w:tc>
          <w:tcPr>
            <w:tcW w:w="3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469</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3,063</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345</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3,098</w:t>
            </w:r>
          </w:p>
        </w:tc>
        <w:tc>
          <w:tcPr>
            <w:tcW w:w="0" w:type="dxa"/>
            <w:vAlign w:val="bottom"/>
          </w:tcPr>
          <w:p>
            <w:pPr>
              <w:spacing w:after="0"/>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Total Pro Forma (1), “As Adjusted” Financial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6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3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420" w:type="dxa"/>
            <w:vAlign w:val="bottom"/>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Growth</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jc w:val="right"/>
              <w:ind w:right="415"/>
              <w:spacing w:after="0" w:line="125" w:lineRule="exact"/>
              <w:rPr>
                <w:sz w:val="20"/>
                <w:szCs w:val="20"/>
                <w:color w:val="auto"/>
              </w:rPr>
            </w:pPr>
            <w:r>
              <w:rPr>
                <w:rFonts w:ascii="Times New Roman" w:cs="Times New Roman" w:eastAsia="Times New Roman" w:hAnsi="Times New Roman"/>
                <w:sz w:val="14"/>
                <w:szCs w:val="14"/>
                <w:b w:val="1"/>
                <w:bCs w:val="1"/>
                <w:color w:val="auto"/>
              </w:rPr>
              <w:t>Total</w:t>
            </w:r>
          </w:p>
        </w:tc>
        <w:tc>
          <w:tcPr>
            <w:tcW w:w="4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80" w:type="dxa"/>
            <w:vAlign w:val="bottom"/>
            <w:gridSpan w:val="2"/>
          </w:tcPr>
          <w:p>
            <w:pPr>
              <w:ind w:left="200"/>
              <w:spacing w:after="0" w:line="125" w:lineRule="exact"/>
              <w:rPr>
                <w:sz w:val="20"/>
                <w:szCs w:val="20"/>
                <w:color w:val="auto"/>
              </w:rPr>
            </w:pPr>
            <w:r>
              <w:rPr>
                <w:rFonts w:ascii="Times New Roman" w:cs="Times New Roman" w:eastAsia="Times New Roman" w:hAnsi="Times New Roman"/>
                <w:sz w:val="14"/>
                <w:szCs w:val="14"/>
                <w:b w:val="1"/>
                <w:bCs w:val="1"/>
                <w:color w:val="auto"/>
              </w:rPr>
              <w:t>Total Pro Forma,</w:t>
            </w:r>
          </w:p>
        </w:tc>
        <w:tc>
          <w:tcPr>
            <w:tcW w:w="160" w:type="dxa"/>
            <w:vAlign w:val="bottom"/>
          </w:tcPr>
          <w:p>
            <w:pPr>
              <w:spacing w:after="0"/>
              <w:rPr>
                <w:sz w:val="10"/>
                <w:szCs w:val="10"/>
                <w:color w:val="auto"/>
              </w:rPr>
            </w:pPr>
          </w:p>
        </w:tc>
        <w:tc>
          <w:tcPr>
            <w:tcW w:w="660" w:type="dxa"/>
            <w:vAlign w:val="bottom"/>
          </w:tcPr>
          <w:p>
            <w:pPr>
              <w:jc w:val="right"/>
              <w:ind w:right="237"/>
              <w:spacing w:after="0" w:line="125" w:lineRule="exact"/>
              <w:rPr>
                <w:sz w:val="20"/>
                <w:szCs w:val="20"/>
                <w:color w:val="auto"/>
              </w:rPr>
            </w:pPr>
            <w:r>
              <w:rPr>
                <w:rFonts w:ascii="Times New Roman" w:cs="Times New Roman" w:eastAsia="Times New Roman" w:hAnsi="Times New Roman"/>
                <w:sz w:val="14"/>
                <w:szCs w:val="14"/>
                <w:b w:val="1"/>
                <w:bCs w:val="1"/>
                <w:color w:val="auto"/>
              </w:rPr>
              <w:t>Total</w:t>
            </w:r>
          </w:p>
        </w:tc>
        <w:tc>
          <w:tcPr>
            <w:tcW w:w="142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13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320" w:type="dxa"/>
            <w:vAlign w:val="bottom"/>
            <w:gridSpan w:val="2"/>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Adjustment (6)</w:t>
            </w:r>
          </w:p>
        </w:tc>
        <w:tc>
          <w:tcPr>
            <w:tcW w:w="320" w:type="dxa"/>
            <w:vAlign w:val="bottom"/>
          </w:tcPr>
          <w:p>
            <w:pPr>
              <w:spacing w:after="0"/>
              <w:rPr>
                <w:sz w:val="14"/>
                <w:szCs w:val="14"/>
                <w:color w:val="auto"/>
              </w:rPr>
            </w:pPr>
          </w:p>
        </w:tc>
        <w:tc>
          <w:tcPr>
            <w:tcW w:w="136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w w:val="95"/>
              </w:rPr>
              <w:t>As Adjusted</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42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 Growth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Revenue</w:t>
            </w:r>
          </w:p>
        </w:tc>
        <w:tc>
          <w:tcPr>
            <w:tcW w:w="480" w:type="dxa"/>
            <w:vAlign w:val="bottom"/>
            <w:tcBorders>
              <w:top w:val="single" w:sz="8" w:color="auto"/>
            </w:tcBorders>
            <w:shd w:val="clear" w:color="auto" w:fill="E5E5E5"/>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E5E5E5"/>
          </w:tcPr>
          <w:p>
            <w:pPr>
              <w:jc w:val="right"/>
              <w:ind w:right="255"/>
              <w:spacing w:after="0"/>
              <w:rPr>
                <w:sz w:val="20"/>
                <w:szCs w:val="20"/>
                <w:color w:val="auto"/>
              </w:rPr>
            </w:pPr>
            <w:r>
              <w:rPr>
                <w:rFonts w:ascii="Times New Roman" w:cs="Times New Roman" w:eastAsia="Times New Roman" w:hAnsi="Times New Roman"/>
                <w:sz w:val="18"/>
                <w:szCs w:val="18"/>
                <w:color w:val="auto"/>
              </w:rPr>
              <w:t>18,309</w:t>
            </w:r>
          </w:p>
        </w:tc>
        <w:tc>
          <w:tcPr>
            <w:tcW w:w="480" w:type="dxa"/>
            <w:vAlign w:val="bottom"/>
            <w:tcBorders>
              <w:top w:val="single" w:sz="8" w:color="auto"/>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E5E5E5"/>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E5E5E5"/>
          </w:tcPr>
          <w:p>
            <w:pPr>
              <w:jc w:val="right"/>
              <w:ind w:right="399"/>
              <w:spacing w:after="0"/>
              <w:rPr>
                <w:sz w:val="20"/>
                <w:szCs w:val="20"/>
                <w:color w:val="auto"/>
              </w:rPr>
            </w:pPr>
            <w:r>
              <w:rPr>
                <w:rFonts w:ascii="Times New Roman" w:cs="Times New Roman" w:eastAsia="Times New Roman" w:hAnsi="Times New Roman"/>
                <w:sz w:val="18"/>
                <w:szCs w:val="18"/>
                <w:color w:val="auto"/>
              </w:rPr>
              <w:t>18,309</w:t>
            </w:r>
          </w:p>
        </w:tc>
        <w:tc>
          <w:tcPr>
            <w:tcW w:w="160" w:type="dxa"/>
            <w:vAlign w:val="bottom"/>
            <w:tcBorders>
              <w:top w:val="single" w:sz="8" w:color="auto"/>
            </w:tcBorders>
            <w:shd w:val="clear" w:color="auto" w:fill="E5E5E5"/>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E5E5E5"/>
          </w:tcPr>
          <w:p>
            <w:pPr>
              <w:jc w:val="right"/>
              <w:ind w:right="57"/>
              <w:spacing w:after="0"/>
              <w:rPr>
                <w:sz w:val="20"/>
                <w:szCs w:val="20"/>
                <w:color w:val="auto"/>
              </w:rPr>
            </w:pPr>
            <w:r>
              <w:rPr>
                <w:rFonts w:ascii="Times New Roman" w:cs="Times New Roman" w:eastAsia="Times New Roman" w:hAnsi="Times New Roman"/>
                <w:sz w:val="18"/>
                <w:szCs w:val="18"/>
                <w:color w:val="auto"/>
              </w:rPr>
              <w:t>20,328</w:t>
            </w:r>
          </w:p>
        </w:tc>
        <w:tc>
          <w:tcPr>
            <w:tcW w:w="1420" w:type="dxa"/>
            <w:vAlign w:val="bottom"/>
            <w:tcBorders>
              <w:top w:val="single" w:sz="8" w:color="auto"/>
            </w:tcBorders>
            <w:shd w:val="clear" w:color="auto" w:fill="E5E5E5"/>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96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310"/>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 (excluding depreciation and</w:t>
            </w:r>
          </w:p>
        </w:tc>
        <w:tc>
          <w:tcPr>
            <w:tcW w:w="480" w:type="dxa"/>
            <w:vAlign w:val="bottom"/>
          </w:tcPr>
          <w:p>
            <w:pPr>
              <w:spacing w:after="0"/>
              <w:rPr>
                <w:sz w:val="24"/>
                <w:szCs w:val="24"/>
                <w:color w:val="auto"/>
              </w:rPr>
            </w:pPr>
          </w:p>
        </w:tc>
        <w:tc>
          <w:tcPr>
            <w:tcW w:w="860" w:type="dxa"/>
            <w:vAlign w:val="bottom"/>
            <w:vMerge w:val="restart"/>
          </w:tcPr>
          <w:p>
            <w:pPr>
              <w:jc w:val="right"/>
              <w:ind w:right="255"/>
              <w:spacing w:after="0"/>
              <w:rPr>
                <w:sz w:val="20"/>
                <w:szCs w:val="20"/>
                <w:color w:val="auto"/>
              </w:rPr>
            </w:pPr>
            <w:r>
              <w:rPr>
                <w:rFonts w:ascii="Times New Roman" w:cs="Times New Roman" w:eastAsia="Times New Roman" w:hAnsi="Times New Roman"/>
                <w:sz w:val="18"/>
                <w:szCs w:val="18"/>
                <w:color w:val="auto"/>
              </w:rPr>
              <w:t>11,390</w:t>
            </w:r>
          </w:p>
        </w:tc>
        <w:tc>
          <w:tcPr>
            <w:tcW w:w="480" w:type="dxa"/>
            <w:vAlign w:val="bottom"/>
          </w:tcPr>
          <w:p>
            <w:pPr>
              <w:spacing w:after="0"/>
              <w:rPr>
                <w:sz w:val="24"/>
                <w:szCs w:val="24"/>
                <w:color w:val="auto"/>
              </w:rPr>
            </w:pPr>
          </w:p>
        </w:tc>
        <w:tc>
          <w:tcPr>
            <w:tcW w:w="8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118</w:t>
            </w:r>
          </w:p>
        </w:tc>
        <w:tc>
          <w:tcPr>
            <w:tcW w:w="320" w:type="dxa"/>
            <w:vAlign w:val="bottom"/>
          </w:tcPr>
          <w:p>
            <w:pPr>
              <w:spacing w:after="0"/>
              <w:rPr>
                <w:sz w:val="24"/>
                <w:szCs w:val="24"/>
                <w:color w:val="auto"/>
              </w:rPr>
            </w:pPr>
          </w:p>
        </w:tc>
        <w:tc>
          <w:tcPr>
            <w:tcW w:w="1360" w:type="dxa"/>
            <w:vAlign w:val="bottom"/>
            <w:vMerge w:val="restart"/>
          </w:tcPr>
          <w:p>
            <w:pPr>
              <w:jc w:val="right"/>
              <w:ind w:right="399"/>
              <w:spacing w:after="0"/>
              <w:rPr>
                <w:sz w:val="20"/>
                <w:szCs w:val="20"/>
                <w:color w:val="auto"/>
              </w:rPr>
            </w:pPr>
            <w:r>
              <w:rPr>
                <w:rFonts w:ascii="Times New Roman" w:cs="Times New Roman" w:eastAsia="Times New Roman" w:hAnsi="Times New Roman"/>
                <w:sz w:val="18"/>
                <w:szCs w:val="18"/>
                <w:color w:val="auto"/>
              </w:rPr>
              <w:t>11,508</w:t>
            </w:r>
          </w:p>
        </w:tc>
        <w:tc>
          <w:tcPr>
            <w:tcW w:w="160" w:type="dxa"/>
            <w:vAlign w:val="bottom"/>
          </w:tcPr>
          <w:p>
            <w:pPr>
              <w:spacing w:after="0"/>
              <w:rPr>
                <w:sz w:val="24"/>
                <w:szCs w:val="24"/>
                <w:color w:val="auto"/>
              </w:rPr>
            </w:pPr>
          </w:p>
        </w:tc>
        <w:tc>
          <w:tcPr>
            <w:tcW w:w="660" w:type="dxa"/>
            <w:vAlign w:val="bottom"/>
            <w:vMerge w:val="restart"/>
          </w:tcPr>
          <w:p>
            <w:pPr>
              <w:jc w:val="right"/>
              <w:ind w:right="57"/>
              <w:spacing w:after="0"/>
              <w:rPr>
                <w:sz w:val="20"/>
                <w:szCs w:val="20"/>
                <w:color w:val="auto"/>
              </w:rPr>
            </w:pPr>
            <w:r>
              <w:rPr>
                <w:rFonts w:ascii="Times New Roman" w:cs="Times New Roman" w:eastAsia="Times New Roman" w:hAnsi="Times New Roman"/>
                <w:sz w:val="18"/>
                <w:szCs w:val="18"/>
                <w:color w:val="auto"/>
              </w:rPr>
              <w:t>12,608</w:t>
            </w: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Cash Flow</w:t>
            </w:r>
          </w:p>
        </w:tc>
        <w:tc>
          <w:tcPr>
            <w:tcW w:w="480" w:type="dxa"/>
            <w:vAlign w:val="bottom"/>
            <w:shd w:val="clear" w:color="auto" w:fill="E5E5E5"/>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E5E5E5"/>
          </w:tcPr>
          <w:p>
            <w:pPr>
              <w:jc w:val="right"/>
              <w:ind w:right="255"/>
              <w:spacing w:after="0"/>
              <w:rPr>
                <w:sz w:val="20"/>
                <w:szCs w:val="20"/>
                <w:color w:val="auto"/>
              </w:rPr>
            </w:pPr>
            <w:r>
              <w:rPr>
                <w:rFonts w:ascii="Times New Roman" w:cs="Times New Roman" w:eastAsia="Times New Roman" w:hAnsi="Times New Roman"/>
                <w:sz w:val="18"/>
                <w:szCs w:val="18"/>
                <w:color w:val="auto"/>
              </w:rPr>
              <w:t>6,919</w:t>
            </w:r>
          </w:p>
        </w:tc>
        <w:tc>
          <w:tcPr>
            <w:tcW w:w="48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E5E5E5"/>
          </w:tcPr>
          <w:p>
            <w:pPr>
              <w:ind w:left="340"/>
              <w:spacing w:after="0"/>
              <w:rPr>
                <w:sz w:val="20"/>
                <w:szCs w:val="20"/>
                <w:color w:val="auto"/>
              </w:rPr>
            </w:pPr>
            <w:r>
              <w:rPr>
                <w:rFonts w:ascii="Times New Roman" w:cs="Times New Roman" w:eastAsia="Times New Roman" w:hAnsi="Times New Roman"/>
                <w:sz w:val="18"/>
                <w:szCs w:val="18"/>
                <w:color w:val="auto"/>
              </w:rPr>
              <w:t>118)</w:t>
            </w:r>
          </w:p>
        </w:tc>
        <w:tc>
          <w:tcPr>
            <w:tcW w:w="32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E5E5E5"/>
          </w:tcPr>
          <w:p>
            <w:pPr>
              <w:jc w:val="right"/>
              <w:ind w:right="399"/>
              <w:spacing w:after="0"/>
              <w:rPr>
                <w:sz w:val="20"/>
                <w:szCs w:val="20"/>
                <w:color w:val="auto"/>
              </w:rPr>
            </w:pPr>
            <w:r>
              <w:rPr>
                <w:rFonts w:ascii="Times New Roman" w:cs="Times New Roman" w:eastAsia="Times New Roman" w:hAnsi="Times New Roman"/>
                <w:sz w:val="18"/>
                <w:szCs w:val="18"/>
                <w:color w:val="auto"/>
              </w:rPr>
              <w:t>6,801</w:t>
            </w:r>
          </w:p>
        </w:tc>
        <w:tc>
          <w:tcPr>
            <w:tcW w:w="160" w:type="dxa"/>
            <w:vAlign w:val="bottom"/>
            <w:shd w:val="clear" w:color="auto" w:fill="E5E5E5"/>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5E5E5"/>
          </w:tcPr>
          <w:p>
            <w:pPr>
              <w:jc w:val="right"/>
              <w:ind w:right="57"/>
              <w:spacing w:after="0"/>
              <w:rPr>
                <w:sz w:val="20"/>
                <w:szCs w:val="20"/>
                <w:color w:val="auto"/>
              </w:rPr>
            </w:pPr>
            <w:r>
              <w:rPr>
                <w:rFonts w:ascii="Times New Roman" w:cs="Times New Roman" w:eastAsia="Times New Roman" w:hAnsi="Times New Roman"/>
                <w:sz w:val="18"/>
                <w:szCs w:val="18"/>
                <w:color w:val="auto"/>
              </w:rPr>
              <w:t>7,720</w:t>
            </w:r>
          </w:p>
        </w:tc>
        <w:tc>
          <w:tcPr>
            <w:tcW w:w="1420" w:type="dxa"/>
            <w:vAlign w:val="bottom"/>
            <w:shd w:val="clear" w:color="auto" w:fill="E5E5E5"/>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9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color w:val="auto"/>
              </w:rPr>
              <w:t>3,941</w:t>
            </w:r>
          </w:p>
        </w:tc>
        <w:tc>
          <w:tcPr>
            <w:tcW w:w="4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8"/>
                <w:szCs w:val="18"/>
                <w:color w:val="auto"/>
              </w:rPr>
              <w:t>3,941</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3,861</w:t>
            </w:r>
          </w:p>
        </w:tc>
        <w:tc>
          <w:tcPr>
            <w:tcW w:w="1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6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480" w:type="dxa"/>
            <w:vAlign w:val="bottom"/>
            <w:tcBorders>
              <w:bottom w:val="single" w:sz="8" w:color="auto"/>
            </w:tcBorders>
            <w:shd w:val="clear" w:color="auto" w:fill="E5E5E5"/>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E5E5E5"/>
          </w:tcPr>
          <w:p>
            <w:pPr>
              <w:jc w:val="right"/>
              <w:ind w:right="255"/>
              <w:spacing w:after="0"/>
              <w:rPr>
                <w:sz w:val="20"/>
                <w:szCs w:val="20"/>
                <w:color w:val="auto"/>
              </w:rPr>
            </w:pPr>
            <w:r>
              <w:rPr>
                <w:rFonts w:ascii="Times New Roman" w:cs="Times New Roman" w:eastAsia="Times New Roman" w:hAnsi="Times New Roman"/>
                <w:sz w:val="18"/>
                <w:szCs w:val="18"/>
                <w:color w:val="auto"/>
              </w:rPr>
              <w:t>2,978</w:t>
            </w:r>
          </w:p>
        </w:tc>
        <w:tc>
          <w:tcPr>
            <w:tcW w:w="480" w:type="dxa"/>
            <w:vAlign w:val="bottom"/>
            <w:tcBorders>
              <w:bottom w:val="single" w:sz="8" w:color="auto"/>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E5E5E5"/>
          </w:tcPr>
          <w:p>
            <w:pPr>
              <w:ind w:left="340"/>
              <w:spacing w:after="0"/>
              <w:rPr>
                <w:sz w:val="20"/>
                <w:szCs w:val="20"/>
                <w:color w:val="auto"/>
              </w:rPr>
            </w:pPr>
            <w:r>
              <w:rPr>
                <w:rFonts w:ascii="Times New Roman" w:cs="Times New Roman" w:eastAsia="Times New Roman" w:hAnsi="Times New Roman"/>
                <w:sz w:val="18"/>
                <w:szCs w:val="18"/>
                <w:color w:val="auto"/>
              </w:rPr>
              <w:t>118)</w:t>
            </w:r>
          </w:p>
        </w:tc>
        <w:tc>
          <w:tcPr>
            <w:tcW w:w="320" w:type="dxa"/>
            <w:vAlign w:val="bottom"/>
            <w:tcBorders>
              <w:bottom w:val="single" w:sz="8" w:color="auto"/>
            </w:tcBorders>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E5E5E5"/>
          </w:tcPr>
          <w:p>
            <w:pPr>
              <w:jc w:val="right"/>
              <w:ind w:right="399"/>
              <w:spacing w:after="0"/>
              <w:rPr>
                <w:sz w:val="20"/>
                <w:szCs w:val="20"/>
                <w:color w:val="auto"/>
              </w:rPr>
            </w:pPr>
            <w:r>
              <w:rPr>
                <w:rFonts w:ascii="Times New Roman" w:cs="Times New Roman" w:eastAsia="Times New Roman" w:hAnsi="Times New Roman"/>
                <w:sz w:val="18"/>
                <w:szCs w:val="18"/>
                <w:color w:val="auto"/>
              </w:rPr>
              <w:t>2,860</w:t>
            </w:r>
          </w:p>
        </w:tc>
        <w:tc>
          <w:tcPr>
            <w:tcW w:w="160" w:type="dxa"/>
            <w:vAlign w:val="bottom"/>
            <w:tcBorders>
              <w:bottom w:val="single" w:sz="8" w:color="auto"/>
            </w:tcBorders>
            <w:shd w:val="clear" w:color="auto" w:fill="E5E5E5"/>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E5E5E5"/>
          </w:tcPr>
          <w:p>
            <w:pPr>
              <w:jc w:val="right"/>
              <w:ind w:right="57"/>
              <w:spacing w:after="0"/>
              <w:rPr>
                <w:sz w:val="20"/>
                <w:szCs w:val="20"/>
                <w:color w:val="auto"/>
              </w:rPr>
            </w:pPr>
            <w:r>
              <w:rPr>
                <w:rFonts w:ascii="Times New Roman" w:cs="Times New Roman" w:eastAsia="Times New Roman" w:hAnsi="Times New Roman"/>
                <w:sz w:val="18"/>
                <w:szCs w:val="18"/>
                <w:color w:val="auto"/>
              </w:rPr>
              <w:t>3,859</w:t>
            </w:r>
          </w:p>
        </w:tc>
        <w:tc>
          <w:tcPr>
            <w:tcW w:w="1420" w:type="dxa"/>
            <w:vAlign w:val="bottom"/>
            <w:tcBorders>
              <w:bottom w:val="single" w:sz="8" w:color="auto"/>
            </w:tcBorders>
            <w:shd w:val="clear" w:color="auto" w:fill="E5E5E5"/>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9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 Margin</w:t>
            </w:r>
          </w:p>
        </w:tc>
        <w:tc>
          <w:tcPr>
            <w:tcW w:w="480" w:type="dxa"/>
            <w:vAlign w:val="bottom"/>
          </w:tcPr>
          <w:p>
            <w:pPr>
              <w:spacing w:after="0"/>
              <w:rPr>
                <w:sz w:val="19"/>
                <w:szCs w:val="19"/>
                <w:color w:val="auto"/>
              </w:rPr>
            </w:pPr>
          </w:p>
        </w:tc>
        <w:tc>
          <w:tcPr>
            <w:tcW w:w="8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37.8%</w:t>
            </w:r>
          </w:p>
        </w:tc>
        <w:tc>
          <w:tcPr>
            <w:tcW w:w="480" w:type="dxa"/>
            <w:vAlign w:val="bottom"/>
          </w:tcPr>
          <w:p>
            <w:pPr>
              <w:spacing w:after="0"/>
              <w:rPr>
                <w:sz w:val="19"/>
                <w:szCs w:val="19"/>
                <w:color w:val="auto"/>
              </w:rPr>
            </w:pPr>
          </w:p>
        </w:tc>
        <w:tc>
          <w:tcPr>
            <w:tcW w:w="8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NM</w:t>
            </w:r>
          </w:p>
        </w:tc>
        <w:tc>
          <w:tcPr>
            <w:tcW w:w="320" w:type="dxa"/>
            <w:vAlign w:val="bottom"/>
          </w:tcPr>
          <w:p>
            <w:pPr>
              <w:spacing w:after="0"/>
              <w:rPr>
                <w:sz w:val="19"/>
                <w:szCs w:val="19"/>
                <w:color w:val="auto"/>
              </w:rPr>
            </w:pPr>
          </w:p>
        </w:tc>
        <w:tc>
          <w:tcPr>
            <w:tcW w:w="1360" w:type="dxa"/>
            <w:vAlign w:val="bottom"/>
          </w:tcPr>
          <w:p>
            <w:pPr>
              <w:jc w:val="right"/>
              <w:ind w:right="259"/>
              <w:spacing w:after="0"/>
              <w:rPr>
                <w:sz w:val="20"/>
                <w:szCs w:val="20"/>
                <w:color w:val="auto"/>
              </w:rPr>
            </w:pPr>
            <w:r>
              <w:rPr>
                <w:rFonts w:ascii="Times New Roman" w:cs="Times New Roman" w:eastAsia="Times New Roman" w:hAnsi="Times New Roman"/>
                <w:sz w:val="18"/>
                <w:szCs w:val="18"/>
                <w:color w:val="auto"/>
              </w:rPr>
              <w:t>37.1%</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Total “As Adjusted” Financial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gridSpan w:val="3"/>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32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 Growth</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200" w:type="dxa"/>
            <w:vAlign w:val="bottom"/>
            <w:gridSpan w:val="2"/>
          </w:tcPr>
          <w:p>
            <w:pPr>
              <w:ind w:left="320"/>
              <w:spacing w:after="0" w:line="125"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3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jc w:val="right"/>
              <w:ind w:right="438"/>
              <w:spacing w:after="0" w:line="125" w:lineRule="exact"/>
              <w:rPr>
                <w:sz w:val="20"/>
                <w:szCs w:val="20"/>
                <w:color w:val="auto"/>
              </w:rPr>
            </w:pPr>
            <w:r>
              <w:rPr>
                <w:rFonts w:ascii="Times New Roman" w:cs="Times New Roman" w:eastAsia="Times New Roman" w:hAnsi="Times New Roman"/>
                <w:sz w:val="14"/>
                <w:szCs w:val="14"/>
                <w:b w:val="1"/>
                <w:bCs w:val="1"/>
                <w:color w:val="auto"/>
              </w:rPr>
              <w:t>As</w:t>
            </w: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millions, except per share data)</w:t>
            </w:r>
          </w:p>
        </w:tc>
        <w:tc>
          <w:tcPr>
            <w:tcW w:w="400" w:type="dxa"/>
            <w:vAlign w:val="bottom"/>
          </w:tcPr>
          <w:p>
            <w:pPr>
              <w:spacing w:after="0"/>
              <w:rPr>
                <w:sz w:val="14"/>
                <w:szCs w:val="14"/>
                <w:color w:val="auto"/>
              </w:rPr>
            </w:pPr>
          </w:p>
        </w:tc>
        <w:tc>
          <w:tcPr>
            <w:tcW w:w="8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40" w:type="dxa"/>
            <w:vAlign w:val="bottom"/>
            <w:gridSpan w:val="2"/>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Adjustment (6)</w:t>
            </w:r>
          </w:p>
        </w:tc>
        <w:tc>
          <w:tcPr>
            <w:tcW w:w="1060" w:type="dxa"/>
            <w:vAlign w:val="bottom"/>
            <w:gridSpan w:val="2"/>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240" w:type="dxa"/>
            <w:vAlign w:val="bottom"/>
          </w:tcPr>
          <w:p>
            <w:pPr>
              <w:spacing w:after="0"/>
              <w:rPr>
                <w:sz w:val="14"/>
                <w:szCs w:val="14"/>
                <w:color w:val="auto"/>
              </w:rPr>
            </w:pPr>
          </w:p>
        </w:tc>
        <w:tc>
          <w:tcPr>
            <w:tcW w:w="64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2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92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 Growth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tcBorders>
              <w:top w:val="single" w:sz="8" w:color="auto"/>
            </w:tcBorders>
            <w:shd w:val="clear" w:color="auto" w:fill="E5E5E5"/>
          </w:tcPr>
          <w:p>
            <w:pPr>
              <w:ind w:left="32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E5E5E5"/>
          </w:tcPr>
          <w:p>
            <w:pPr>
              <w:jc w:val="right"/>
              <w:ind w:right="215"/>
              <w:spacing w:after="0"/>
              <w:rPr>
                <w:sz w:val="20"/>
                <w:szCs w:val="20"/>
                <w:color w:val="auto"/>
              </w:rPr>
            </w:pPr>
            <w:r>
              <w:rPr>
                <w:rFonts w:ascii="Times New Roman" w:cs="Times New Roman" w:eastAsia="Times New Roman" w:hAnsi="Times New Roman"/>
                <w:sz w:val="18"/>
                <w:szCs w:val="18"/>
                <w:color w:val="auto"/>
                <w:w w:val="96"/>
              </w:rPr>
              <w:t>15,659</w:t>
            </w:r>
          </w:p>
        </w:tc>
        <w:tc>
          <w:tcPr>
            <w:tcW w:w="360" w:type="dxa"/>
            <w:vAlign w:val="bottom"/>
            <w:tcBorders>
              <w:top w:val="single" w:sz="8" w:color="auto"/>
            </w:tcBorders>
            <w:shd w:val="clear" w:color="auto" w:fill="E5E5E5"/>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E5E5E5"/>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E5E5E5"/>
          </w:tcPr>
          <w:p>
            <w:pPr>
              <w:jc w:val="right"/>
              <w:ind w:right="238"/>
              <w:spacing w:after="0"/>
              <w:rPr>
                <w:sz w:val="20"/>
                <w:szCs w:val="20"/>
                <w:color w:val="auto"/>
              </w:rPr>
            </w:pPr>
            <w:r>
              <w:rPr>
                <w:rFonts w:ascii="Times New Roman" w:cs="Times New Roman" w:eastAsia="Times New Roman" w:hAnsi="Times New Roman"/>
                <w:sz w:val="18"/>
                <w:szCs w:val="18"/>
                <w:color w:val="auto"/>
                <w:w w:val="92"/>
              </w:rPr>
              <w:t>15,659</w:t>
            </w:r>
          </w:p>
        </w:tc>
        <w:tc>
          <w:tcPr>
            <w:tcW w:w="24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E5E5E5"/>
          </w:tcPr>
          <w:p>
            <w:pPr>
              <w:jc w:val="right"/>
              <w:ind w:right="77"/>
              <w:spacing w:after="0"/>
              <w:rPr>
                <w:sz w:val="20"/>
                <w:szCs w:val="20"/>
                <w:color w:val="auto"/>
              </w:rPr>
            </w:pPr>
            <w:r>
              <w:rPr>
                <w:rFonts w:ascii="Times New Roman" w:cs="Times New Roman" w:eastAsia="Times New Roman" w:hAnsi="Times New Roman"/>
                <w:sz w:val="18"/>
                <w:szCs w:val="18"/>
                <w:color w:val="auto"/>
                <w:w w:val="92"/>
              </w:rPr>
              <w:t>17,935</w:t>
            </w:r>
          </w:p>
        </w:tc>
        <w:tc>
          <w:tcPr>
            <w:tcW w:w="1320" w:type="dxa"/>
            <w:vAlign w:val="bottom"/>
            <w:tcBorders>
              <w:top w:val="single" w:sz="8" w:color="auto"/>
            </w:tcBorders>
            <w:shd w:val="clear" w:color="auto" w:fill="E5E5E5"/>
          </w:tcPr>
          <w:p>
            <w:pPr>
              <w:jc w:val="right"/>
              <w:ind w:right="79"/>
              <w:spacing w:after="0"/>
              <w:rPr>
                <w:sz w:val="20"/>
                <w:szCs w:val="20"/>
                <w:color w:val="auto"/>
              </w:rPr>
            </w:pPr>
            <w:r>
              <w:rPr>
                <w:rFonts w:ascii="Times New Roman" w:cs="Times New Roman" w:eastAsia="Times New Roman" w:hAnsi="Times New Roman"/>
                <w:sz w:val="18"/>
                <w:szCs w:val="18"/>
                <w:color w:val="auto"/>
              </w:rPr>
              <w:t>15%</w:t>
            </w:r>
          </w:p>
        </w:tc>
        <w:tc>
          <w:tcPr>
            <w:tcW w:w="92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50"/>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 (excluding depreciation and amortization)</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9,627</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118</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8"/>
                <w:szCs w:val="18"/>
                <w:color w:val="auto"/>
              </w:rPr>
              <w:t>9,745</w:t>
            </w: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8"/>
                <w:szCs w:val="18"/>
                <w:color w:val="auto"/>
                <w:w w:val="92"/>
              </w:rPr>
              <w:t>11,087</w:t>
            </w:r>
          </w:p>
        </w:tc>
        <w:tc>
          <w:tcPr>
            <w:tcW w:w="1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Cash Flow</w:t>
            </w:r>
          </w:p>
        </w:tc>
        <w:tc>
          <w:tcPr>
            <w:tcW w:w="400" w:type="dxa"/>
            <w:vAlign w:val="bottom"/>
            <w:shd w:val="clear" w:color="auto" w:fill="E5E5E5"/>
          </w:tcPr>
          <w:p>
            <w:pPr>
              <w:ind w:left="32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E5E5E5"/>
          </w:tcPr>
          <w:p>
            <w:pPr>
              <w:jc w:val="right"/>
              <w:ind w:right="215"/>
              <w:spacing w:after="0"/>
              <w:rPr>
                <w:sz w:val="20"/>
                <w:szCs w:val="20"/>
                <w:color w:val="auto"/>
              </w:rPr>
            </w:pPr>
            <w:r>
              <w:rPr>
                <w:rFonts w:ascii="Times New Roman" w:cs="Times New Roman" w:eastAsia="Times New Roman" w:hAnsi="Times New Roman"/>
                <w:sz w:val="18"/>
                <w:szCs w:val="18"/>
                <w:color w:val="auto"/>
              </w:rPr>
              <w:t>6,032</w:t>
            </w:r>
          </w:p>
        </w:tc>
        <w:tc>
          <w:tcPr>
            <w:tcW w:w="360" w:type="dxa"/>
            <w:vAlign w:val="bottom"/>
            <w:shd w:val="clear" w:color="auto" w:fill="E5E5E5"/>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118)</w:t>
            </w:r>
          </w:p>
        </w:tc>
        <w:tc>
          <w:tcPr>
            <w:tcW w:w="2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E5E5E5"/>
          </w:tcPr>
          <w:p>
            <w:pPr>
              <w:jc w:val="right"/>
              <w:ind w:right="238"/>
              <w:spacing w:after="0"/>
              <w:rPr>
                <w:sz w:val="20"/>
                <w:szCs w:val="20"/>
                <w:color w:val="auto"/>
              </w:rPr>
            </w:pPr>
            <w:r>
              <w:rPr>
                <w:rFonts w:ascii="Times New Roman" w:cs="Times New Roman" w:eastAsia="Times New Roman" w:hAnsi="Times New Roman"/>
                <w:sz w:val="18"/>
                <w:szCs w:val="18"/>
                <w:color w:val="auto"/>
              </w:rPr>
              <w:t>5,914</w:t>
            </w:r>
          </w:p>
        </w:tc>
        <w:tc>
          <w:tcPr>
            <w:tcW w:w="2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E5E5E5"/>
          </w:tcPr>
          <w:p>
            <w:pPr>
              <w:jc w:val="right"/>
              <w:ind w:right="77"/>
              <w:spacing w:after="0"/>
              <w:rPr>
                <w:sz w:val="20"/>
                <w:szCs w:val="20"/>
                <w:color w:val="auto"/>
              </w:rPr>
            </w:pPr>
            <w:r>
              <w:rPr>
                <w:rFonts w:ascii="Times New Roman" w:cs="Times New Roman" w:eastAsia="Times New Roman" w:hAnsi="Times New Roman"/>
                <w:sz w:val="18"/>
                <w:szCs w:val="18"/>
                <w:color w:val="auto"/>
              </w:rPr>
              <w:t>6,848</w:t>
            </w:r>
          </w:p>
        </w:tc>
        <w:tc>
          <w:tcPr>
            <w:tcW w:w="1320" w:type="dxa"/>
            <w:vAlign w:val="bottom"/>
            <w:shd w:val="clear" w:color="auto" w:fill="E5E5E5"/>
          </w:tcPr>
          <w:p>
            <w:pPr>
              <w:jc w:val="right"/>
              <w:ind w:right="79"/>
              <w:spacing w:after="0"/>
              <w:rPr>
                <w:sz w:val="20"/>
                <w:szCs w:val="20"/>
                <w:color w:val="auto"/>
              </w:rPr>
            </w:pPr>
            <w:r>
              <w:rPr>
                <w:rFonts w:ascii="Times New Roman" w:cs="Times New Roman" w:eastAsia="Times New Roman" w:hAnsi="Times New Roman"/>
                <w:sz w:val="18"/>
                <w:szCs w:val="18"/>
                <w:color w:val="auto"/>
              </w:rPr>
              <w:t>16%</w:t>
            </w:r>
          </w:p>
        </w:tc>
        <w:tc>
          <w:tcPr>
            <w:tcW w:w="9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3,360</w:t>
            </w: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8"/>
                <w:szCs w:val="18"/>
                <w:color w:val="auto"/>
              </w:rPr>
              <w:t>3,360</w:t>
            </w: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8"/>
                <w:szCs w:val="18"/>
                <w:color w:val="auto"/>
              </w:rPr>
              <w:t>3,447</w:t>
            </w:r>
          </w:p>
        </w:tc>
        <w:tc>
          <w:tcPr>
            <w:tcW w:w="1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tcBorders>
              <w:bottom w:val="single" w:sz="8" w:color="E5E5E5"/>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400" w:type="dxa"/>
            <w:vAlign w:val="bottom"/>
            <w:tcBorders>
              <w:bottom w:val="single" w:sz="8" w:color="auto"/>
            </w:tcBorders>
            <w:shd w:val="clear" w:color="auto" w:fill="E5E5E5"/>
          </w:tcPr>
          <w:p>
            <w:pPr>
              <w:ind w:left="32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E5E5E5"/>
          </w:tcPr>
          <w:p>
            <w:pPr>
              <w:jc w:val="right"/>
              <w:ind w:right="215"/>
              <w:spacing w:after="0"/>
              <w:rPr>
                <w:sz w:val="20"/>
                <w:szCs w:val="20"/>
                <w:color w:val="auto"/>
              </w:rPr>
            </w:pPr>
            <w:r>
              <w:rPr>
                <w:rFonts w:ascii="Times New Roman" w:cs="Times New Roman" w:eastAsia="Times New Roman" w:hAnsi="Times New Roman"/>
                <w:sz w:val="18"/>
                <w:szCs w:val="18"/>
                <w:color w:val="auto"/>
              </w:rPr>
              <w:t>2,672</w:t>
            </w:r>
          </w:p>
        </w:tc>
        <w:tc>
          <w:tcPr>
            <w:tcW w:w="360" w:type="dxa"/>
            <w:vAlign w:val="bottom"/>
            <w:tcBorders>
              <w:bottom w:val="single" w:sz="8" w:color="auto"/>
            </w:tcBorders>
            <w:shd w:val="clear" w:color="auto" w:fill="E5E5E5"/>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E5E5E5"/>
          </w:tcPr>
          <w:p>
            <w:pPr>
              <w:ind w:left="420"/>
              <w:spacing w:after="0"/>
              <w:rPr>
                <w:sz w:val="20"/>
                <w:szCs w:val="20"/>
                <w:color w:val="auto"/>
              </w:rPr>
            </w:pPr>
            <w:r>
              <w:rPr>
                <w:rFonts w:ascii="Times New Roman" w:cs="Times New Roman" w:eastAsia="Times New Roman" w:hAnsi="Times New Roman"/>
                <w:sz w:val="18"/>
                <w:szCs w:val="18"/>
                <w:color w:val="auto"/>
              </w:rPr>
              <w:t>118)</w:t>
            </w:r>
          </w:p>
        </w:tc>
        <w:tc>
          <w:tcPr>
            <w:tcW w:w="26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E5E5E5"/>
          </w:tcPr>
          <w:p>
            <w:pPr>
              <w:jc w:val="right"/>
              <w:ind w:right="238"/>
              <w:spacing w:after="0"/>
              <w:rPr>
                <w:sz w:val="20"/>
                <w:szCs w:val="20"/>
                <w:color w:val="auto"/>
              </w:rPr>
            </w:pPr>
            <w:r>
              <w:rPr>
                <w:rFonts w:ascii="Times New Roman" w:cs="Times New Roman" w:eastAsia="Times New Roman" w:hAnsi="Times New Roman"/>
                <w:sz w:val="18"/>
                <w:szCs w:val="18"/>
                <w:color w:val="auto"/>
              </w:rPr>
              <w:t>2,554</w:t>
            </w:r>
          </w:p>
        </w:tc>
        <w:tc>
          <w:tcPr>
            <w:tcW w:w="24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E5E5E5"/>
          </w:tcPr>
          <w:p>
            <w:pPr>
              <w:jc w:val="right"/>
              <w:ind w:right="77"/>
              <w:spacing w:after="0"/>
              <w:rPr>
                <w:sz w:val="20"/>
                <w:szCs w:val="20"/>
                <w:color w:val="auto"/>
              </w:rPr>
            </w:pPr>
            <w:r>
              <w:rPr>
                <w:rFonts w:ascii="Times New Roman" w:cs="Times New Roman" w:eastAsia="Times New Roman" w:hAnsi="Times New Roman"/>
                <w:sz w:val="18"/>
                <w:szCs w:val="18"/>
                <w:color w:val="auto"/>
              </w:rPr>
              <w:t>3,401</w:t>
            </w:r>
          </w:p>
        </w:tc>
        <w:tc>
          <w:tcPr>
            <w:tcW w:w="1320" w:type="dxa"/>
            <w:vAlign w:val="bottom"/>
            <w:tcBorders>
              <w:bottom w:val="single" w:sz="8" w:color="auto"/>
            </w:tcBorders>
            <w:shd w:val="clear" w:color="auto" w:fill="E5E5E5"/>
          </w:tcPr>
          <w:p>
            <w:pPr>
              <w:jc w:val="right"/>
              <w:ind w:right="79"/>
              <w:spacing w:after="0"/>
              <w:rPr>
                <w:sz w:val="20"/>
                <w:szCs w:val="20"/>
                <w:color w:val="auto"/>
              </w:rPr>
            </w:pPr>
            <w:r>
              <w:rPr>
                <w:rFonts w:ascii="Times New Roman" w:cs="Times New Roman" w:eastAsia="Times New Roman" w:hAnsi="Times New Roman"/>
                <w:sz w:val="18"/>
                <w:szCs w:val="18"/>
                <w:color w:val="auto"/>
              </w:rPr>
              <w:t>33%</w:t>
            </w:r>
          </w:p>
        </w:tc>
        <w:tc>
          <w:tcPr>
            <w:tcW w:w="920" w:type="dxa"/>
            <w:vAlign w:val="bottom"/>
            <w:tcBorders>
              <w:bottom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 Margin</w:t>
            </w:r>
          </w:p>
        </w:tc>
        <w:tc>
          <w:tcPr>
            <w:tcW w:w="400" w:type="dxa"/>
            <w:vAlign w:val="bottom"/>
          </w:tcPr>
          <w:p>
            <w:pPr>
              <w:spacing w:after="0"/>
              <w:rPr>
                <w:sz w:val="18"/>
                <w:szCs w:val="18"/>
                <w:color w:val="auto"/>
              </w:rPr>
            </w:pPr>
          </w:p>
        </w:tc>
        <w:tc>
          <w:tcPr>
            <w:tcW w:w="8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38.5%</w:t>
            </w:r>
          </w:p>
        </w:tc>
        <w:tc>
          <w:tcPr>
            <w:tcW w:w="360" w:type="dxa"/>
            <w:vAlign w:val="bottom"/>
          </w:tcPr>
          <w:p>
            <w:pPr>
              <w:spacing w:after="0"/>
              <w:rPr>
                <w:sz w:val="18"/>
                <w:szCs w:val="18"/>
                <w:color w:val="auto"/>
              </w:rPr>
            </w:pPr>
          </w:p>
        </w:tc>
        <w:tc>
          <w:tcPr>
            <w:tcW w:w="8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tcPr>
          <w:p>
            <w:pPr>
              <w:spacing w:after="0"/>
              <w:rPr>
                <w:sz w:val="18"/>
                <w:szCs w:val="18"/>
                <w:color w:val="auto"/>
              </w:rPr>
            </w:pPr>
          </w:p>
        </w:tc>
        <w:tc>
          <w:tcPr>
            <w:tcW w:w="80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37.8%</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400" w:type="dxa"/>
            <w:vAlign w:val="bottom"/>
            <w:shd w:val="clear" w:color="auto" w:fill="E5E5E5"/>
          </w:tcPr>
          <w:p>
            <w:pPr>
              <w:ind w:left="32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E5E5E5"/>
          </w:tcPr>
          <w:p>
            <w:pPr>
              <w:jc w:val="right"/>
              <w:ind w:right="215"/>
              <w:spacing w:after="0"/>
              <w:rPr>
                <w:sz w:val="20"/>
                <w:szCs w:val="20"/>
                <w:color w:val="auto"/>
              </w:rPr>
            </w:pPr>
            <w:r>
              <w:rPr>
                <w:rFonts w:ascii="Times New Roman" w:cs="Times New Roman" w:eastAsia="Times New Roman" w:hAnsi="Times New Roman"/>
                <w:sz w:val="18"/>
                <w:szCs w:val="18"/>
                <w:color w:val="auto"/>
              </w:rPr>
              <w:t>0.36</w:t>
            </w:r>
          </w:p>
        </w:tc>
        <w:tc>
          <w:tcPr>
            <w:tcW w:w="360" w:type="dxa"/>
            <w:vAlign w:val="bottom"/>
            <w:shd w:val="clear" w:color="auto" w:fill="E5E5E5"/>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E5E5E5"/>
          </w:tcPr>
          <w:p>
            <w:pPr>
              <w:jc w:val="right"/>
              <w:ind w:right="75"/>
              <w:spacing w:after="0"/>
              <w:rPr>
                <w:sz w:val="20"/>
                <w:szCs w:val="20"/>
                <w:color w:val="auto"/>
              </w:rPr>
            </w:pPr>
            <w:r>
              <w:rPr>
                <w:rFonts w:ascii="Times New Roman" w:cs="Times New Roman" w:eastAsia="Times New Roman" w:hAnsi="Times New Roman"/>
                <w:sz w:val="18"/>
                <w:szCs w:val="18"/>
                <w:color w:val="auto"/>
              </w:rPr>
              <w:t>0.03)</w:t>
            </w:r>
          </w:p>
        </w:tc>
        <w:tc>
          <w:tcPr>
            <w:tcW w:w="26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E5E5E5"/>
          </w:tcPr>
          <w:p>
            <w:pPr>
              <w:jc w:val="right"/>
              <w:ind w:right="238"/>
              <w:spacing w:after="0"/>
              <w:rPr>
                <w:sz w:val="20"/>
                <w:szCs w:val="20"/>
                <w:color w:val="auto"/>
              </w:rPr>
            </w:pPr>
            <w:r>
              <w:rPr>
                <w:rFonts w:ascii="Times New Roman" w:cs="Times New Roman" w:eastAsia="Times New Roman" w:hAnsi="Times New Roman"/>
                <w:sz w:val="18"/>
                <w:szCs w:val="18"/>
                <w:color w:val="auto"/>
              </w:rPr>
              <w:t>0.33</w:t>
            </w:r>
          </w:p>
        </w:tc>
        <w:tc>
          <w:tcPr>
            <w:tcW w:w="2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E5E5E5"/>
          </w:tcPr>
          <w:p>
            <w:pPr>
              <w:jc w:val="right"/>
              <w:ind w:right="77"/>
              <w:spacing w:after="0"/>
              <w:rPr>
                <w:sz w:val="20"/>
                <w:szCs w:val="20"/>
                <w:color w:val="auto"/>
              </w:rPr>
            </w:pPr>
            <w:r>
              <w:rPr>
                <w:rFonts w:ascii="Times New Roman" w:cs="Times New Roman" w:eastAsia="Times New Roman" w:hAnsi="Times New Roman"/>
                <w:sz w:val="18"/>
                <w:szCs w:val="18"/>
                <w:color w:val="auto"/>
              </w:rPr>
              <w:t>1.01</w:t>
            </w:r>
          </w:p>
        </w:tc>
        <w:tc>
          <w:tcPr>
            <w:tcW w:w="1320" w:type="dxa"/>
            <w:vAlign w:val="bottom"/>
            <w:shd w:val="clear" w:color="auto" w:fill="E5E5E5"/>
          </w:tcPr>
          <w:p>
            <w:pPr>
              <w:jc w:val="right"/>
              <w:ind w:right="79"/>
              <w:spacing w:after="0"/>
              <w:rPr>
                <w:sz w:val="20"/>
                <w:szCs w:val="20"/>
                <w:color w:val="auto"/>
              </w:rPr>
            </w:pPr>
            <w:r>
              <w:rPr>
                <w:rFonts w:ascii="Times New Roman" w:cs="Times New Roman" w:eastAsia="Times New Roman" w:hAnsi="Times New Roman"/>
                <w:sz w:val="18"/>
                <w:szCs w:val="18"/>
                <w:color w:val="auto"/>
              </w:rPr>
              <w:t>206%</w:t>
            </w:r>
          </w:p>
        </w:tc>
        <w:tc>
          <w:tcPr>
            <w:tcW w:w="9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460" w:hanging="452"/>
        <w:spacing w:after="0" w:line="262"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data is adjusted only for timing of acquisitions (or dispositions) and does not include adjustments for costs related to integration activities, cost savings or synergies that have been or may be achieved by the combined businesses. Pro Forma results are presented as if the acquisitions and dispositions were effective on January 1, 2005.</w:t>
      </w:r>
    </w:p>
    <w:p>
      <w:pPr>
        <w:spacing w:after="0" w:line="51" w:lineRule="exact"/>
        <w:rPr>
          <w:rFonts w:ascii="Times New Roman" w:cs="Times New Roman" w:eastAsia="Times New Roman" w:hAnsi="Times New Roman"/>
          <w:sz w:val="18"/>
          <w:szCs w:val="18"/>
          <w:color w:val="auto"/>
        </w:rPr>
      </w:pPr>
    </w:p>
    <w:p>
      <w:pPr>
        <w:jc w:val="both"/>
        <w:ind w:left="460" w:right="20" w:hanging="452"/>
        <w:spacing w:after="0" w:line="262"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on August 1, 2006, the cable segment includes the operating results of the cable systems serving Houston, TX as a result of the expected dissolution of our cable partnership with Time Warner. This adjustment is reversed in the Corporate, Other and Eliminations column to reconcile to our consolidated amounts.</w:t>
      </w:r>
    </w:p>
    <w:p>
      <w:pPr>
        <w:spacing w:after="0" w:line="5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Pro Forma adjustments include cable systems serving Houston, TX prior to August 1, 2006.</w:t>
      </w:r>
    </w:p>
    <w:p>
      <w:pPr>
        <w:sectPr>
          <w:pgSz w:w="11900" w:h="16838" w:orient="portrait"/>
          <w:cols w:equalWidth="0" w:num="1">
            <w:col w:w="11420"/>
          </w:cols>
          <w:pgMar w:left="240" w:top="967" w:right="239" w:bottom="0" w:gutter="0" w:footer="0" w:header="0"/>
        </w:sectPr>
      </w:pPr>
    </w:p>
    <w:bookmarkStart w:id="18" w:name="page19"/>
    <w:bookmarkEnd w:id="18"/>
    <w:p>
      <w:pPr>
        <w:ind w:left="452" w:hanging="452"/>
        <w:spacing w:after="0"/>
        <w:tabs>
          <w:tab w:leader="none" w:pos="4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Pro Forma adjustments include cable systems serving Houston, TX for all periods.</w:t>
      </w:r>
    </w:p>
    <w:p>
      <w:pPr>
        <w:spacing w:after="0" w:line="9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consistent with our management reporting, reclassifications were made to technology development ventures, programming headquarters and other.</w:t>
      </w:r>
    </w:p>
    <w:p>
      <w:pPr>
        <w:spacing w:after="0" w:line="113" w:lineRule="exact"/>
        <w:rPr>
          <w:rFonts w:ascii="Times New Roman" w:cs="Times New Roman" w:eastAsia="Times New Roman" w:hAnsi="Times New Roman"/>
          <w:sz w:val="16"/>
          <w:szCs w:val="16"/>
          <w:color w:val="auto"/>
        </w:rPr>
      </w:pPr>
    </w:p>
    <w:p>
      <w:pPr>
        <w:jc w:val="both"/>
        <w:ind w:left="452" w:hanging="452"/>
        <w:spacing w:after="0" w:line="258" w:lineRule="auto"/>
        <w:tabs>
          <w:tab w:leader="none" w:pos="4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consistent with our management reporting, the 2005 segment amounts have been adjusted as if stock options had been expensed as of January 1, 2005. For the nine months ended September 30, 2005, the adjustments reducing operating income before depreciation and amortization by segment were $86 million for Cable, $3 million for Content and $29 million for Corporate and Other. For the nine months ended September 30, 2005, the total adjustment of $118 million is reversed in the Corporate, Other and Eliminations column to reconcile to our consolidated 2005 amounts.</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12"/>
          </w:cols>
          <w:pgMar w:left="248" w:top="125"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183515</wp:posOffset>
            </wp:positionV>
            <wp:extent cx="1389380" cy="3600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7-C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Net Income to Adjusted Net Income</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80" w:type="dxa"/>
            <w:vAlign w:val="bottom"/>
            <w:gridSpan w:val="4"/>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millions, except per share data)</w:t>
            </w:r>
          </w:p>
        </w:tc>
        <w:tc>
          <w:tcPr>
            <w:tcW w:w="1600" w:type="dxa"/>
            <w:vAlign w:val="bottom"/>
            <w:tcBorders>
              <w:bottom w:val="single" w:sz="8" w:color="auto"/>
            </w:tcBorders>
            <w:gridSpan w:val="2"/>
          </w:tcPr>
          <w:p>
            <w:pPr>
              <w:jc w:val="right"/>
              <w:ind w:right="461"/>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4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680" w:type="dxa"/>
            <w:vAlign w:val="bottom"/>
            <w:gridSpan w:val="2"/>
            <w:vMerge w:val="continue"/>
          </w:tcPr>
          <w:p>
            <w:pPr>
              <w:spacing w:after="0"/>
              <w:rPr>
                <w:sz w:val="12"/>
                <w:szCs w:val="12"/>
                <w:color w:val="auto"/>
              </w:rPr>
            </w:pPr>
          </w:p>
        </w:tc>
        <w:tc>
          <w:tcPr>
            <w:tcW w:w="88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1"/>
              <w:spacing w:after="0" w:line="142" w:lineRule="exact"/>
              <w:rPr>
                <w:sz w:val="20"/>
                <w:szCs w:val="20"/>
                <w:color w:val="auto"/>
              </w:rPr>
            </w:pPr>
            <w:r>
              <w:rPr>
                <w:rFonts w:ascii="Times New Roman" w:cs="Times New Roman" w:eastAsia="Times New Roman" w:hAnsi="Times New Roman"/>
                <w:sz w:val="14"/>
                <w:szCs w:val="14"/>
                <w:b w:val="1"/>
                <w:bCs w:val="1"/>
                <w:color w:val="auto"/>
              </w:rPr>
              <w:t>EPS (1)</w:t>
            </w:r>
          </w:p>
        </w:tc>
        <w:tc>
          <w:tcPr>
            <w:tcW w:w="480" w:type="dxa"/>
            <w:vAlign w:val="bottom"/>
          </w:tcPr>
          <w:p>
            <w:pPr>
              <w:jc w:val="center"/>
              <w:ind w:left="16"/>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w w:val="92"/>
              </w:rPr>
              <w:t>EPS (1)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720" w:type="dxa"/>
            <w:vAlign w:val="bottom"/>
            <w:tcBorders>
              <w:top w:val="single" w:sz="8" w:color="auto"/>
            </w:tcBorders>
            <w:shd w:val="clear" w:color="auto" w:fill="E5E5E5"/>
          </w:tcPr>
          <w:p>
            <w:pPr>
              <w:jc w:val="right"/>
              <w:ind w:right="21"/>
              <w:spacing w:after="0"/>
              <w:rPr>
                <w:sz w:val="20"/>
                <w:szCs w:val="20"/>
                <w:color w:val="auto"/>
              </w:rPr>
            </w:pPr>
            <w:r>
              <w:rPr>
                <w:rFonts w:ascii="Times New Roman" w:cs="Times New Roman" w:eastAsia="Times New Roman" w:hAnsi="Times New Roman"/>
                <w:sz w:val="18"/>
                <w:szCs w:val="18"/>
                <w:color w:val="auto"/>
              </w:rPr>
              <w:t>$ 0.58</w:t>
            </w:r>
          </w:p>
        </w:tc>
        <w:tc>
          <w:tcPr>
            <w:tcW w:w="480" w:type="dxa"/>
            <w:vAlign w:val="bottom"/>
            <w:tcBorders>
              <w:top w:val="single" w:sz="8" w:color="auto"/>
            </w:tcBorders>
            <w:shd w:val="clear" w:color="auto" w:fill="E5E5E5"/>
          </w:tcPr>
          <w:p>
            <w:pPr>
              <w:jc w:val="center"/>
              <w:ind w:left="36"/>
              <w:spacing w:after="0"/>
              <w:rPr>
                <w:sz w:val="20"/>
                <w:szCs w:val="20"/>
                <w:color w:val="auto"/>
              </w:rPr>
            </w:pPr>
            <w:r>
              <w:rPr>
                <w:rFonts w:ascii="Times New Roman" w:cs="Times New Roman" w:eastAsia="Times New Roman" w:hAnsi="Times New Roman"/>
                <w:sz w:val="18"/>
                <w:szCs w:val="18"/>
                <w:color w:val="auto"/>
                <w:w w:val="99"/>
              </w:rPr>
              <w:t>$222</w:t>
            </w:r>
          </w:p>
        </w:tc>
        <w:tc>
          <w:tcPr>
            <w:tcW w:w="660" w:type="dxa"/>
            <w:vAlign w:val="bottom"/>
            <w:tcBorders>
              <w:top w:val="single" w:sz="8" w:color="auto"/>
            </w:tcBorders>
            <w:shd w:val="clear" w:color="auto" w:fill="E5E5E5"/>
          </w:tcPr>
          <w:p>
            <w:pPr>
              <w:ind w:left="220"/>
              <w:spacing w:after="0"/>
              <w:rPr>
                <w:sz w:val="20"/>
                <w:szCs w:val="20"/>
                <w:color w:val="auto"/>
              </w:rPr>
            </w:pPr>
            <w:r>
              <w:rPr>
                <w:rFonts w:ascii="Times New Roman" w:cs="Times New Roman" w:eastAsia="Times New Roman" w:hAnsi="Times New Roman"/>
                <w:sz w:val="18"/>
                <w:szCs w:val="18"/>
                <w:color w:val="auto"/>
                <w:w w:val="93"/>
              </w:rPr>
              <w:t>$ 0.10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Gain on discontinued operations, net of tax</w:t>
            </w: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720" w:type="dxa"/>
            <w:vAlign w:val="bottom"/>
            <w:shd w:val="clear" w:color="auto" w:fill="E5E5E5"/>
          </w:tcPr>
          <w:p>
            <w:pPr>
              <w:jc w:val="right"/>
              <w:ind w:right="21"/>
              <w:spacing w:after="0"/>
              <w:rPr>
                <w:sz w:val="20"/>
                <w:szCs w:val="20"/>
                <w:color w:val="auto"/>
              </w:rPr>
            </w:pPr>
            <w:r>
              <w:rPr>
                <w:rFonts w:ascii="Times New Roman" w:cs="Times New Roman" w:eastAsia="Times New Roman" w:hAnsi="Times New Roman"/>
                <w:sz w:val="18"/>
                <w:szCs w:val="18"/>
                <w:color w:val="auto"/>
              </w:rPr>
              <w:t>0.11</w:t>
            </w:r>
          </w:p>
        </w:tc>
        <w:tc>
          <w:tcPr>
            <w:tcW w:w="480" w:type="dxa"/>
            <w:vAlign w:val="bottom"/>
            <w:shd w:val="clear" w:color="auto" w:fill="E5E5E5"/>
          </w:tcPr>
          <w:p>
            <w:pPr>
              <w:jc w:val="center"/>
              <w:ind w:left="56"/>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shd w:val="clear" w:color="auto" w:fill="E5E5E5"/>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Gain on Adelphia/Time Warner transactions, net of tax</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7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rPr>
              <w:t>0.21</w:t>
            </w:r>
          </w:p>
        </w:tc>
        <w:tc>
          <w:tcPr>
            <w:tcW w:w="480" w:type="dxa"/>
            <w:vAlign w:val="bottom"/>
            <w:tcBorders>
              <w:bottom w:val="single" w:sz="8" w:color="auto"/>
            </w:tcBorders>
          </w:tcPr>
          <w:p>
            <w:pPr>
              <w:jc w:val="center"/>
              <w:ind w:left="56"/>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Adjusted Net Income (2)</w:t>
            </w: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  548</w:t>
            </w:r>
          </w:p>
        </w:tc>
        <w:tc>
          <w:tcPr>
            <w:tcW w:w="720" w:type="dxa"/>
            <w:vAlign w:val="bottom"/>
            <w:shd w:val="clear" w:color="auto" w:fill="E5E5E5"/>
          </w:tcPr>
          <w:p>
            <w:pPr>
              <w:jc w:val="right"/>
              <w:ind w:right="21"/>
              <w:spacing w:after="0"/>
              <w:rPr>
                <w:sz w:val="20"/>
                <w:szCs w:val="20"/>
                <w:color w:val="auto"/>
              </w:rPr>
            </w:pPr>
            <w:r>
              <w:rPr>
                <w:rFonts w:ascii="Times New Roman" w:cs="Times New Roman" w:eastAsia="Times New Roman" w:hAnsi="Times New Roman"/>
                <w:sz w:val="18"/>
                <w:szCs w:val="18"/>
                <w:color w:val="auto"/>
              </w:rPr>
              <w:t>$ 0.26</w:t>
            </w:r>
          </w:p>
        </w:tc>
        <w:tc>
          <w:tcPr>
            <w:tcW w:w="480" w:type="dxa"/>
            <w:vAlign w:val="bottom"/>
            <w:shd w:val="clear" w:color="auto" w:fill="E5E5E5"/>
          </w:tcPr>
          <w:p>
            <w:pPr>
              <w:jc w:val="center"/>
              <w:ind w:left="36"/>
              <w:spacing w:after="0"/>
              <w:rPr>
                <w:sz w:val="20"/>
                <w:szCs w:val="20"/>
                <w:color w:val="auto"/>
              </w:rPr>
            </w:pPr>
            <w:r>
              <w:rPr>
                <w:rFonts w:ascii="Times New Roman" w:cs="Times New Roman" w:eastAsia="Times New Roman" w:hAnsi="Times New Roman"/>
                <w:sz w:val="18"/>
                <w:szCs w:val="18"/>
                <w:color w:val="auto"/>
                <w:w w:val="99"/>
              </w:rPr>
              <w:t>$222</w:t>
            </w:r>
          </w:p>
        </w:tc>
        <w:tc>
          <w:tcPr>
            <w:tcW w:w="660" w:type="dxa"/>
            <w:vAlign w:val="bottom"/>
            <w:shd w:val="clear" w:color="auto" w:fill="E5E5E5"/>
          </w:tcPr>
          <w:p>
            <w:pPr>
              <w:ind w:left="220"/>
              <w:spacing w:after="0"/>
              <w:rPr>
                <w:sz w:val="20"/>
                <w:szCs w:val="20"/>
                <w:color w:val="auto"/>
              </w:rPr>
            </w:pPr>
            <w:r>
              <w:rPr>
                <w:rFonts w:ascii="Times New Roman" w:cs="Times New Roman" w:eastAsia="Times New Roman" w:hAnsi="Times New Roman"/>
                <w:sz w:val="18"/>
                <w:szCs w:val="18"/>
                <w:color w:val="auto"/>
                <w:w w:val="93"/>
              </w:rPr>
              <w:t>$ 0.10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80" w:type="dxa"/>
            <w:vAlign w:val="bottom"/>
            <w:gridSpan w:val="4"/>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6"/>
              </w:rPr>
              <w:t>Nine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1600" w:type="dxa"/>
            <w:vAlign w:val="bottom"/>
            <w:tcBorders>
              <w:bottom w:val="single" w:sz="8" w:color="auto"/>
            </w:tcBorders>
            <w:gridSpan w:val="2"/>
          </w:tcPr>
          <w:p>
            <w:pPr>
              <w:jc w:val="right"/>
              <w:ind w:right="461"/>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4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60" w:type="dxa"/>
            <w:vAlign w:val="bottom"/>
          </w:tcPr>
          <w:p>
            <w:pPr>
              <w:spacing w:after="0"/>
              <w:rPr>
                <w:sz w:val="20"/>
                <w:szCs w:val="20"/>
                <w:color w:val="auto"/>
              </w:rPr>
            </w:pPr>
          </w:p>
        </w:tc>
        <w:tc>
          <w:tcPr>
            <w:tcW w:w="8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EPS (1)</w:t>
            </w:r>
          </w:p>
        </w:tc>
        <w:tc>
          <w:tcPr>
            <w:tcW w:w="480" w:type="dxa"/>
            <w:vAlign w:val="bottom"/>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w w:val="96"/>
              </w:rPr>
              <w:t>EPS (1)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tcBorders>
              <w:top w:val="single" w:sz="8" w:color="auto"/>
            </w:tcBorders>
            <w:shd w:val="clear" w:color="auto" w:fill="E5E5E5"/>
          </w:tcPr>
          <w:p>
            <w:pPr>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Borders>
              <w:top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720" w:type="dxa"/>
            <w:vAlign w:val="bottom"/>
            <w:tcBorders>
              <w:top w:val="single" w:sz="8" w:color="auto"/>
            </w:tcBorders>
            <w:shd w:val="clear" w:color="auto" w:fill="E5E5E5"/>
          </w:tcPr>
          <w:p>
            <w:pPr>
              <w:jc w:val="right"/>
              <w:ind w:right="21"/>
              <w:spacing w:after="0"/>
              <w:rPr>
                <w:sz w:val="20"/>
                <w:szCs w:val="20"/>
                <w:color w:val="auto"/>
              </w:rPr>
            </w:pPr>
            <w:r>
              <w:rPr>
                <w:rFonts w:ascii="Times New Roman" w:cs="Times New Roman" w:eastAsia="Times New Roman" w:hAnsi="Times New Roman"/>
                <w:sz w:val="18"/>
                <w:szCs w:val="18"/>
                <w:color w:val="auto"/>
              </w:rPr>
              <w:t>$ 1.01</w:t>
            </w:r>
          </w:p>
        </w:tc>
        <w:tc>
          <w:tcPr>
            <w:tcW w:w="480" w:type="dxa"/>
            <w:vAlign w:val="bottom"/>
            <w:tcBorders>
              <w:top w:val="single" w:sz="8" w:color="auto"/>
            </w:tcBorders>
            <w:shd w:val="clear" w:color="auto" w:fill="E5E5E5"/>
          </w:tcPr>
          <w:p>
            <w:pPr>
              <w:jc w:val="center"/>
              <w:ind w:left="36"/>
              <w:spacing w:after="0"/>
              <w:rPr>
                <w:sz w:val="20"/>
                <w:szCs w:val="20"/>
                <w:color w:val="auto"/>
              </w:rPr>
            </w:pPr>
            <w:r>
              <w:rPr>
                <w:rFonts w:ascii="Times New Roman" w:cs="Times New Roman" w:eastAsia="Times New Roman" w:hAnsi="Times New Roman"/>
                <w:sz w:val="18"/>
                <w:szCs w:val="18"/>
                <w:color w:val="auto"/>
                <w:w w:val="99"/>
              </w:rPr>
              <w:t>$795</w:t>
            </w:r>
          </w:p>
        </w:tc>
        <w:tc>
          <w:tcPr>
            <w:tcW w:w="660" w:type="dxa"/>
            <w:vAlign w:val="bottom"/>
            <w:tcBorders>
              <w:top w:val="single" w:sz="8" w:color="auto"/>
            </w:tcBorders>
            <w:shd w:val="clear" w:color="auto" w:fill="E5E5E5"/>
          </w:tcPr>
          <w:p>
            <w:pPr>
              <w:ind w:left="220"/>
              <w:spacing w:after="0"/>
              <w:rPr>
                <w:sz w:val="20"/>
                <w:szCs w:val="20"/>
                <w:color w:val="auto"/>
              </w:rPr>
            </w:pPr>
            <w:r>
              <w:rPr>
                <w:rFonts w:ascii="Times New Roman" w:cs="Times New Roman" w:eastAsia="Times New Roman" w:hAnsi="Times New Roman"/>
                <w:sz w:val="18"/>
                <w:szCs w:val="18"/>
                <w:color w:val="auto"/>
                <w:w w:val="93"/>
              </w:rPr>
              <w:t>$ 0.36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Gain on discontinued operations, net of tax</w:t>
            </w: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720" w:type="dxa"/>
            <w:vAlign w:val="bottom"/>
            <w:shd w:val="clear" w:color="auto" w:fill="E5E5E5"/>
          </w:tcPr>
          <w:p>
            <w:pPr>
              <w:jc w:val="right"/>
              <w:ind w:right="21"/>
              <w:spacing w:after="0"/>
              <w:rPr>
                <w:sz w:val="20"/>
                <w:szCs w:val="20"/>
                <w:color w:val="auto"/>
              </w:rPr>
            </w:pPr>
            <w:r>
              <w:rPr>
                <w:rFonts w:ascii="Times New Roman" w:cs="Times New Roman" w:eastAsia="Times New Roman" w:hAnsi="Times New Roman"/>
                <w:sz w:val="18"/>
                <w:szCs w:val="18"/>
                <w:color w:val="auto"/>
              </w:rPr>
              <w:t>0.11</w:t>
            </w:r>
          </w:p>
        </w:tc>
        <w:tc>
          <w:tcPr>
            <w:tcW w:w="480" w:type="dxa"/>
            <w:vAlign w:val="bottom"/>
            <w:shd w:val="clear" w:color="auto" w:fill="E5E5E5"/>
          </w:tcPr>
          <w:p>
            <w:pPr>
              <w:jc w:val="center"/>
              <w:ind w:left="56"/>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shd w:val="clear" w:color="auto" w:fill="E5E5E5"/>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Gain on Adelphia/Time Warner transactions, net of tax</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7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rPr>
              <w:t>0.21</w:t>
            </w:r>
          </w:p>
        </w:tc>
        <w:tc>
          <w:tcPr>
            <w:tcW w:w="480" w:type="dxa"/>
            <w:vAlign w:val="bottom"/>
            <w:tcBorders>
              <w:bottom w:val="single" w:sz="8" w:color="auto"/>
            </w:tcBorders>
          </w:tcPr>
          <w:p>
            <w:pPr>
              <w:jc w:val="center"/>
              <w:ind w:left="56"/>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Adjusted Net Income (2)</w:t>
            </w:r>
          </w:p>
        </w:tc>
        <w:tc>
          <w:tcPr>
            <w:tcW w:w="88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720" w:type="dxa"/>
            <w:vAlign w:val="bottom"/>
            <w:shd w:val="clear" w:color="auto" w:fill="E5E5E5"/>
          </w:tcPr>
          <w:p>
            <w:pPr>
              <w:jc w:val="right"/>
              <w:ind w:right="21"/>
              <w:spacing w:after="0"/>
              <w:rPr>
                <w:sz w:val="20"/>
                <w:szCs w:val="20"/>
                <w:color w:val="auto"/>
              </w:rPr>
            </w:pPr>
            <w:r>
              <w:rPr>
                <w:rFonts w:ascii="Times New Roman" w:cs="Times New Roman" w:eastAsia="Times New Roman" w:hAnsi="Times New Roman"/>
                <w:sz w:val="18"/>
                <w:szCs w:val="18"/>
                <w:color w:val="auto"/>
              </w:rPr>
              <w:t>$ 0.69</w:t>
            </w:r>
          </w:p>
        </w:tc>
        <w:tc>
          <w:tcPr>
            <w:tcW w:w="480" w:type="dxa"/>
            <w:vAlign w:val="bottom"/>
            <w:shd w:val="clear" w:color="auto" w:fill="E5E5E5"/>
          </w:tcPr>
          <w:p>
            <w:pPr>
              <w:jc w:val="center"/>
              <w:ind w:left="36"/>
              <w:spacing w:after="0"/>
              <w:rPr>
                <w:sz w:val="20"/>
                <w:szCs w:val="20"/>
                <w:color w:val="auto"/>
              </w:rPr>
            </w:pPr>
            <w:r>
              <w:rPr>
                <w:rFonts w:ascii="Times New Roman" w:cs="Times New Roman" w:eastAsia="Times New Roman" w:hAnsi="Times New Roman"/>
                <w:sz w:val="18"/>
                <w:szCs w:val="18"/>
                <w:color w:val="auto"/>
                <w:w w:val="99"/>
              </w:rPr>
              <w:t>$795</w:t>
            </w:r>
          </w:p>
        </w:tc>
        <w:tc>
          <w:tcPr>
            <w:tcW w:w="660" w:type="dxa"/>
            <w:vAlign w:val="bottom"/>
            <w:shd w:val="clear" w:color="auto" w:fill="E5E5E5"/>
          </w:tcPr>
          <w:p>
            <w:pPr>
              <w:ind w:left="220"/>
              <w:spacing w:after="0"/>
              <w:rPr>
                <w:sz w:val="20"/>
                <w:szCs w:val="20"/>
                <w:color w:val="auto"/>
              </w:rPr>
            </w:pPr>
            <w:r>
              <w:rPr>
                <w:rFonts w:ascii="Times New Roman" w:cs="Times New Roman" w:eastAsia="Times New Roman" w:hAnsi="Times New Roman"/>
                <w:sz w:val="18"/>
                <w:szCs w:val="18"/>
                <w:color w:val="auto"/>
                <w:w w:val="93"/>
              </w:rPr>
              <w:t>$ 0.36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diluted average number of common shares for the respective periods as presented in Table 1.</w:t>
      </w:r>
    </w:p>
    <w:p>
      <w:pPr>
        <w:spacing w:after="0" w:line="90" w:lineRule="exact"/>
        <w:rPr>
          <w:rFonts w:ascii="Times New Roman" w:cs="Times New Roman" w:eastAsia="Times New Roman" w:hAnsi="Times New Roman"/>
          <w:sz w:val="18"/>
          <w:szCs w:val="18"/>
          <w:color w:val="auto"/>
        </w:rPr>
      </w:pPr>
    </w:p>
    <w:p>
      <w:pPr>
        <w:ind w:left="460" w:hanging="452"/>
        <w:spacing w:after="0" w:line="275"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excludes a one-time gain, net of tax, on discontinued operations and a one-time gain, net of tax, related to the Adelphia/Time Warner transactions.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sectPr>
      <w:pgSz w:w="11900" w:h="16838" w:orient="portrait"/>
      <w:cols w:equalWidth="0" w:num="1">
        <w:col w:w="11420"/>
      </w:cols>
      <w:pgMar w:left="240" w:top="96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bullet"/>
      <w:start w:val="1"/>
    </w:lvl>
  </w:abstractNum>
  <w:abstractNum w:abstractNumId="6">
    <w:nsid w:val="140E0F76"/>
    <w:multiLevelType w:val="hybridMultilevel"/>
    <w:lvl w:ilvl="0">
      <w:lvlJc w:val="left"/>
      <w:lvlText w:val="2"/>
      <w:numFmt w:val="bullet"/>
      <w:start w:val="1"/>
    </w:lvl>
  </w:abstractNum>
  <w:abstractNum w:abstractNumId="7">
    <w:nsid w:val="3352255A"/>
    <w:multiLevelType w:val="hybridMultilevel"/>
    <w:lvl w:ilvl="0">
      <w:lvlJc w:val="left"/>
      <w:lvlText w:val="3"/>
      <w:numFmt w:val="bullet"/>
      <w:start w:val="1"/>
    </w:lvl>
  </w:abstractNum>
  <w:abstractNum w:abstractNumId="8">
    <w:nsid w:val="109CF92E"/>
    <w:multiLevelType w:val="hybridMultilevel"/>
    <w:lvl w:ilvl="0">
      <w:lvlJc w:val="left"/>
      <w:lvlText w:val="4"/>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4"/>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5"/>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3"/>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4"/>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2019-12-15T07:03:01Z</dcterms:created>
  <dcterms:modified xsi:type="dcterms:W3CDTF">2019-12-15T07:03:01Z</dcterms:modified>
</cp:coreProperties>
</file>