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333-191239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May 19, 2015</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$1,500,000,000 3.375% NOTES DUE 2025</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$800,000,000 4.400% NOTES DUE 2035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$1,700,000,000 4.600% NOTES DUE 2045</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380" w:space="720"/>
            <w:col w:w="832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Cable 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12" w:lineRule="exact"/>
        <w:rPr>
          <w:sz w:val="24"/>
          <w:szCs w:val="24"/>
          <w:color w:val="auto"/>
        </w:rPr>
      </w:pPr>
    </w:p>
    <w:p>
      <w:pPr>
        <w:sectPr>
          <w:pgSz w:w="11900" w:h="16838" w:orient="portrait"/>
          <w:cols w:equalWidth="0" w:num="2">
            <w:col w:w="2380" w:space="720"/>
            <w:col w:w="832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3.375% Notes due 2025</w:t>
      </w:r>
    </w:p>
    <w:p>
      <w:pPr>
        <w:spacing w:after="0" w:line="154" w:lineRule="exact"/>
        <w:rPr>
          <w:sz w:val="24"/>
          <w:szCs w:val="24"/>
          <w:color w:val="auto"/>
        </w:rPr>
      </w:pPr>
    </w:p>
    <w:p>
      <w:pPr>
        <w:sectPr>
          <w:pgSz w:w="11900" w:h="16838" w:orient="portrait"/>
          <w:cols w:equalWidth="0" w:num="2">
            <w:col w:w="2380" w:space="720"/>
            <w:col w:w="8320"/>
          </w:cols>
          <w:pgMar w:left="240" w:top="229" w:right="239" w:bottom="1440" w:gutter="0" w:footer="0" w:header="0"/>
          <w:type w:val="continuous"/>
        </w:sectPr>
      </w:pPr>
    </w:p>
    <w:p>
      <w:pPr>
        <w:ind w:left="3100"/>
        <w:spacing w:after="0"/>
        <w:rPr>
          <w:sz w:val="20"/>
          <w:szCs w:val="20"/>
          <w:color w:val="auto"/>
        </w:rPr>
      </w:pPr>
      <w:r>
        <w:rPr>
          <w:rFonts w:ascii="Arial" w:cs="Arial" w:eastAsia="Arial" w:hAnsi="Arial"/>
          <w:sz w:val="16"/>
          <w:szCs w:val="16"/>
          <w:color w:val="auto"/>
        </w:rPr>
        <w:t>4.400% Notes due 2035</w:t>
      </w:r>
    </w:p>
    <w:p>
      <w:pPr>
        <w:spacing w:after="0" w:line="154" w:lineRule="exact"/>
        <w:rPr>
          <w:sz w:val="24"/>
          <w:szCs w:val="24"/>
          <w:color w:val="auto"/>
        </w:rPr>
      </w:pPr>
    </w:p>
    <w:p>
      <w:pPr>
        <w:ind w:left="3100"/>
        <w:spacing w:after="0"/>
        <w:rPr>
          <w:sz w:val="20"/>
          <w:szCs w:val="20"/>
          <w:color w:val="auto"/>
        </w:rPr>
      </w:pPr>
      <w:r>
        <w:rPr>
          <w:rFonts w:ascii="Arial" w:cs="Arial" w:eastAsia="Arial" w:hAnsi="Arial"/>
          <w:sz w:val="16"/>
          <w:szCs w:val="16"/>
          <w:color w:val="auto"/>
        </w:rPr>
        <w:t>4.600% Notes due 2045</w:t>
      </w:r>
    </w:p>
    <w:p>
      <w:pPr>
        <w:sectPr>
          <w:pgSz w:w="11900" w:h="16838" w:orient="portrait"/>
          <w:cols w:equalWidth="0" w:num="1">
            <w:col w:w="11420"/>
          </w:cols>
          <w:pgMar w:left="240" w:top="229" w:right="239" w:bottom="1440" w:gutter="0" w:footer="0" w:header="0"/>
          <w:type w:val="continuous"/>
        </w:sectPr>
      </w:pP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36" w:lineRule="exact"/>
        <w:rPr>
          <w:sz w:val="24"/>
          <w:szCs w:val="24"/>
          <w:color w:val="auto"/>
        </w:rPr>
      </w:pPr>
    </w:p>
    <w:p>
      <w:pPr>
        <w:sectPr>
          <w:pgSz w:w="11900" w:h="16838" w:orient="portrait"/>
          <w:cols w:equalWidth="0" w:num="2">
            <w:col w:w="2380" w:space="720"/>
            <w:col w:w="832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60"/>
        <w:spacing w:after="0" w:line="290" w:lineRule="auto"/>
        <w:rPr>
          <w:sz w:val="20"/>
          <w:szCs w:val="20"/>
          <w:color w:val="auto"/>
        </w:rPr>
      </w:pPr>
      <w:r>
        <w:rPr>
          <w:rFonts w:ascii="Arial" w:cs="Arial" w:eastAsia="Arial" w:hAnsi="Arial"/>
          <w:sz w:val="16"/>
          <w:szCs w:val="16"/>
          <w:color w:val="auto"/>
        </w:rPr>
        <w:t>The Company intends to use the net proceeds from this offering, after deducting the underwriters’ discount and expenses, for working capital and general corporate purposes, which may include redemption or repayment of our 8.75% notes due August 2015 ($673 million principal amount outstanding), of our 5.85% notes due November 2015 ($750 million principal amount outstanding), of our 5.9% notes due March 2016 ($1 billion principal amount outstanding), of our 2.875% notes due April 2016 ($1 billion principal amount outstanding), of our 4.95% notes due June 2016 ($750 million principal amount outstanding) and repayment of a portion of our outstanding commercial paper. As of May 19, 2015, our commercial paper had a weighted average annual interest rate of approximately 0.47% and a weighted average remaining maturity of approximately 13 days.</w:t>
      </w:r>
    </w:p>
    <w:p>
      <w:pPr>
        <w:spacing w:after="0" w:line="54" w:lineRule="exact"/>
        <w:rPr>
          <w:sz w:val="24"/>
          <w:szCs w:val="24"/>
          <w:color w:val="auto"/>
        </w:rPr>
      </w:pPr>
    </w:p>
    <w:p>
      <w:pPr>
        <w:sectPr>
          <w:pgSz w:w="11900" w:h="16838" w:orient="portrait"/>
          <w:cols w:equalWidth="0" w:num="2">
            <w:col w:w="2380" w:space="720"/>
            <w:col w:w="832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20"/>
        <w:spacing w:after="0" w:line="277" w:lineRule="auto"/>
        <w:rPr>
          <w:sz w:val="20"/>
          <w:szCs w:val="20"/>
          <w:color w:val="auto"/>
        </w:rPr>
      </w:pPr>
      <w:r>
        <w:rPr>
          <w:rFonts w:ascii="Arial" w:cs="Arial" w:eastAsia="Arial" w:hAnsi="Arial"/>
          <w:sz w:val="18"/>
          <w:szCs w:val="18"/>
          <w:color w:val="auto"/>
        </w:rPr>
        <w:t>Indenture dated as of September 18, 2013 by and among the Company,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ectPr>
          <w:pgSz w:w="11900" w:h="16838" w:orient="portrait"/>
          <w:cols w:equalWidth="0" w:num="2">
            <w:col w:w="2380" w:space="720"/>
            <w:col w:w="832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-269875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380" w:space="720"/>
            <w:col w:w="7119"/>
          </w:cols>
          <w:pgMar w:left="240" w:top="378" w:right="1440" w:bottom="1440" w:gutter="0" w:footer="0" w:header="0"/>
        </w:sectPr>
      </w:pPr>
    </w:p>
    <w:p>
      <w:pPr>
        <w:spacing w:after="0"/>
        <w:rPr>
          <w:sz w:val="20"/>
          <w:szCs w:val="20"/>
          <w:color w:val="auto"/>
        </w:rPr>
      </w:pPr>
      <w:r>
        <w:rPr>
          <w:rFonts w:ascii="Arial" w:cs="Arial" w:eastAsia="Arial" w:hAnsi="Arial"/>
          <w:sz w:val="16"/>
          <w:szCs w:val="16"/>
          <w:b w:val="1"/>
          <w:bCs w:val="1"/>
          <w:color w:val="auto"/>
        </w:rPr>
        <w:t>Expected Ratings:</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Moody’s: A3; S&amp;P: A-; Fitch: A-</w:t>
      </w:r>
    </w:p>
    <w:p>
      <w:pPr>
        <w:spacing w:after="0" w:line="125" w:lineRule="exact"/>
        <w:rPr>
          <w:sz w:val="20"/>
          <w:szCs w:val="20"/>
          <w:color w:val="auto"/>
        </w:rPr>
      </w:pPr>
    </w:p>
    <w:p>
      <w:pPr>
        <w:sectPr>
          <w:pgSz w:w="11900" w:h="16838" w:orient="portrait"/>
          <w:cols w:equalWidth="0" w:num="2">
            <w:col w:w="2380" w:space="720"/>
            <w:col w:w="7119"/>
          </w:cols>
          <w:pgMar w:left="2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112" w:lineRule="exact"/>
        <w:rPr>
          <w:sz w:val="20"/>
          <w:szCs w:val="20"/>
          <w:color w:val="auto"/>
        </w:rPr>
      </w:pPr>
    </w:p>
    <w:p>
      <w:pPr>
        <w:sectPr>
          <w:pgSz w:w="11900" w:h="16838" w:orient="portrait"/>
          <w:cols w:equalWidth="0" w:num="2">
            <w:col w:w="2440" w:space="660"/>
            <w:col w:w="7119"/>
          </w:cols>
          <w:pgMar w:left="2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Credit Suisse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Santander Investment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12" w:lineRule="exact"/>
        <w:rPr>
          <w:sz w:val="20"/>
          <w:szCs w:val="20"/>
          <w:color w:val="auto"/>
        </w:rPr>
      </w:pPr>
    </w:p>
    <w:p>
      <w:pPr>
        <w:sectPr>
          <w:pgSz w:w="11900" w:h="16838" w:orient="portrait"/>
          <w:cols w:equalWidth="0" w:num="2">
            <w:col w:w="2380" w:space="720"/>
            <w:col w:w="7119"/>
          </w:cols>
          <w:pgMar w:left="2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Williams Capital Group,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Lebenthal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Telsey Advisory Group LLC</w:t>
      </w:r>
    </w:p>
    <w:p>
      <w:pPr>
        <w:spacing w:after="0" w:line="112" w:lineRule="exact"/>
        <w:rPr>
          <w:sz w:val="20"/>
          <w:szCs w:val="20"/>
          <w:color w:val="auto"/>
        </w:rPr>
      </w:pPr>
    </w:p>
    <w:p>
      <w:pPr>
        <w:sectPr>
          <w:pgSz w:w="11900" w:h="16838" w:orient="portrait"/>
          <w:cols w:equalWidth="0" w:num="2">
            <w:col w:w="2380" w:space="720"/>
            <w:col w:w="7119"/>
          </w:cols>
          <w:pgMar w:left="2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19, 2015</w:t>
      </w:r>
    </w:p>
    <w:p>
      <w:pPr>
        <w:spacing w:after="0" w:line="136" w:lineRule="exact"/>
        <w:rPr>
          <w:sz w:val="20"/>
          <w:szCs w:val="20"/>
          <w:color w:val="auto"/>
        </w:rPr>
      </w:pPr>
    </w:p>
    <w:p>
      <w:pPr>
        <w:sectPr>
          <w:pgSz w:w="11900" w:h="16838" w:orient="portrait"/>
          <w:cols w:equalWidth="0" w:num="2">
            <w:col w:w="2380" w:space="720"/>
            <w:col w:w="7119"/>
          </w:cols>
          <w:pgMar w:left="240" w:top="378"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27, 2015 (T+5)</w:t>
      </w:r>
    </w:p>
    <w:p>
      <w:pPr>
        <w:spacing w:after="0" w:line="200" w:lineRule="exact"/>
        <w:rPr>
          <w:sz w:val="20"/>
          <w:szCs w:val="20"/>
          <w:color w:val="auto"/>
        </w:rPr>
      </w:pPr>
    </w:p>
    <w:p>
      <w:pPr>
        <w:sectPr>
          <w:pgSz w:w="11900" w:h="16838" w:orient="portrait"/>
          <w:cols w:equalWidth="0" w:num="2">
            <w:col w:w="2380" w:space="720"/>
            <w:col w:w="7119"/>
          </w:cols>
          <w:pgMar w:left="240" w:top="378" w:right="1440" w:bottom="1440" w:gutter="0" w:footer="0" w:header="0"/>
          <w:type w:val="continuous"/>
        </w:sectPr>
      </w:pPr>
    </w:p>
    <w:p>
      <w:pPr>
        <w:spacing w:after="0" w:line="264" w:lineRule="exact"/>
        <w:rPr>
          <w:sz w:val="20"/>
          <w:szCs w:val="20"/>
          <w:color w:val="auto"/>
        </w:rPr>
      </w:pPr>
    </w:p>
    <w:p>
      <w:pPr>
        <w:ind w:left="5660" w:right="339" w:hanging="5652"/>
        <w:spacing w:after="0" w:line="449" w:lineRule="auto"/>
        <w:tabs>
          <w:tab w:leader="none" w:pos="445" w:val="left"/>
        </w:tabs>
        <w:numPr>
          <w:ilvl w:val="0"/>
          <w:numId w:val="1"/>
        </w:numPr>
        <w:rPr>
          <w:rFonts w:ascii="Arial" w:cs="Arial" w:eastAsia="Arial" w:hAnsi="Arial"/>
          <w:sz w:val="15"/>
          <w:szCs w:val="15"/>
          <w:color w:val="auto"/>
        </w:rPr>
      </w:pPr>
      <w:r>
        <w:rPr>
          <w:rFonts w:ascii="Arial" w:cs="Arial" w:eastAsia="Arial" w:hAnsi="Arial"/>
          <w:sz w:val="18"/>
          <w:szCs w:val="18"/>
          <w:color w:val="auto"/>
        </w:rPr>
        <w:t>A securities rating is not a recommendation to buy, sell or hold securities and may be subject to revision or withdrawal at any time. 2</w:t>
      </w:r>
    </w:p>
    <w:p>
      <w:pPr>
        <w:sectPr>
          <w:pgSz w:w="11900" w:h="16838" w:orient="portrait"/>
          <w:cols w:equalWidth="0" w:num="1">
            <w:col w:w="10219"/>
          </w:cols>
          <w:pgMar w:left="240" w:top="378"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375%</w:t>
            </w:r>
            <w:r>
              <w:rPr>
                <w:rFonts w:ascii="Arial" w:cs="Arial" w:eastAsia="Arial" w:hAnsi="Arial"/>
                <w:sz w:val="18"/>
                <w:szCs w:val="18"/>
                <w:b w:val="1"/>
                <w:bCs w:val="1"/>
                <w:color w:val="auto"/>
              </w:rPr>
              <w:t xml:space="preserve"> Notes Due 2025</w:t>
            </w:r>
          </w:p>
        </w:tc>
        <w:tc>
          <w:tcPr>
            <w:tcW w:w="8380" w:type="dxa"/>
            <w:vAlign w:val="bottom"/>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8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8380" w:type="dxa"/>
            <w:vAlign w:val="bottom"/>
          </w:tcPr>
          <w:p>
            <w:pPr>
              <w:ind w:left="240"/>
              <w:spacing w:after="0"/>
              <w:rPr>
                <w:sz w:val="20"/>
                <w:szCs w:val="20"/>
                <w:color w:val="auto"/>
              </w:rPr>
            </w:pPr>
            <w:r>
              <w:rPr>
                <w:rFonts w:ascii="Arial" w:cs="Arial" w:eastAsia="Arial" w:hAnsi="Arial"/>
                <w:sz w:val="18"/>
                <w:szCs w:val="18"/>
                <w:color w:val="auto"/>
              </w:rPr>
              <w:t>$1,500,000,000</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380" w:type="dxa"/>
            <w:vAlign w:val="bottom"/>
          </w:tcPr>
          <w:p>
            <w:pPr>
              <w:ind w:left="240"/>
              <w:spacing w:after="0"/>
              <w:rPr>
                <w:sz w:val="20"/>
                <w:szCs w:val="20"/>
                <w:color w:val="auto"/>
              </w:rPr>
            </w:pPr>
            <w:r>
              <w:rPr>
                <w:rFonts w:ascii="Arial" w:cs="Arial" w:eastAsia="Arial" w:hAnsi="Arial"/>
                <w:sz w:val="18"/>
                <w:szCs w:val="18"/>
                <w:color w:val="auto"/>
              </w:rPr>
              <w:t>August 15, 2025</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380" w:type="dxa"/>
            <w:vAlign w:val="bottom"/>
          </w:tcPr>
          <w:p>
            <w:pPr>
              <w:ind w:left="240"/>
              <w:spacing w:after="0"/>
              <w:rPr>
                <w:sz w:val="20"/>
                <w:szCs w:val="20"/>
                <w:color w:val="auto"/>
              </w:rPr>
            </w:pPr>
            <w:r>
              <w:rPr>
                <w:rFonts w:ascii="Arial" w:cs="Arial" w:eastAsia="Arial" w:hAnsi="Arial"/>
                <w:sz w:val="18"/>
                <w:szCs w:val="18"/>
                <w:color w:val="auto"/>
                <w:w w:val="91"/>
              </w:rPr>
              <w:t>3.375% per annum, accruing from May 27, 2015 (calculated on the basis of a 360-day year consisting of twelve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30-day months)</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380" w:type="dxa"/>
            <w:vAlign w:val="bottom"/>
          </w:tcPr>
          <w:p>
            <w:pPr>
              <w:ind w:left="240"/>
              <w:spacing w:after="0"/>
              <w:rPr>
                <w:sz w:val="20"/>
                <w:szCs w:val="20"/>
                <w:color w:val="auto"/>
              </w:rPr>
            </w:pPr>
            <w:r>
              <w:rPr>
                <w:rFonts w:ascii="Arial" w:cs="Arial" w:eastAsia="Arial" w:hAnsi="Arial"/>
                <w:sz w:val="18"/>
                <w:szCs w:val="18"/>
                <w:color w:val="auto"/>
              </w:rPr>
              <w:t>February 15 and August 15, commencing August 15, 2015 (short first coupon)</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8380" w:type="dxa"/>
            <w:vAlign w:val="bottom"/>
          </w:tcPr>
          <w:p>
            <w:pPr>
              <w:ind w:left="240"/>
              <w:spacing w:after="0"/>
              <w:rPr>
                <w:sz w:val="20"/>
                <w:szCs w:val="20"/>
                <w:color w:val="auto"/>
              </w:rPr>
            </w:pPr>
            <w:r>
              <w:rPr>
                <w:rFonts w:ascii="Arial" w:cs="Arial" w:eastAsia="Arial" w:hAnsi="Arial"/>
                <w:sz w:val="18"/>
                <w:szCs w:val="18"/>
                <w:color w:val="auto"/>
              </w:rPr>
              <w:t>UST 2.125% due May 15, 2025</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 Price/Yield:</w:t>
            </w:r>
          </w:p>
        </w:tc>
        <w:tc>
          <w:tcPr>
            <w:tcW w:w="8380" w:type="dxa"/>
            <w:vAlign w:val="bottom"/>
          </w:tcPr>
          <w:p>
            <w:pPr>
              <w:ind w:left="240"/>
              <w:spacing w:after="0"/>
              <w:rPr>
                <w:sz w:val="20"/>
                <w:szCs w:val="20"/>
                <w:color w:val="auto"/>
              </w:rPr>
            </w:pPr>
            <w:r>
              <w:rPr>
                <w:rFonts w:ascii="Arial" w:cs="Arial" w:eastAsia="Arial" w:hAnsi="Arial"/>
                <w:sz w:val="18"/>
                <w:szCs w:val="18"/>
                <w:color w:val="auto"/>
              </w:rPr>
              <w:t>98-17 / 2.290%</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380" w:type="dxa"/>
            <w:vAlign w:val="bottom"/>
          </w:tcPr>
          <w:p>
            <w:pPr>
              <w:ind w:left="240"/>
              <w:spacing w:after="0"/>
              <w:rPr>
                <w:sz w:val="20"/>
                <w:szCs w:val="20"/>
                <w:color w:val="auto"/>
              </w:rPr>
            </w:pPr>
            <w:r>
              <w:rPr>
                <w:rFonts w:ascii="Arial" w:cs="Arial" w:eastAsia="Arial" w:hAnsi="Arial"/>
                <w:sz w:val="18"/>
                <w:szCs w:val="18"/>
                <w:color w:val="auto"/>
              </w:rPr>
              <w:t>+110 bps</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380" w:type="dxa"/>
            <w:vAlign w:val="bottom"/>
          </w:tcPr>
          <w:p>
            <w:pPr>
              <w:ind w:left="240"/>
              <w:spacing w:after="0"/>
              <w:rPr>
                <w:sz w:val="20"/>
                <w:szCs w:val="20"/>
                <w:color w:val="auto"/>
              </w:rPr>
            </w:pPr>
            <w:r>
              <w:rPr>
                <w:rFonts w:ascii="Arial" w:cs="Arial" w:eastAsia="Arial" w:hAnsi="Arial"/>
                <w:sz w:val="18"/>
                <w:szCs w:val="18"/>
                <w:color w:val="auto"/>
              </w:rPr>
              <w:t>3.390%</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Optional Redemption:</w:t>
            </w: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The 3.375% Notes due 2025 are redeemable at the option of the Company at any time, in whole or in part, at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7"/>
              </w:rPr>
              <w:t>“Redemption Price.” Prior to May 15, 2025 (three months prior to the maturity of the Notes due 2025),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Redemption Price is the greater of (i) 100% of the principal amount of such notes, and (ii) the sum of the present</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values of the remaining scheduled payments of principal and interest thereon (exclusive of interest accrued to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date of redemption) discounted to the redemption date on a semiannual basis at the Treasury Rate plus 20 basis</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2"/>
              </w:rPr>
              <w:t>points. On and after May 15, 2025 (three months prior to the maturity of the Notes due 2025), the Redemption</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6"/>
              </w:rPr>
              <w:t>Price will equal 100% of the principal amount of such notes. In each case described in this paragraph, the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Redemption Price will include accrued and unpaid interest thereon to the date of redemption</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An unlimited amount of additional 3.375% Notes due 2025 may be issued. The 3.375% Notes due 2025 and any</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89"/>
              </w:rPr>
              <w:t>additional 3.375% Notes due 2025 that may be issued may be treated as a single series for all purposes under the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indenture</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CUSIP / ISIN:</w:t>
            </w:r>
          </w:p>
        </w:tc>
        <w:tc>
          <w:tcPr>
            <w:tcW w:w="8380" w:type="dxa"/>
            <w:vAlign w:val="bottom"/>
          </w:tcPr>
          <w:p>
            <w:pPr>
              <w:ind w:left="240"/>
              <w:spacing w:after="0"/>
              <w:rPr>
                <w:sz w:val="20"/>
                <w:szCs w:val="20"/>
                <w:color w:val="auto"/>
              </w:rPr>
            </w:pPr>
            <w:r>
              <w:rPr>
                <w:rFonts w:ascii="Arial" w:cs="Arial" w:eastAsia="Arial" w:hAnsi="Arial"/>
                <w:sz w:val="18"/>
                <w:szCs w:val="18"/>
                <w:color w:val="auto"/>
              </w:rPr>
              <w:t>20030N BN0 / US20030NBN03</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8380" w:type="dxa"/>
            <w:vAlign w:val="bottom"/>
          </w:tcPr>
          <w:p>
            <w:pPr>
              <w:ind w:left="240"/>
              <w:spacing w:after="0"/>
              <w:rPr>
                <w:sz w:val="20"/>
                <w:szCs w:val="20"/>
                <w:color w:val="auto"/>
              </w:rPr>
            </w:pPr>
            <w:r>
              <w:rPr>
                <w:rFonts w:ascii="Arial" w:cs="Arial" w:eastAsia="Arial" w:hAnsi="Arial"/>
                <w:sz w:val="18"/>
                <w:szCs w:val="18"/>
                <w:color w:val="auto"/>
              </w:rPr>
              <w:t>99.875% plus accrued interest, if any, from May 27, 2015</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Underwriters’ Discount:</w:t>
            </w:r>
          </w:p>
        </w:tc>
        <w:tc>
          <w:tcPr>
            <w:tcW w:w="8380" w:type="dxa"/>
            <w:vAlign w:val="bottom"/>
          </w:tcPr>
          <w:p>
            <w:pPr>
              <w:ind w:left="240"/>
              <w:spacing w:after="0"/>
              <w:rPr>
                <w:sz w:val="20"/>
                <w:szCs w:val="20"/>
                <w:color w:val="auto"/>
              </w:rPr>
            </w:pPr>
            <w:r>
              <w:rPr>
                <w:rFonts w:ascii="Arial" w:cs="Arial" w:eastAsia="Arial" w:hAnsi="Arial"/>
                <w:sz w:val="18"/>
                <w:szCs w:val="18"/>
                <w:color w:val="auto"/>
              </w:rPr>
              <w:t>0.450%</w:t>
            </w:r>
          </w:p>
        </w:tc>
      </w:tr>
      <w:tr>
        <w:trPr>
          <w:trHeight w:val="306"/>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Net proceeds to Comcast,</w:t>
            </w:r>
          </w:p>
        </w:tc>
        <w:tc>
          <w:tcPr>
            <w:tcW w:w="8380" w:type="dxa"/>
            <w:vAlign w:val="bottom"/>
          </w:tcPr>
          <w:p>
            <w:pPr>
              <w:ind w:left="240"/>
              <w:spacing w:after="0"/>
              <w:rPr>
                <w:sz w:val="20"/>
                <w:szCs w:val="20"/>
                <w:color w:val="auto"/>
              </w:rPr>
            </w:pPr>
            <w:r>
              <w:rPr>
                <w:rFonts w:ascii="Arial" w:cs="Arial" w:eastAsia="Arial" w:hAnsi="Arial"/>
                <w:sz w:val="18"/>
                <w:szCs w:val="18"/>
                <w:color w:val="auto"/>
              </w:rPr>
              <w:t>99.425% per $1,000 principal amount of 3.375% Notes due 2025; $1,491,375,000 total</w:t>
            </w:r>
          </w:p>
        </w:tc>
      </w:tr>
      <w:tr>
        <w:trPr>
          <w:trHeight w:val="23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before expenses:</w:t>
            </w:r>
          </w:p>
        </w:tc>
        <w:tc>
          <w:tcPr>
            <w:tcW w:w="8380" w:type="dxa"/>
            <w:vAlign w:val="bottom"/>
          </w:tcPr>
          <w:p>
            <w:pPr>
              <w:spacing w:after="0"/>
              <w:rPr>
                <w:sz w:val="20"/>
                <w:szCs w:val="20"/>
                <w:color w:val="auto"/>
              </w:rPr>
            </w:pPr>
          </w:p>
        </w:tc>
      </w:tr>
      <w:tr>
        <w:trPr>
          <w:trHeight w:val="365"/>
        </w:trPr>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380" w:type="dxa"/>
            <w:vAlign w:val="bottom"/>
          </w:tcPr>
          <w:p>
            <w:pPr>
              <w:ind w:left="2800"/>
              <w:spacing w:after="0"/>
              <w:rPr>
                <w:sz w:val="20"/>
                <w:szCs w:val="20"/>
                <w:color w:val="auto"/>
              </w:rPr>
            </w:pPr>
            <w:r>
              <w:rPr>
                <w:rFonts w:ascii="Arial" w:cs="Arial" w:eastAsia="Arial" w:hAnsi="Arial"/>
                <w:sz w:val="18"/>
                <w:szCs w:val="18"/>
                <w:color w:val="auto"/>
              </w:rPr>
              <w:t>3</w:t>
            </w:r>
          </w:p>
        </w:tc>
      </w:tr>
    </w:tbl>
    <w:p>
      <w:pPr>
        <w:ind w:left="2800"/>
        <w:spacing w:after="0"/>
        <w:rPr>
          <w:sz w:val="20"/>
          <w:szCs w:val="20"/>
          <w:color w:val="auto"/>
        </w:rPr>
        <w:sectPr>
          <w:pgSz w:w="11900" w:h="16838" w:orient="portrait"/>
          <w:cols w:equalWidth="0" w:num="1">
            <w:col w:w="11240"/>
          </w:cols>
          <w:pgMar w:left="2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400%</w:t>
            </w:r>
            <w:r>
              <w:rPr>
                <w:rFonts w:ascii="Arial" w:cs="Arial" w:eastAsia="Arial" w:hAnsi="Arial"/>
                <w:sz w:val="18"/>
                <w:szCs w:val="18"/>
                <w:b w:val="1"/>
                <w:bCs w:val="1"/>
                <w:color w:val="auto"/>
              </w:rPr>
              <w:t xml:space="preserve"> Notes Due 2035</w:t>
            </w:r>
          </w:p>
        </w:tc>
        <w:tc>
          <w:tcPr>
            <w:tcW w:w="8380" w:type="dxa"/>
            <w:vAlign w:val="bottom"/>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8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8380" w:type="dxa"/>
            <w:vAlign w:val="bottom"/>
          </w:tcPr>
          <w:p>
            <w:pPr>
              <w:ind w:left="240"/>
              <w:spacing w:after="0"/>
              <w:rPr>
                <w:sz w:val="20"/>
                <w:szCs w:val="20"/>
                <w:color w:val="auto"/>
              </w:rPr>
            </w:pPr>
            <w:r>
              <w:rPr>
                <w:rFonts w:ascii="Arial" w:cs="Arial" w:eastAsia="Arial" w:hAnsi="Arial"/>
                <w:sz w:val="18"/>
                <w:szCs w:val="18"/>
                <w:color w:val="auto"/>
              </w:rPr>
              <w:t>$800,000,000</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380" w:type="dxa"/>
            <w:vAlign w:val="bottom"/>
          </w:tcPr>
          <w:p>
            <w:pPr>
              <w:ind w:left="240"/>
              <w:spacing w:after="0"/>
              <w:rPr>
                <w:sz w:val="20"/>
                <w:szCs w:val="20"/>
                <w:color w:val="auto"/>
              </w:rPr>
            </w:pPr>
            <w:r>
              <w:rPr>
                <w:rFonts w:ascii="Arial" w:cs="Arial" w:eastAsia="Arial" w:hAnsi="Arial"/>
                <w:sz w:val="18"/>
                <w:szCs w:val="18"/>
                <w:color w:val="auto"/>
              </w:rPr>
              <w:t>August 15, 2035</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380" w:type="dxa"/>
            <w:vAlign w:val="bottom"/>
          </w:tcPr>
          <w:p>
            <w:pPr>
              <w:ind w:left="240"/>
              <w:spacing w:after="0"/>
              <w:rPr>
                <w:sz w:val="20"/>
                <w:szCs w:val="20"/>
                <w:color w:val="auto"/>
              </w:rPr>
            </w:pPr>
            <w:r>
              <w:rPr>
                <w:rFonts w:ascii="Arial" w:cs="Arial" w:eastAsia="Arial" w:hAnsi="Arial"/>
                <w:sz w:val="18"/>
                <w:szCs w:val="18"/>
                <w:color w:val="auto"/>
                <w:w w:val="91"/>
              </w:rPr>
              <w:t>4.400% per annum, accruing from May 27, 2015 (calculated on the basis of a 360-day year consisting of twelve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30-day months)</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380" w:type="dxa"/>
            <w:vAlign w:val="bottom"/>
          </w:tcPr>
          <w:p>
            <w:pPr>
              <w:ind w:left="240"/>
              <w:spacing w:after="0"/>
              <w:rPr>
                <w:sz w:val="20"/>
                <w:szCs w:val="20"/>
                <w:color w:val="auto"/>
              </w:rPr>
            </w:pPr>
            <w:r>
              <w:rPr>
                <w:rFonts w:ascii="Arial" w:cs="Arial" w:eastAsia="Arial" w:hAnsi="Arial"/>
                <w:sz w:val="18"/>
                <w:szCs w:val="18"/>
                <w:color w:val="auto"/>
              </w:rPr>
              <w:t>February 15 and August 15, commencing August 15, 2015 (short first coupon)</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8380" w:type="dxa"/>
            <w:vAlign w:val="bottom"/>
          </w:tcPr>
          <w:p>
            <w:pPr>
              <w:ind w:left="240"/>
              <w:spacing w:after="0"/>
              <w:rPr>
                <w:sz w:val="20"/>
                <w:szCs w:val="20"/>
                <w:color w:val="auto"/>
              </w:rPr>
            </w:pPr>
            <w:r>
              <w:rPr>
                <w:rFonts w:ascii="Arial" w:cs="Arial" w:eastAsia="Arial" w:hAnsi="Arial"/>
                <w:sz w:val="18"/>
                <w:szCs w:val="18"/>
                <w:color w:val="auto"/>
              </w:rPr>
              <w:t>UST 2.500% due February 15, 2045</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 Price/Yield:</w:t>
            </w:r>
          </w:p>
        </w:tc>
        <w:tc>
          <w:tcPr>
            <w:tcW w:w="8380" w:type="dxa"/>
            <w:vAlign w:val="bottom"/>
          </w:tcPr>
          <w:p>
            <w:pPr>
              <w:ind w:left="240"/>
              <w:spacing w:after="0"/>
              <w:rPr>
                <w:sz w:val="20"/>
                <w:szCs w:val="20"/>
                <w:color w:val="auto"/>
              </w:rPr>
            </w:pPr>
            <w:r>
              <w:rPr>
                <w:rFonts w:ascii="Arial" w:cs="Arial" w:eastAsia="Arial" w:hAnsi="Arial"/>
                <w:sz w:val="18"/>
                <w:szCs w:val="18"/>
                <w:color w:val="auto"/>
              </w:rPr>
              <w:t>88-10 / 3.105%</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380" w:type="dxa"/>
            <w:vAlign w:val="bottom"/>
          </w:tcPr>
          <w:p>
            <w:pPr>
              <w:ind w:left="240"/>
              <w:spacing w:after="0"/>
              <w:rPr>
                <w:sz w:val="20"/>
                <w:szCs w:val="20"/>
                <w:color w:val="auto"/>
              </w:rPr>
            </w:pPr>
            <w:r>
              <w:rPr>
                <w:rFonts w:ascii="Arial" w:cs="Arial" w:eastAsia="Arial" w:hAnsi="Arial"/>
                <w:sz w:val="18"/>
                <w:szCs w:val="18"/>
                <w:color w:val="auto"/>
              </w:rPr>
              <w:t>+130 bps</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380" w:type="dxa"/>
            <w:vAlign w:val="bottom"/>
          </w:tcPr>
          <w:p>
            <w:pPr>
              <w:ind w:left="240"/>
              <w:spacing w:after="0"/>
              <w:rPr>
                <w:sz w:val="20"/>
                <w:szCs w:val="20"/>
                <w:color w:val="auto"/>
              </w:rPr>
            </w:pPr>
            <w:r>
              <w:rPr>
                <w:rFonts w:ascii="Arial" w:cs="Arial" w:eastAsia="Arial" w:hAnsi="Arial"/>
                <w:sz w:val="18"/>
                <w:szCs w:val="18"/>
                <w:color w:val="auto"/>
              </w:rPr>
              <w:t>4.405%</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Optional Redemption:</w:t>
            </w: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The 4.400% Notes due 2035 are redeemable at the option of the Company at any time, in whole or in part, at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4"/>
              </w:rPr>
              <w:t>“Redemption Price.” Prior to February 15, 2035 (six months prior to the maturity of the Notes due 2035),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Redemption Price is the greater of (i) 100% of the principal amount of such notes, and (ii) the sum of the present</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values of the remaining scheduled payments of principal and interest thereon (exclusive of interest accrued to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date of redemption) discounted to the redemption date on a semiannual basis at the Treasury Rate plus 20 basis</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points. On and after February 15, 2035 (six months prior to the maturity of the Notes due 2035), the Redemption</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6"/>
              </w:rPr>
              <w:t>Price will equal 100% of the principal amount of such notes. In each case described in this paragraph, the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Redemption Price will include accrued and unpaid interest thereon to the date of redemption</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An unlimited amount of additional 4.400% Notes due 2035 may be issued. The 4.400% Notes due 2035 and any</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89"/>
              </w:rPr>
              <w:t>additional 4.400% Notes due 2035 that may be issued may be treated as a single series for all purposes under the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indenture</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CUSIP / ISIN:</w:t>
            </w:r>
          </w:p>
        </w:tc>
        <w:tc>
          <w:tcPr>
            <w:tcW w:w="8380" w:type="dxa"/>
            <w:vAlign w:val="bottom"/>
          </w:tcPr>
          <w:p>
            <w:pPr>
              <w:ind w:left="240"/>
              <w:spacing w:after="0"/>
              <w:rPr>
                <w:sz w:val="20"/>
                <w:szCs w:val="20"/>
                <w:color w:val="auto"/>
              </w:rPr>
            </w:pPr>
            <w:r>
              <w:rPr>
                <w:rFonts w:ascii="Arial" w:cs="Arial" w:eastAsia="Arial" w:hAnsi="Arial"/>
                <w:sz w:val="18"/>
                <w:szCs w:val="18"/>
                <w:color w:val="auto"/>
              </w:rPr>
              <w:t>20030N BP5 / US20030NBP50</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8380" w:type="dxa"/>
            <w:vAlign w:val="bottom"/>
          </w:tcPr>
          <w:p>
            <w:pPr>
              <w:ind w:left="240"/>
              <w:spacing w:after="0"/>
              <w:rPr>
                <w:sz w:val="20"/>
                <w:szCs w:val="20"/>
                <w:color w:val="auto"/>
              </w:rPr>
            </w:pPr>
            <w:r>
              <w:rPr>
                <w:rFonts w:ascii="Arial" w:cs="Arial" w:eastAsia="Arial" w:hAnsi="Arial"/>
                <w:sz w:val="18"/>
                <w:szCs w:val="18"/>
                <w:color w:val="auto"/>
              </w:rPr>
              <w:t>99.939% plus accrued interest, if any, from May 27, 2015</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Underwriters’ Discount:</w:t>
            </w:r>
          </w:p>
        </w:tc>
        <w:tc>
          <w:tcPr>
            <w:tcW w:w="8380" w:type="dxa"/>
            <w:vAlign w:val="bottom"/>
          </w:tcPr>
          <w:p>
            <w:pPr>
              <w:ind w:left="240"/>
              <w:spacing w:after="0"/>
              <w:rPr>
                <w:sz w:val="20"/>
                <w:szCs w:val="20"/>
                <w:color w:val="auto"/>
              </w:rPr>
            </w:pPr>
            <w:r>
              <w:rPr>
                <w:rFonts w:ascii="Arial" w:cs="Arial" w:eastAsia="Arial" w:hAnsi="Arial"/>
                <w:sz w:val="18"/>
                <w:szCs w:val="18"/>
                <w:color w:val="auto"/>
              </w:rPr>
              <w:t>0.650%</w:t>
            </w:r>
          </w:p>
        </w:tc>
      </w:tr>
      <w:tr>
        <w:trPr>
          <w:trHeight w:val="306"/>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Net proceeds to Comcast,</w:t>
            </w:r>
          </w:p>
        </w:tc>
        <w:tc>
          <w:tcPr>
            <w:tcW w:w="8380" w:type="dxa"/>
            <w:vAlign w:val="bottom"/>
          </w:tcPr>
          <w:p>
            <w:pPr>
              <w:ind w:left="240"/>
              <w:spacing w:after="0"/>
              <w:rPr>
                <w:sz w:val="20"/>
                <w:szCs w:val="20"/>
                <w:color w:val="auto"/>
              </w:rPr>
            </w:pPr>
            <w:r>
              <w:rPr>
                <w:rFonts w:ascii="Arial" w:cs="Arial" w:eastAsia="Arial" w:hAnsi="Arial"/>
                <w:sz w:val="18"/>
                <w:szCs w:val="18"/>
                <w:color w:val="auto"/>
              </w:rPr>
              <w:t>99.289% per $1,000 principal amount of 4.400% Notes due 2035; $794,312,000 total</w:t>
            </w:r>
          </w:p>
        </w:tc>
      </w:tr>
      <w:tr>
        <w:trPr>
          <w:trHeight w:val="23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before expenses:</w:t>
            </w:r>
          </w:p>
        </w:tc>
        <w:tc>
          <w:tcPr>
            <w:tcW w:w="8380" w:type="dxa"/>
            <w:vAlign w:val="bottom"/>
          </w:tcPr>
          <w:p>
            <w:pPr>
              <w:spacing w:after="0"/>
              <w:rPr>
                <w:sz w:val="20"/>
                <w:szCs w:val="20"/>
                <w:color w:val="auto"/>
              </w:rPr>
            </w:pPr>
          </w:p>
        </w:tc>
      </w:tr>
      <w:tr>
        <w:trPr>
          <w:trHeight w:val="365"/>
        </w:trPr>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380" w:type="dxa"/>
            <w:vAlign w:val="bottom"/>
          </w:tcPr>
          <w:p>
            <w:pPr>
              <w:ind w:left="2800"/>
              <w:spacing w:after="0"/>
              <w:rPr>
                <w:sz w:val="20"/>
                <w:szCs w:val="20"/>
                <w:color w:val="auto"/>
              </w:rPr>
            </w:pPr>
            <w:r>
              <w:rPr>
                <w:rFonts w:ascii="Arial" w:cs="Arial" w:eastAsia="Arial" w:hAnsi="Arial"/>
                <w:sz w:val="18"/>
                <w:szCs w:val="18"/>
                <w:color w:val="auto"/>
              </w:rPr>
              <w:t>4</w:t>
            </w:r>
          </w:p>
        </w:tc>
      </w:tr>
    </w:tbl>
    <w:p>
      <w:pPr>
        <w:ind w:left="2800"/>
        <w:spacing w:after="0"/>
        <w:rPr>
          <w:sz w:val="20"/>
          <w:szCs w:val="20"/>
          <w:color w:val="auto"/>
        </w:rPr>
        <w:sectPr>
          <w:pgSz w:w="11900" w:h="16838" w:orient="portrait"/>
          <w:cols w:equalWidth="0" w:num="1">
            <w:col w:w="11240"/>
          </w:cols>
          <w:pgMar w:left="2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600%</w:t>
            </w:r>
            <w:r>
              <w:rPr>
                <w:rFonts w:ascii="Arial" w:cs="Arial" w:eastAsia="Arial" w:hAnsi="Arial"/>
                <w:sz w:val="18"/>
                <w:szCs w:val="18"/>
                <w:b w:val="1"/>
                <w:bCs w:val="1"/>
                <w:color w:val="auto"/>
              </w:rPr>
              <w:t xml:space="preserve"> Notes Due 2045</w:t>
            </w:r>
          </w:p>
        </w:tc>
        <w:tc>
          <w:tcPr>
            <w:tcW w:w="8380" w:type="dxa"/>
            <w:vAlign w:val="bottom"/>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8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8380" w:type="dxa"/>
            <w:vAlign w:val="bottom"/>
          </w:tcPr>
          <w:p>
            <w:pPr>
              <w:ind w:left="240"/>
              <w:spacing w:after="0"/>
              <w:rPr>
                <w:sz w:val="20"/>
                <w:szCs w:val="20"/>
                <w:color w:val="auto"/>
              </w:rPr>
            </w:pPr>
            <w:r>
              <w:rPr>
                <w:rFonts w:ascii="Arial" w:cs="Arial" w:eastAsia="Arial" w:hAnsi="Arial"/>
                <w:sz w:val="18"/>
                <w:szCs w:val="18"/>
                <w:color w:val="auto"/>
              </w:rPr>
              <w:t>$1,700,000,000</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380" w:type="dxa"/>
            <w:vAlign w:val="bottom"/>
          </w:tcPr>
          <w:p>
            <w:pPr>
              <w:ind w:left="240"/>
              <w:spacing w:after="0"/>
              <w:rPr>
                <w:sz w:val="20"/>
                <w:szCs w:val="20"/>
                <w:color w:val="auto"/>
              </w:rPr>
            </w:pPr>
            <w:r>
              <w:rPr>
                <w:rFonts w:ascii="Arial" w:cs="Arial" w:eastAsia="Arial" w:hAnsi="Arial"/>
                <w:sz w:val="18"/>
                <w:szCs w:val="18"/>
                <w:color w:val="auto"/>
              </w:rPr>
              <w:t>August 15, 2045</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380" w:type="dxa"/>
            <w:vAlign w:val="bottom"/>
          </w:tcPr>
          <w:p>
            <w:pPr>
              <w:ind w:left="240"/>
              <w:spacing w:after="0"/>
              <w:rPr>
                <w:sz w:val="20"/>
                <w:szCs w:val="20"/>
                <w:color w:val="auto"/>
              </w:rPr>
            </w:pPr>
            <w:r>
              <w:rPr>
                <w:rFonts w:ascii="Arial" w:cs="Arial" w:eastAsia="Arial" w:hAnsi="Arial"/>
                <w:sz w:val="18"/>
                <w:szCs w:val="18"/>
                <w:color w:val="auto"/>
                <w:w w:val="91"/>
              </w:rPr>
              <w:t>4.600% per annum, accruing from May 27, 2015 (calculated on the basis of a 360-day year consisting of twelve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30-day months)</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380" w:type="dxa"/>
            <w:vAlign w:val="bottom"/>
          </w:tcPr>
          <w:p>
            <w:pPr>
              <w:ind w:left="240"/>
              <w:spacing w:after="0"/>
              <w:rPr>
                <w:sz w:val="20"/>
                <w:szCs w:val="20"/>
                <w:color w:val="auto"/>
              </w:rPr>
            </w:pPr>
            <w:r>
              <w:rPr>
                <w:rFonts w:ascii="Arial" w:cs="Arial" w:eastAsia="Arial" w:hAnsi="Arial"/>
                <w:sz w:val="18"/>
                <w:szCs w:val="18"/>
                <w:color w:val="auto"/>
              </w:rPr>
              <w:t>February 15 and August 15, commencing August 15, 2015 (short first coupon)</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8380" w:type="dxa"/>
            <w:vAlign w:val="bottom"/>
          </w:tcPr>
          <w:p>
            <w:pPr>
              <w:ind w:left="240"/>
              <w:spacing w:after="0"/>
              <w:rPr>
                <w:sz w:val="20"/>
                <w:szCs w:val="20"/>
                <w:color w:val="auto"/>
              </w:rPr>
            </w:pPr>
            <w:r>
              <w:rPr>
                <w:rFonts w:ascii="Arial" w:cs="Arial" w:eastAsia="Arial" w:hAnsi="Arial"/>
                <w:sz w:val="18"/>
                <w:szCs w:val="18"/>
                <w:color w:val="auto"/>
              </w:rPr>
              <w:t>UST 2.500% due February 15, 2045</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 Price/Yield:</w:t>
            </w:r>
          </w:p>
        </w:tc>
        <w:tc>
          <w:tcPr>
            <w:tcW w:w="8380" w:type="dxa"/>
            <w:vAlign w:val="bottom"/>
          </w:tcPr>
          <w:p>
            <w:pPr>
              <w:ind w:left="240"/>
              <w:spacing w:after="0"/>
              <w:rPr>
                <w:sz w:val="20"/>
                <w:szCs w:val="20"/>
                <w:color w:val="auto"/>
              </w:rPr>
            </w:pPr>
            <w:r>
              <w:rPr>
                <w:rFonts w:ascii="Arial" w:cs="Arial" w:eastAsia="Arial" w:hAnsi="Arial"/>
                <w:sz w:val="18"/>
                <w:szCs w:val="18"/>
                <w:color w:val="auto"/>
              </w:rPr>
              <w:t>88-10 / 3.105%</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380" w:type="dxa"/>
            <w:vAlign w:val="bottom"/>
          </w:tcPr>
          <w:p>
            <w:pPr>
              <w:ind w:left="240"/>
              <w:spacing w:after="0"/>
              <w:rPr>
                <w:sz w:val="20"/>
                <w:szCs w:val="20"/>
                <w:color w:val="auto"/>
              </w:rPr>
            </w:pPr>
            <w:r>
              <w:rPr>
                <w:rFonts w:ascii="Arial" w:cs="Arial" w:eastAsia="Arial" w:hAnsi="Arial"/>
                <w:sz w:val="18"/>
                <w:szCs w:val="18"/>
                <w:color w:val="auto"/>
              </w:rPr>
              <w:t>+150 bps</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380" w:type="dxa"/>
            <w:vAlign w:val="bottom"/>
          </w:tcPr>
          <w:p>
            <w:pPr>
              <w:ind w:left="240"/>
              <w:spacing w:after="0"/>
              <w:rPr>
                <w:sz w:val="20"/>
                <w:szCs w:val="20"/>
                <w:color w:val="auto"/>
              </w:rPr>
            </w:pPr>
            <w:r>
              <w:rPr>
                <w:rFonts w:ascii="Arial" w:cs="Arial" w:eastAsia="Arial" w:hAnsi="Arial"/>
                <w:sz w:val="18"/>
                <w:szCs w:val="18"/>
                <w:color w:val="auto"/>
              </w:rPr>
              <w:t>4.605%</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Optional Redemption:</w:t>
            </w: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The 4.600% Notes due 2045 are redeemable at the option of the Company at any time, in whole or in part, at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4"/>
              </w:rPr>
              <w:t>“Redemption Price.” Prior to February 15, 2045 (six months prior to the maturity of the Notes due 2045),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Redemption Price is the greater of (i) 100% of the principal amount of such notes, and (ii) the sum of the present</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values of the remaining scheduled payments of principal and interest thereon (exclusive of interest accrued to the</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date of redemption) discounted to the redemption date on a semiannual basis at the Treasury Rate plus 25 basis</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points. On and after February 15, 2045 (six months prior to the maturity of the Notes due 2045), the Redemption</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96"/>
              </w:rPr>
              <w:t>Price will equal 100% of the principal amount of such notes. In each case described in this paragraph, the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Redemption Price will include accrued and unpaid interest thereon to the date of redemption</w:t>
            </w:r>
          </w:p>
        </w:tc>
      </w:tr>
      <w:tr>
        <w:trPr>
          <w:trHeight w:val="31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8380" w:type="dxa"/>
            <w:vAlign w:val="bottom"/>
          </w:tcPr>
          <w:p>
            <w:pPr>
              <w:ind w:left="240"/>
              <w:spacing w:after="0"/>
              <w:rPr>
                <w:sz w:val="20"/>
                <w:szCs w:val="20"/>
                <w:color w:val="auto"/>
              </w:rPr>
            </w:pPr>
            <w:r>
              <w:rPr>
                <w:rFonts w:ascii="Arial" w:cs="Arial" w:eastAsia="Arial" w:hAnsi="Arial"/>
                <w:sz w:val="18"/>
                <w:szCs w:val="18"/>
                <w:color w:val="auto"/>
                <w:w w:val="90"/>
              </w:rPr>
              <w:t>An unlimited amount of additional 4.600% Notes due 2045 may be issued. The 4.600% Notes due 2045 and any</w:t>
            </w:r>
          </w:p>
        </w:tc>
      </w:tr>
      <w:tr>
        <w:trPr>
          <w:trHeight w:val="216"/>
        </w:trPr>
        <w:tc>
          <w:tcPr>
            <w:tcW w:w="1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w w:val="89"/>
              </w:rPr>
              <w:t>additional 4.600% Notes due 2045 that may be issued may be treated as a single series for all purposes under the</w:t>
            </w:r>
          </w:p>
        </w:tc>
      </w:tr>
      <w:tr>
        <w:trPr>
          <w:trHeight w:val="230"/>
        </w:trPr>
        <w:tc>
          <w:tcPr>
            <w:tcW w:w="1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380" w:type="dxa"/>
            <w:vAlign w:val="bottom"/>
          </w:tcPr>
          <w:p>
            <w:pPr>
              <w:ind w:left="240"/>
              <w:spacing w:after="0"/>
              <w:rPr>
                <w:sz w:val="20"/>
                <w:szCs w:val="20"/>
                <w:color w:val="auto"/>
              </w:rPr>
            </w:pPr>
            <w:r>
              <w:rPr>
                <w:rFonts w:ascii="Arial" w:cs="Arial" w:eastAsia="Arial" w:hAnsi="Arial"/>
                <w:sz w:val="18"/>
                <w:szCs w:val="18"/>
                <w:color w:val="auto"/>
              </w:rPr>
              <w:t>indenture</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CUSIP / ISIN:</w:t>
            </w:r>
          </w:p>
        </w:tc>
        <w:tc>
          <w:tcPr>
            <w:tcW w:w="8380" w:type="dxa"/>
            <w:vAlign w:val="bottom"/>
          </w:tcPr>
          <w:p>
            <w:pPr>
              <w:ind w:left="240"/>
              <w:spacing w:after="0"/>
              <w:rPr>
                <w:sz w:val="20"/>
                <w:szCs w:val="20"/>
                <w:color w:val="auto"/>
              </w:rPr>
            </w:pPr>
            <w:r>
              <w:rPr>
                <w:rFonts w:ascii="Arial" w:cs="Arial" w:eastAsia="Arial" w:hAnsi="Arial"/>
                <w:sz w:val="18"/>
                <w:szCs w:val="18"/>
                <w:color w:val="auto"/>
              </w:rPr>
              <w:t>20030N BQ3 / US20030NBQ34</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8380" w:type="dxa"/>
            <w:vAlign w:val="bottom"/>
          </w:tcPr>
          <w:p>
            <w:pPr>
              <w:ind w:left="240"/>
              <w:spacing w:after="0"/>
              <w:rPr>
                <w:sz w:val="20"/>
                <w:szCs w:val="20"/>
                <w:color w:val="auto"/>
              </w:rPr>
            </w:pPr>
            <w:r>
              <w:rPr>
                <w:rFonts w:ascii="Arial" w:cs="Arial" w:eastAsia="Arial" w:hAnsi="Arial"/>
                <w:sz w:val="18"/>
                <w:szCs w:val="18"/>
                <w:color w:val="auto"/>
              </w:rPr>
              <w:t>99.925% plus accrued interest, if any, from May 27, 2015</w:t>
            </w:r>
          </w:p>
        </w:tc>
      </w:tr>
      <w:tr>
        <w:trPr>
          <w:trHeight w:val="32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Underwriters’ Discount:</w:t>
            </w:r>
          </w:p>
        </w:tc>
        <w:tc>
          <w:tcPr>
            <w:tcW w:w="8380" w:type="dxa"/>
            <w:vAlign w:val="bottom"/>
          </w:tcPr>
          <w:p>
            <w:pPr>
              <w:ind w:left="240"/>
              <w:spacing w:after="0"/>
              <w:rPr>
                <w:sz w:val="20"/>
                <w:szCs w:val="20"/>
                <w:color w:val="auto"/>
              </w:rPr>
            </w:pPr>
            <w:r>
              <w:rPr>
                <w:rFonts w:ascii="Arial" w:cs="Arial" w:eastAsia="Arial" w:hAnsi="Arial"/>
                <w:sz w:val="18"/>
                <w:szCs w:val="18"/>
                <w:color w:val="auto"/>
              </w:rPr>
              <w:t>0.750%</w:t>
            </w:r>
          </w:p>
        </w:tc>
      </w:tr>
      <w:tr>
        <w:trPr>
          <w:trHeight w:val="306"/>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Net proceeds to Comcast,</w:t>
            </w:r>
          </w:p>
        </w:tc>
        <w:tc>
          <w:tcPr>
            <w:tcW w:w="8380" w:type="dxa"/>
            <w:vAlign w:val="bottom"/>
          </w:tcPr>
          <w:p>
            <w:pPr>
              <w:ind w:left="240"/>
              <w:spacing w:after="0"/>
              <w:rPr>
                <w:sz w:val="20"/>
                <w:szCs w:val="20"/>
                <w:color w:val="auto"/>
              </w:rPr>
            </w:pPr>
            <w:r>
              <w:rPr>
                <w:rFonts w:ascii="Arial" w:cs="Arial" w:eastAsia="Arial" w:hAnsi="Arial"/>
                <w:sz w:val="18"/>
                <w:szCs w:val="18"/>
                <w:color w:val="auto"/>
              </w:rPr>
              <w:t>99.175% per $1,000 principal amount of 4.600% Notes due 2045; $1,685,975,000 total</w:t>
            </w:r>
          </w:p>
        </w:tc>
      </w:tr>
      <w:tr>
        <w:trPr>
          <w:trHeight w:val="23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before expenses:</w:t>
            </w:r>
          </w:p>
        </w:tc>
        <w:tc>
          <w:tcPr>
            <w:tcW w:w="8380" w:type="dxa"/>
            <w:vAlign w:val="bottom"/>
          </w:tcPr>
          <w:p>
            <w:pPr>
              <w:spacing w:after="0"/>
              <w:rPr>
                <w:sz w:val="20"/>
                <w:szCs w:val="20"/>
                <w:color w:val="auto"/>
              </w:rPr>
            </w:pPr>
          </w:p>
        </w:tc>
      </w:tr>
      <w:tr>
        <w:trPr>
          <w:trHeight w:val="365"/>
        </w:trPr>
        <w:tc>
          <w:tcPr>
            <w:tcW w:w="1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380" w:type="dxa"/>
            <w:vAlign w:val="bottom"/>
          </w:tcPr>
          <w:p>
            <w:pPr>
              <w:ind w:left="2800"/>
              <w:spacing w:after="0"/>
              <w:rPr>
                <w:sz w:val="20"/>
                <w:szCs w:val="20"/>
                <w:color w:val="auto"/>
              </w:rPr>
            </w:pPr>
            <w:r>
              <w:rPr>
                <w:rFonts w:ascii="Arial" w:cs="Arial" w:eastAsia="Arial" w:hAnsi="Arial"/>
                <w:sz w:val="18"/>
                <w:szCs w:val="18"/>
                <w:color w:val="auto"/>
              </w:rPr>
              <w:t>5</w:t>
            </w:r>
          </w:p>
        </w:tc>
      </w:tr>
    </w:tbl>
    <w:p>
      <w:pPr>
        <w:ind w:left="2800"/>
        <w:spacing w:after="0"/>
        <w:rPr>
          <w:sz w:val="20"/>
          <w:szCs w:val="20"/>
          <w:color w:val="auto"/>
        </w:rPr>
        <w:sectPr>
          <w:pgSz w:w="11900" w:h="16838" w:orient="portrait"/>
          <w:cols w:equalWidth="0" w:num="1">
            <w:col w:w="11240"/>
          </w:cols>
          <w:pgMar w:left="2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May 27, 2015,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5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Alternatively, the issuer, any underwriter or any dealer participating in the offering will arrange to send you the prospectus if you request it by calling Citigroup Global Markets Inc. at 1-800-831-9146, Goldman, Sachs &amp; Co. at 1-866-471-2526 or </w:t>
      </w:r>
      <w:r>
        <w:rPr>
          <w:rFonts w:ascii="Arial" w:cs="Arial" w:eastAsia="Arial" w:hAnsi="Arial"/>
          <w:sz w:val="16"/>
          <w:szCs w:val="16"/>
          <w:u w:val="single" w:color="auto"/>
          <w:color w:val="auto"/>
        </w:rPr>
        <w:t>prospectus-ny@ny.email.gs.com</w:t>
      </w:r>
      <w:r>
        <w:rPr>
          <w:rFonts w:ascii="Arial" w:cs="Arial" w:eastAsia="Arial" w:hAnsi="Arial"/>
          <w:sz w:val="16"/>
          <w:szCs w:val="16"/>
          <w:color w:val="auto"/>
        </w:rPr>
        <w:t xml:space="preserve"> or Morgan Stanley &amp; Co. LLC at 1-866-718-1649.</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2019-12-08T00:24:19Z</dcterms:created>
  <dcterms:modified xsi:type="dcterms:W3CDTF">2019-12-08T00:24:19Z</dcterms:modified>
</cp:coreProperties>
</file>