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Date of report (Date of earliest event reported): January 28,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tbl>
      <w:tblPr>
        <w:tblLayout w:type="fixed"/>
        <w:tblInd w:w="800" w:type="dxa"/>
        <w:tblCellMar>
          <w:top w:w="0" w:type="dxa"/>
          <w:left w:w="0" w:type="dxa"/>
          <w:bottom w:w="0" w:type="dxa"/>
          <w:right w:w="0" w:type="dxa"/>
        </w:tblCellMar>
      </w:tblPr>
      <w:tr>
        <w:trPr>
          <w:trHeight w:val="529"/>
        </w:trPr>
        <w:tc>
          <w:tcPr>
            <w:tcW w:w="2600" w:type="dxa"/>
            <w:vAlign w:val="bottom"/>
          </w:tcPr>
          <w:p>
            <w:pPr>
              <w:spacing w:after="0"/>
              <w:rPr>
                <w:sz w:val="24"/>
                <w:szCs w:val="24"/>
                <w:color w:val="auto"/>
              </w:rPr>
            </w:pPr>
          </w:p>
        </w:tc>
        <w:tc>
          <w:tcPr>
            <w:tcW w:w="7180" w:type="dxa"/>
            <w:vAlign w:val="bottom"/>
            <w:gridSpan w:val="3"/>
          </w:tcPr>
          <w:p>
            <w:pPr>
              <w:jc w:val="center"/>
              <w:ind w:right="2492"/>
              <w:spacing w:after="0"/>
              <w:rPr>
                <w:sz w:val="20"/>
                <w:szCs w:val="20"/>
                <w:color w:val="auto"/>
              </w:rPr>
            </w:pPr>
            <w:r>
              <w:rPr>
                <w:rFonts w:ascii="Arial" w:cs="Arial" w:eastAsia="Arial" w:hAnsi="Arial"/>
                <w:sz w:val="43"/>
                <w:szCs w:val="43"/>
                <w:b w:val="1"/>
                <w:bCs w:val="1"/>
                <w:color w:val="auto"/>
                <w:w w:val="91"/>
              </w:rPr>
              <w:t>Comcast Corporation</w:t>
            </w:r>
          </w:p>
        </w:tc>
      </w:tr>
      <w:tr>
        <w:trPr>
          <w:trHeight w:val="228"/>
        </w:trPr>
        <w:tc>
          <w:tcPr>
            <w:tcW w:w="2600" w:type="dxa"/>
            <w:vAlign w:val="bottom"/>
          </w:tcPr>
          <w:p>
            <w:pPr>
              <w:spacing w:after="0"/>
              <w:rPr>
                <w:sz w:val="19"/>
                <w:szCs w:val="19"/>
                <w:color w:val="auto"/>
              </w:rPr>
            </w:pPr>
          </w:p>
        </w:tc>
        <w:tc>
          <w:tcPr>
            <w:tcW w:w="7180" w:type="dxa"/>
            <w:vAlign w:val="bottom"/>
            <w:gridSpan w:val="3"/>
          </w:tcPr>
          <w:p>
            <w:pPr>
              <w:jc w:val="center"/>
              <w:ind w:right="2472"/>
              <w:spacing w:after="0"/>
              <w:rPr>
                <w:sz w:val="20"/>
                <w:szCs w:val="20"/>
                <w:color w:val="auto"/>
              </w:rPr>
            </w:pPr>
            <w:r>
              <w:rPr>
                <w:rFonts w:ascii="Arial" w:cs="Arial" w:eastAsia="Arial" w:hAnsi="Arial"/>
                <w:sz w:val="18"/>
                <w:szCs w:val="18"/>
                <w:b w:val="1"/>
                <w:bCs w:val="1"/>
                <w:color w:val="auto"/>
                <w:w w:val="88"/>
              </w:rPr>
              <w:t>(Exact Name of Registrant as Specified in its Charter)</w:t>
            </w:r>
          </w:p>
        </w:tc>
      </w:tr>
      <w:tr>
        <w:trPr>
          <w:trHeight w:val="178"/>
        </w:trPr>
        <w:tc>
          <w:tcPr>
            <w:tcW w:w="2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3680" w:type="dxa"/>
            <w:vAlign w:val="bottom"/>
          </w:tcPr>
          <w:p>
            <w:pPr>
              <w:spacing w:after="0"/>
              <w:rPr>
                <w:sz w:val="15"/>
                <w:szCs w:val="15"/>
                <w:color w:val="auto"/>
              </w:rPr>
            </w:pPr>
          </w:p>
        </w:tc>
      </w:tr>
      <w:tr>
        <w:trPr>
          <w:trHeight w:val="278"/>
        </w:trPr>
        <w:tc>
          <w:tcPr>
            <w:tcW w:w="2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60" w:type="dxa"/>
            <w:vAlign w:val="bottom"/>
            <w:gridSpan w:val="2"/>
          </w:tcPr>
          <w:p>
            <w:pPr>
              <w:jc w:val="center"/>
              <w:ind w:right="3592"/>
              <w:spacing w:after="0"/>
              <w:rPr>
                <w:sz w:val="20"/>
                <w:szCs w:val="20"/>
                <w:color w:val="auto"/>
              </w:rPr>
            </w:pPr>
            <w:r>
              <w:rPr>
                <w:rFonts w:ascii="Arial" w:cs="Arial" w:eastAsia="Arial" w:hAnsi="Arial"/>
                <w:sz w:val="18"/>
                <w:szCs w:val="18"/>
                <w:b w:val="1"/>
                <w:bCs w:val="1"/>
                <w:color w:val="auto"/>
                <w:w w:val="86"/>
              </w:rPr>
              <w:t>Pennsylvania</w:t>
            </w:r>
          </w:p>
        </w:tc>
      </w:tr>
      <w:tr>
        <w:trPr>
          <w:trHeight w:val="174"/>
        </w:trPr>
        <w:tc>
          <w:tcPr>
            <w:tcW w:w="2600" w:type="dxa"/>
            <w:vAlign w:val="bottom"/>
          </w:tcPr>
          <w:p>
            <w:pPr>
              <w:spacing w:after="0"/>
              <w:rPr>
                <w:sz w:val="15"/>
                <w:szCs w:val="15"/>
                <w:color w:val="auto"/>
              </w:rPr>
            </w:pPr>
          </w:p>
        </w:tc>
        <w:tc>
          <w:tcPr>
            <w:tcW w:w="7180" w:type="dxa"/>
            <w:vAlign w:val="bottom"/>
            <w:gridSpan w:val="3"/>
          </w:tcPr>
          <w:p>
            <w:pPr>
              <w:jc w:val="center"/>
              <w:ind w:right="2472"/>
              <w:spacing w:after="0"/>
              <w:rPr>
                <w:sz w:val="20"/>
                <w:szCs w:val="20"/>
                <w:color w:val="auto"/>
              </w:rPr>
            </w:pPr>
            <w:r>
              <w:rPr>
                <w:rFonts w:ascii="Arial" w:cs="Arial" w:eastAsia="Arial" w:hAnsi="Arial"/>
                <w:sz w:val="14"/>
                <w:szCs w:val="14"/>
                <w:b w:val="1"/>
                <w:bCs w:val="1"/>
                <w:color w:val="auto"/>
                <w:w w:val="88"/>
              </w:rPr>
              <w:t>(State or Other Jurisdiction of Incorporation)</w:t>
            </w:r>
          </w:p>
        </w:tc>
      </w:tr>
      <w:tr>
        <w:trPr>
          <w:trHeight w:val="393"/>
        </w:trPr>
        <w:tc>
          <w:tcPr>
            <w:tcW w:w="2600" w:type="dxa"/>
            <w:vAlign w:val="bottom"/>
          </w:tcPr>
          <w:p>
            <w:pPr>
              <w:jc w:val="center"/>
              <w:ind w:right="200"/>
              <w:spacing w:after="0"/>
              <w:rPr>
                <w:sz w:val="20"/>
                <w:szCs w:val="20"/>
                <w:color w:val="auto"/>
              </w:rPr>
            </w:pPr>
            <w:r>
              <w:rPr>
                <w:rFonts w:ascii="Arial" w:cs="Arial" w:eastAsia="Arial" w:hAnsi="Arial"/>
                <w:sz w:val="18"/>
                <w:szCs w:val="18"/>
                <w:b w:val="1"/>
                <w:bCs w:val="1"/>
                <w:color w:val="auto"/>
                <w:w w:val="88"/>
              </w:rPr>
              <w:t>001-32871</w:t>
            </w:r>
          </w:p>
        </w:tc>
        <w:tc>
          <w:tcPr>
            <w:tcW w:w="7180" w:type="dxa"/>
            <w:vAlign w:val="bottom"/>
            <w:gridSpan w:val="3"/>
          </w:tcPr>
          <w:p>
            <w:pPr>
              <w:jc w:val="center"/>
              <w:ind w:left="5111"/>
              <w:spacing w:after="0"/>
              <w:rPr>
                <w:sz w:val="20"/>
                <w:szCs w:val="20"/>
                <w:color w:val="auto"/>
              </w:rPr>
            </w:pPr>
            <w:r>
              <w:rPr>
                <w:rFonts w:ascii="Arial" w:cs="Arial" w:eastAsia="Arial" w:hAnsi="Arial"/>
                <w:sz w:val="18"/>
                <w:szCs w:val="18"/>
                <w:b w:val="1"/>
                <w:bCs w:val="1"/>
                <w:color w:val="auto"/>
                <w:w w:val="87"/>
              </w:rPr>
              <w:t>27-0000798</w:t>
            </w:r>
          </w:p>
        </w:tc>
      </w:tr>
      <w:tr>
        <w:trPr>
          <w:trHeight w:val="174"/>
        </w:trPr>
        <w:tc>
          <w:tcPr>
            <w:tcW w:w="2600" w:type="dxa"/>
            <w:vAlign w:val="bottom"/>
          </w:tcPr>
          <w:p>
            <w:pPr>
              <w:jc w:val="center"/>
              <w:ind w:right="220"/>
              <w:spacing w:after="0"/>
              <w:rPr>
                <w:sz w:val="20"/>
                <w:szCs w:val="20"/>
                <w:color w:val="auto"/>
              </w:rPr>
            </w:pPr>
            <w:r>
              <w:rPr>
                <w:rFonts w:ascii="Arial" w:cs="Arial" w:eastAsia="Arial" w:hAnsi="Arial"/>
                <w:sz w:val="14"/>
                <w:szCs w:val="14"/>
                <w:b w:val="1"/>
                <w:bCs w:val="1"/>
                <w:color w:val="auto"/>
                <w:w w:val="88"/>
              </w:rPr>
              <w:t>(Commission File Number)</w:t>
            </w:r>
          </w:p>
        </w:tc>
        <w:tc>
          <w:tcPr>
            <w:tcW w:w="1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80" w:type="dxa"/>
            <w:vAlign w:val="bottom"/>
          </w:tcPr>
          <w:p>
            <w:pPr>
              <w:jc w:val="center"/>
              <w:ind w:left="165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05"/>
        </w:trPr>
        <w:tc>
          <w:tcPr>
            <w:tcW w:w="2600" w:type="dxa"/>
            <w:vAlign w:val="bottom"/>
          </w:tcPr>
          <w:p>
            <w:pPr>
              <w:jc w:val="center"/>
              <w:ind w:right="220"/>
              <w:spacing w:after="0"/>
              <w:rPr>
                <w:sz w:val="20"/>
                <w:szCs w:val="20"/>
                <w:color w:val="auto"/>
              </w:rPr>
            </w:pPr>
            <w:r>
              <w:rPr>
                <w:rFonts w:ascii="Arial" w:cs="Arial" w:eastAsia="Arial" w:hAnsi="Arial"/>
                <w:sz w:val="18"/>
                <w:szCs w:val="18"/>
                <w:b w:val="1"/>
                <w:bCs w:val="1"/>
                <w:color w:val="auto"/>
                <w:w w:val="88"/>
              </w:rPr>
              <w:t>One Comcast Center</w:t>
            </w:r>
          </w:p>
        </w:tc>
        <w:tc>
          <w:tcPr>
            <w:tcW w:w="1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31"/>
        </w:trPr>
        <w:tc>
          <w:tcPr>
            <w:tcW w:w="2600" w:type="dxa"/>
            <w:vAlign w:val="bottom"/>
          </w:tcPr>
          <w:p>
            <w:pPr>
              <w:jc w:val="center"/>
              <w:ind w:right="220"/>
              <w:spacing w:after="0"/>
              <w:rPr>
                <w:sz w:val="20"/>
                <w:szCs w:val="20"/>
                <w:color w:val="auto"/>
              </w:rPr>
            </w:pPr>
            <w:r>
              <w:rPr>
                <w:rFonts w:ascii="Arial" w:cs="Arial" w:eastAsia="Arial" w:hAnsi="Arial"/>
                <w:sz w:val="18"/>
                <w:szCs w:val="18"/>
                <w:b w:val="1"/>
                <w:bCs w:val="1"/>
                <w:color w:val="auto"/>
                <w:w w:val="89"/>
              </w:rPr>
              <w:t>Philadelphia, PA</w:t>
            </w:r>
          </w:p>
        </w:tc>
        <w:tc>
          <w:tcPr>
            <w:tcW w:w="7180" w:type="dxa"/>
            <w:vAlign w:val="bottom"/>
            <w:gridSpan w:val="3"/>
          </w:tcPr>
          <w:p>
            <w:pPr>
              <w:jc w:val="center"/>
              <w:ind w:left="5111"/>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2600" w:type="dxa"/>
            <w:vAlign w:val="bottom"/>
          </w:tcPr>
          <w:p>
            <w:pPr>
              <w:jc w:val="center"/>
              <w:ind w:right="22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1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680" w:type="dxa"/>
            <w:vAlign w:val="bottom"/>
          </w:tcPr>
          <w:p>
            <w:pPr>
              <w:jc w:val="center"/>
              <w:ind w:left="163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375"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2.01 Completion of Acquisition or Disposition of Assets.</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31, 2011, we filed a Current Report on Form 8-K reporting that on January 28, 2011 we closed our transaction with General Electric Company (the “NBCUniversal transaction”) in which we acquired control of the businesses of NBC Universal, Inc. (now named NBCUniversal Media, LLC (“NBCUniversal”)).</w:t>
      </w:r>
    </w:p>
    <w:p>
      <w:pPr>
        <w:spacing w:after="0" w:line="140"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This Form 8-K/A amends the Form 8-K we filed on January 31, 2011 to include NBCUniversal’s audited consolidated financial statements as of December 31, 2010 and 2009 and for the three years ended December 31, 2010, as required by Item 9.01(a) of Form 8-K, and the unaudited pro forma condensed consolidated financial information related to the NBCUniversal transaction, as required by Item 9.01(b) of Form 8-K.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Financial Statements of Businesses Acquired.</w:t>
      </w:r>
    </w:p>
    <w:p>
      <w:pPr>
        <w:spacing w:after="0" w:line="96" w:lineRule="exact"/>
        <w:rPr>
          <w:sz w:val="20"/>
          <w:szCs w:val="20"/>
          <w:color w:val="auto"/>
        </w:rPr>
      </w:pPr>
    </w:p>
    <w:p>
      <w:pPr>
        <w:ind w:right="220" w:firstLine="8"/>
        <w:spacing w:after="0" w:line="268"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NBC Universal, Inc.’s audited consolidated financial statements as of December 31, 2010 and 2009 and for the years ended December 31, 2010, 2009 and 2008 are attached as Exhibit 99.1.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Pro Forma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unaudited pro forma condensed consolidated financial information related to the NBCUniversal transaction is attached as Exhibit 99.2 to this Form 8-K/A.</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96"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KPMG LLP</w:t>
      </w:r>
    </w:p>
    <w:p>
      <w:pPr>
        <w:spacing w:after="0" w:line="117" w:lineRule="exact"/>
        <w:rPr>
          <w:sz w:val="20"/>
          <w:szCs w:val="20"/>
          <w:color w:val="auto"/>
        </w:rPr>
      </w:pPr>
    </w:p>
    <w:p>
      <w:pPr>
        <w:ind w:left="760" w:hanging="742"/>
        <w:spacing w:after="0" w:line="268" w:lineRule="auto"/>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NBC Universal, Inc. Audited Consolidated Financial Statements as of December 31, 2010 and 2009 and for the years ended December 31, 2010, 2009 and 2008</w:t>
      </w:r>
    </w:p>
    <w:p>
      <w:pPr>
        <w:spacing w:after="0" w:line="7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Unaudited Pro Forma Condensed Consolidated Financial Information</w:t>
      </w:r>
    </w:p>
    <w:p>
      <w:pPr>
        <w:sectPr>
          <w:pgSz w:w="11900" w:h="16838" w:orient="portrait"/>
          <w:cols w:equalWidth="0" w:num="1">
            <w:col w:w="11320"/>
          </w:cols>
          <w:pgMar w:left="240" w:top="2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tabs>
          <w:tab w:leader="none" w:pos="600" w:val="left"/>
          <w:tab w:leader="none" w:pos="5940" w:val="left"/>
          <w:tab w:leader="none" w:pos="6380" w:val="left"/>
        </w:tabs>
        <w:rPr>
          <w:sz w:val="20"/>
          <w:szCs w:val="20"/>
          <w:color w:val="auto"/>
        </w:rPr>
      </w:pPr>
      <w:r>
        <w:rPr>
          <w:rFonts w:ascii="Arial" w:cs="Arial" w:eastAsia="Arial" w:hAnsi="Arial"/>
          <w:sz w:val="18"/>
          <w:szCs w:val="18"/>
          <w:color w:val="auto"/>
        </w:rPr>
        <w:t>Date:</w:t>
        <w:tab/>
        <w:t>April 15,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4061460</wp:posOffset>
            </wp:positionH>
            <wp:positionV relativeFrom="paragraph">
              <wp:posOffset>10795</wp:posOffset>
            </wp:positionV>
            <wp:extent cx="3190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R. Block</w:t>
      </w:r>
    </w:p>
    <w:p>
      <w:pPr>
        <w:spacing w:after="0" w:line="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6"/>
          <w:szCs w:val="16"/>
          <w:color w:val="auto"/>
        </w:rPr>
        <w:t>Title:</w:t>
        <w:tab/>
        <w:t>Senior Vice President, General Counsel and Secretary</w:t>
      </w:r>
    </w:p>
    <w:p>
      <w:pPr>
        <w:sectPr>
          <w:pgSz w:w="11900" w:h="16838" w:orient="portrait"/>
          <w:cols w:equalWidth="0" w:num="1">
            <w:col w:w="10940"/>
          </w:cols>
          <w:pgMar w:left="240" w:top="280" w:right="7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Auditors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16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consent to the incorporation by reference in the registration statements of Comcast Corporation on Form S-8 (Nos. 333-101645, 333-101295, 333-104385, 333-121082, 333-123059, 333-130844, 333-130845, 333-130847, 333-150976 and 333-161468) and Form S-3 (No. 333-158816) of our reports dated February 28, 2011, with respect to the consolidated balance sheets of NBC Universal, Inc. and consolidated subsidiaries (“NBC Universal”) as of December 31, 2010 and 2009, and the related consolidated statements of income, equity and cash flows for each of the years in the three-year period ended December 31, 2010, which report appears in the Form 8-K/A of Comcast Corporation dated April 15, 2011.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2011</w:t>
      </w:r>
    </w:p>
    <w:p>
      <w:pPr>
        <w:sectPr>
          <w:pgSz w:w="11900" w:h="16838" w:orient="portrait"/>
          <w:cols w:equalWidth="0" w:num="1">
            <w:col w:w="11420"/>
          </w:cols>
          <w:pgMar w:left="240" w:top="125"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77"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NBC U</w:t>
      </w:r>
      <w:r>
        <w:rPr>
          <w:rFonts w:ascii="Arial" w:cs="Arial" w:eastAsia="Arial" w:hAnsi="Arial"/>
          <w:sz w:val="14"/>
          <w:szCs w:val="14"/>
          <w:color w:val="auto"/>
        </w:rPr>
        <w:t>NIVERSAL</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ONSOLIDATED</w:t>
      </w:r>
      <w:r>
        <w:rPr>
          <w:rFonts w:ascii="Arial" w:cs="Arial" w:eastAsia="Arial" w:hAnsi="Arial"/>
          <w:sz w:val="18"/>
          <w:szCs w:val="18"/>
          <w:color w:val="auto"/>
        </w:rPr>
        <w:t xml:space="preserve"> F</w:t>
      </w:r>
      <w:r>
        <w:rPr>
          <w:rFonts w:ascii="Arial" w:cs="Arial" w:eastAsia="Arial" w:hAnsi="Arial"/>
          <w:sz w:val="14"/>
          <w:szCs w:val="14"/>
          <w:color w:val="auto"/>
        </w:rPr>
        <w:t>INANCIAL</w:t>
      </w:r>
      <w:r>
        <w:rPr>
          <w:rFonts w:ascii="Arial" w:cs="Arial" w:eastAsia="Arial" w:hAnsi="Arial"/>
          <w:sz w:val="18"/>
          <w:szCs w:val="18"/>
          <w:color w:val="auto"/>
        </w:rPr>
        <w:t xml:space="preserve"> S</w:t>
      </w:r>
      <w:r>
        <w:rPr>
          <w:rFonts w:ascii="Arial" w:cs="Arial" w:eastAsia="Arial" w:hAnsi="Arial"/>
          <w:sz w:val="14"/>
          <w:szCs w:val="14"/>
          <w:color w:val="auto"/>
        </w:rPr>
        <w:t>TATEMENTS</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December 31, 2010</w:t>
      </w:r>
    </w:p>
    <w:p>
      <w:pPr>
        <w:sectPr>
          <w:pgSz w:w="11900" w:h="16838" w:orient="portrait"/>
          <w:cols w:equalWidth="0" w:num="1">
            <w:col w:w="10220"/>
          </w:cols>
          <w:pgMar w:left="1440" w:top="12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8"/>
        </w:trPr>
        <w:tc>
          <w:tcPr>
            <w:tcW w:w="9180" w:type="dxa"/>
            <w:vAlign w:val="bottom"/>
          </w:tcPr>
          <w:p>
            <w:pPr>
              <w:ind w:left="4160"/>
              <w:spacing w:after="0"/>
              <w:rPr>
                <w:sz w:val="20"/>
                <w:szCs w:val="20"/>
                <w:color w:val="auto"/>
              </w:rPr>
            </w:pPr>
            <w:r>
              <w:rPr>
                <w:rFonts w:ascii="Arial" w:cs="Arial" w:eastAsia="Arial" w:hAnsi="Arial"/>
                <w:sz w:val="18"/>
                <w:szCs w:val="18"/>
                <w:b w:val="1"/>
                <w:bCs w:val="1"/>
                <w:color w:val="auto"/>
              </w:rPr>
              <w:t>INDEX TO FINANCIAL STATEMENTS</w:t>
            </w:r>
          </w:p>
        </w:tc>
        <w:tc>
          <w:tcPr>
            <w:tcW w:w="2140" w:type="dxa"/>
            <w:vAlign w:val="bottom"/>
          </w:tcPr>
          <w:p>
            <w:pPr>
              <w:spacing w:after="0"/>
              <w:rPr>
                <w:sz w:val="19"/>
                <w:szCs w:val="19"/>
                <w:color w:val="auto"/>
              </w:rPr>
            </w:pPr>
          </w:p>
        </w:tc>
      </w:tr>
      <w:tr>
        <w:trPr>
          <w:trHeight w:val="419"/>
        </w:trPr>
        <w:tc>
          <w:tcPr>
            <w:tcW w:w="9180" w:type="dxa"/>
            <w:vAlign w:val="bottom"/>
          </w:tcPr>
          <w:p>
            <w:pPr>
              <w:spacing w:after="0"/>
              <w:rPr>
                <w:sz w:val="20"/>
                <w:szCs w:val="20"/>
                <w:color w:val="auto"/>
              </w:rPr>
            </w:pPr>
            <w:r>
              <w:rPr>
                <w:rFonts w:ascii="Arial" w:cs="Arial" w:eastAsia="Arial" w:hAnsi="Arial"/>
                <w:sz w:val="18"/>
                <w:szCs w:val="18"/>
                <w:b w:val="1"/>
                <w:bCs w:val="1"/>
                <w:color w:val="auto"/>
              </w:rPr>
              <w:t>NBC Universal, Inc.</w:t>
            </w:r>
          </w:p>
        </w:tc>
        <w:tc>
          <w:tcPr>
            <w:tcW w:w="2140" w:type="dxa"/>
            <w:vAlign w:val="bottom"/>
          </w:tcPr>
          <w:p>
            <w:pPr>
              <w:spacing w:after="0"/>
              <w:rPr>
                <w:sz w:val="24"/>
                <w:szCs w:val="24"/>
                <w:color w:val="auto"/>
              </w:rPr>
            </w:pP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Report of Independent Auditors</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F-2</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Consolidated Balance Sheet as of December 31, 2010 and 2009</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F-3</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Consolidated Statement of Income for the years ended December 31, 2010, 2009 and 2008</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F-4</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Consolidated Statement of Cash Flows for the years ended December 31, 2010, 2009 and 2008</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F-5</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Consolidated Statement of Equity for the years ended December 31, 2010, 2009 and 2008</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F-6</w:t>
            </w:r>
          </w:p>
        </w:tc>
      </w:tr>
      <w:tr>
        <w:trPr>
          <w:trHeight w:val="324"/>
        </w:trPr>
        <w:tc>
          <w:tcPr>
            <w:tcW w:w="918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F-7</w:t>
            </w:r>
          </w:p>
        </w:tc>
      </w:tr>
      <w:tr>
        <w:trPr>
          <w:trHeight w:val="365"/>
        </w:trPr>
        <w:tc>
          <w:tcPr>
            <w:tcW w:w="9180" w:type="dxa"/>
            <w:vAlign w:val="bottom"/>
          </w:tcPr>
          <w:p>
            <w:pPr>
              <w:ind w:left="5600"/>
              <w:spacing w:after="0"/>
              <w:rPr>
                <w:sz w:val="20"/>
                <w:szCs w:val="20"/>
                <w:color w:val="auto"/>
              </w:rPr>
            </w:pPr>
            <w:r>
              <w:rPr>
                <w:rFonts w:ascii="Arial" w:cs="Arial" w:eastAsia="Arial" w:hAnsi="Arial"/>
                <w:sz w:val="18"/>
                <w:szCs w:val="18"/>
                <w:color w:val="auto"/>
              </w:rPr>
              <w:t>F-1</w:t>
            </w:r>
          </w:p>
        </w:tc>
        <w:tc>
          <w:tcPr>
            <w:tcW w:w="21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4"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Independent Auditors’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NBC Universal, Inc.:</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sheets of NBC Universal, Inc. and consolidated subsidiaries (“NBC Universal”) as of December 31, 2010 and 2009, and the related consolidated statements of income, equity and cash flows for each of the years in the three-year period ended December 31, 2010. These consolidated financial statements are the responsibility of NBC Universal’s management. Our responsibility is to express an opinion on these consolidated financial statements based on our audits.</w:t>
      </w:r>
    </w:p>
    <w:p>
      <w:pPr>
        <w:spacing w:after="0" w:line="14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conducted our audits in accordance with auditing standards generally accepted in the United States of America. Those standards require that we plan and perform the audit to obtain reasonable assurance about whether the consolidated financial statements are free of material misstatement. An audit includes consideration of internal control over financial reporting as a basis for designing audit procedures that are appropriate in the circumstances, but not for the purpose of expressing an opinion on the effectiveness of NBC Universal’s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NBC Universal as of December 31, 2010 and 2009, and the results of their operations and their cash flows for each of the years in the three-year period ended December 31, 2010 in conformity with U.S. generally accepted accounting principles.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2011</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40"/>
          </w:cols>
          <w:pgMar w:left="240" w:top="274"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UNIVERSAL,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Short-term loans to parent, net (Note 4)</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8,072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Programming rights (Note 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12,263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Film and television costs (Note 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Investments (Note 6)</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1,723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Noncurrent receivables,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Property and equipment, net (Note 7)</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Goodwill (Note 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19,243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18,642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Intangible assets, net (Note 9)</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8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42,424</w:t>
            </w:r>
          </w:p>
        </w:tc>
        <w:tc>
          <w:tcPr>
            <w:tcW w:w="3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34,139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Accrued participations and residuals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1,291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Program obligations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Long-term debt (Note 11)</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9,090</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borrowings (Note 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Accrued participations, residuals and program obligations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(Note 10)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322"/>
        </w:trPr>
        <w:tc>
          <w:tcPr>
            <w:tcW w:w="98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NBC Universal, Inc. stockholders’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Common stock, $0.01 par value per share, authorized 2,000 and issued 1,000 (Note 16)</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23,592</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tcPr>
          <w:p>
            <w:pPr>
              <w:ind w:left="420"/>
              <w:spacing w:after="0"/>
              <w:rPr>
                <w:sz w:val="20"/>
                <w:szCs w:val="20"/>
                <w:color w:val="auto"/>
              </w:rPr>
            </w:pPr>
            <w:r>
              <w:rPr>
                <w:rFonts w:ascii="Arial" w:cs="Arial" w:eastAsia="Arial" w:hAnsi="Arial"/>
                <w:sz w:val="18"/>
                <w:szCs w:val="18"/>
                <w:color w:val="auto"/>
              </w:rPr>
              <w:t>Accumulated other comprehensive loss (Note 2)</w:t>
            </w:r>
          </w:p>
        </w:tc>
        <w:tc>
          <w:tcPr>
            <w:tcW w:w="10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color w:val="auto"/>
              </w:rPr>
              <w:t>Total NBC Universal, Inc. stockholders’ equity</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23,899</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24,095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982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23,817</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24,105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42,424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34,139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UNIVERSAL,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16,590</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15,085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16,802</w:t>
            </w:r>
          </w:p>
        </w:tc>
        <w:tc>
          <w:tcPr>
            <w:tcW w:w="0" w:type="dxa"/>
            <w:vAlign w:val="bottom"/>
          </w:tcPr>
          <w:p>
            <w:pPr>
              <w:spacing w:after="0"/>
              <w:rPr>
                <w:sz w:val="1"/>
                <w:szCs w:val="1"/>
                <w:color w:val="auto"/>
              </w:rPr>
            </w:pPr>
          </w:p>
        </w:tc>
      </w:tr>
      <w:tr>
        <w:trPr>
          <w:trHeight w:val="322"/>
        </w:trPr>
        <w:tc>
          <w:tcPr>
            <w:tcW w:w="872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(14,037)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(12,870)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(13,943)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(14,386)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(13,217)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(14,311)</w:t>
            </w:r>
          </w:p>
        </w:tc>
        <w:tc>
          <w:tcPr>
            <w:tcW w:w="0" w:type="dxa"/>
            <w:vAlign w:val="bottom"/>
          </w:tcPr>
          <w:p>
            <w:pPr>
              <w:spacing w:after="0"/>
              <w:rPr>
                <w:sz w:val="1"/>
                <w:szCs w:val="1"/>
                <w:color w:val="auto"/>
              </w:rPr>
            </w:pPr>
          </w:p>
        </w:tc>
      </w:tr>
      <w:tr>
        <w:trPr>
          <w:trHeight w:val="329"/>
        </w:trPr>
        <w:tc>
          <w:tcPr>
            <w:tcW w:w="8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Equity in income of investees</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(loss) income, net (Note 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Income before income taxes and noncontrolling interests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 (Note 10)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700" w:type="dxa"/>
            <w:vAlign w:val="bottom"/>
          </w:tcPr>
          <w:p>
            <w:pPr>
              <w:ind w:left="420"/>
              <w:spacing w:after="0"/>
              <w:rPr>
                <w:sz w:val="20"/>
                <w:szCs w:val="20"/>
                <w:color w:val="auto"/>
              </w:rPr>
            </w:pPr>
            <w:r>
              <w:rPr>
                <w:rFonts w:ascii="Arial" w:cs="Arial" w:eastAsia="Arial" w:hAnsi="Arial"/>
                <w:sz w:val="18"/>
                <w:szCs w:val="18"/>
                <w:color w:val="auto"/>
              </w:rPr>
              <w:t>Income before noncontrolling interests</w:t>
            </w: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NBC Universal, Inc. stockholders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1,467</w:t>
            </w:r>
          </w:p>
        </w:tc>
        <w:tc>
          <w:tcPr>
            <w:tcW w:w="16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UNIVERSAL,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Income before noncontrolling interests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1,516</w:t>
            </w:r>
          </w:p>
        </w:tc>
        <w:tc>
          <w:tcPr>
            <w:tcW w:w="12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1,316</w:t>
            </w:r>
          </w:p>
        </w:tc>
        <w:tc>
          <w:tcPr>
            <w:tcW w:w="2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income before noncontrolling interests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film and television costs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Equity in income of investees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received from investees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loss (gain) on investment activity and 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decrease in receivables,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Increase in film and television costs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(2,183)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(2,402)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Increase (decrease) in accounts payable, accrued liabilities, accrued participations and residuals, program</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obligations and deferred revenue</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ind w:left="860"/>
              <w:spacing w:after="0"/>
              <w:rPr>
                <w:sz w:val="20"/>
                <w:szCs w:val="20"/>
                <w:color w:val="auto"/>
              </w:rPr>
            </w:pPr>
            <w:r>
              <w:rPr>
                <w:rFonts w:ascii="Arial" w:cs="Arial" w:eastAsia="Arial" w:hAnsi="Arial"/>
                <w:sz w:val="18"/>
                <w:szCs w:val="18"/>
                <w:color w:val="auto"/>
              </w:rPr>
              <w:t>Proceeds from insurance claim</w:t>
            </w: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Purchases of investments and other assets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received from sale of business, investments and other assets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Proceeds from insurance claim</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329"/>
        </w:trPr>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third party borrowings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9,090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Repayment of third party borrowings</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(1,671)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(1,692)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short-term loans to parent, net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(6,529)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Contributions received from stockholders</w:t>
            </w:r>
          </w:p>
        </w:tc>
        <w:tc>
          <w:tcPr>
            <w:tcW w:w="10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(1,589)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(1,950)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Distributions to noncontrolling interests, net</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(1,181)</w:t>
            </w:r>
          </w:p>
        </w:tc>
        <w:tc>
          <w:tcPr>
            <w:tcW w:w="0" w:type="dxa"/>
            <w:vAlign w:val="bottom"/>
          </w:tcPr>
          <w:p>
            <w:pPr>
              <w:spacing w:after="0"/>
              <w:rPr>
                <w:sz w:val="1"/>
                <w:szCs w:val="1"/>
                <w:color w:val="auto"/>
              </w:rPr>
            </w:pPr>
          </w:p>
        </w:tc>
      </w:tr>
      <w:tr>
        <w:trPr>
          <w:trHeight w:val="20"/>
        </w:trPr>
        <w:tc>
          <w:tcPr>
            <w:tcW w:w="900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0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0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1,084</w:t>
            </w:r>
          </w:p>
        </w:tc>
        <w:tc>
          <w:tcPr>
            <w:tcW w:w="1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197</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80" w:type="dxa"/>
            <w:vAlign w:val="bottom"/>
          </w:tcPr>
          <w:p>
            <w:pPr>
              <w:spacing w:after="0"/>
              <w:rPr>
                <w:sz w:val="20"/>
                <w:szCs w:val="20"/>
                <w:color w:val="auto"/>
              </w:rPr>
            </w:pPr>
            <w:r>
              <w:rPr>
                <w:rFonts w:ascii="Arial" w:cs="Arial" w:eastAsia="Arial" w:hAnsi="Arial"/>
                <w:sz w:val="18"/>
                <w:szCs w:val="18"/>
                <w:color w:val="auto"/>
              </w:rPr>
              <w:t>Cash paid for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UNIVERSAL,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w w:val="91"/>
              </w:rPr>
              <w:t>NBC Universal, Inc. Stockholders</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 other</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2"/>
                <w:szCs w:val="12"/>
                <w:color w:val="auto"/>
              </w:rPr>
            </w:pPr>
          </w:p>
        </w:tc>
        <w:tc>
          <w:tcPr>
            <w:tcW w:w="14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Retained</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Noncontrolling</w:t>
            </w: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4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paid-in capital</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8"/>
              </w:rPr>
              <w:t>income (loss)</w:t>
            </w:r>
          </w:p>
        </w:tc>
        <w:tc>
          <w:tcPr>
            <w:tcW w:w="44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earnings</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interests</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1,547</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NBC Universal, Inc.</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stockholders and noncontrolling interests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1,769</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Capital contributions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(2,135)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23,592</w:t>
            </w: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1,181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attributable to NBC Universal, Inc.</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stockholders and noncontrolling interests</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1,278</w:t>
            </w: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4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87"/>
              </w:rPr>
              <w:t>(1,950)</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8"/>
                <w:szCs w:val="18"/>
                <w:color w:val="auto"/>
              </w:rPr>
              <w:t>Balance, December 31, 2009</w:t>
            </w: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23,592</w:t>
            </w:r>
          </w:p>
        </w:tc>
        <w:tc>
          <w:tcPr>
            <w:tcW w:w="100" w:type="dxa"/>
            <w:vAlign w:val="bottom"/>
          </w:tcPr>
          <w:p>
            <w:pPr>
              <w:spacing w:after="0"/>
              <w:rPr>
                <w:sz w:val="19"/>
                <w:szCs w:val="19"/>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509</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24,105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00" w:type="dxa"/>
            <w:vAlign w:val="bottom"/>
          </w:tcPr>
          <w:p>
            <w:pPr>
              <w:ind w:left="420"/>
              <w:spacing w:after="0"/>
              <w:rPr>
                <w:sz w:val="20"/>
                <w:szCs w:val="20"/>
                <w:color w:val="auto"/>
              </w:rPr>
            </w:pPr>
            <w:r>
              <w:rPr>
                <w:rFonts w:ascii="Arial" w:cs="Arial" w:eastAsia="Arial" w:hAnsi="Arial"/>
                <w:sz w:val="18"/>
                <w:szCs w:val="18"/>
                <w:color w:val="auto"/>
              </w:rPr>
              <w:t>Net income attributable to NBC Universal, Inc.</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stockholders and noncontrolling interests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1,467</w:t>
            </w: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comprehensive income (loss)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1"/>
        </w:trPr>
        <w:tc>
          <w:tcPr>
            <w:tcW w:w="472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(1,586)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(90)</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23,817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8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NBC Universal, Inc. (“NBCU”) is one of the world’s leading media and entertainment companies. We develop, produce and distribute entertainment, news and information, sports and other content for global audiences. Formed in May 2004 through the combination of the National Broadcasting Company (“NBC”) and Vivendi Universal Entertainment, we own and operate a diversified and integrated portfolio of some of the most recognizable media brands in the world. As of December 31, 2010, our common stock was owned 87.7% by General Electric Company (“GE”) (through a wholly-owned subsidiary) and 12.3% by a wholly-owned subsidiary of Vivendi S.A. (“Vivendi”). Our business operations are organized into the following three divisions:</w:t>
      </w:r>
    </w:p>
    <w:p>
      <w:pPr>
        <w:spacing w:after="0" w:line="29" w:lineRule="exact"/>
        <w:rPr>
          <w:sz w:val="20"/>
          <w:szCs w:val="20"/>
          <w:color w:val="auto"/>
        </w:rPr>
      </w:pPr>
    </w:p>
    <w:p>
      <w:pPr>
        <w:ind w:left="900" w:hanging="325"/>
        <w:spacing w:after="0" w:line="29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Media Networks</w:t>
      </w:r>
      <w:r>
        <w:rPr>
          <w:rFonts w:ascii="Arial" w:cs="Arial" w:eastAsia="Arial" w:hAnsi="Arial"/>
          <w:sz w:val="16"/>
          <w:szCs w:val="16"/>
          <w:color w:val="auto"/>
        </w:rPr>
        <w:t>: Media Networks consists principally of our U.S. cable entertainment networks (including USA Network, Syfy, Bravo, Oxygen,</w:t>
      </w:r>
      <w:r>
        <w:rPr>
          <w:rFonts w:ascii="Arial" w:cs="Arial" w:eastAsia="Arial" w:hAnsi="Arial"/>
          <w:sz w:val="16"/>
          <w:szCs w:val="16"/>
          <w:b w:val="1"/>
          <w:bCs w:val="1"/>
          <w:color w:val="auto"/>
        </w:rPr>
        <w:t xml:space="preserve"> </w:t>
      </w:r>
      <w:r>
        <w:rPr>
          <w:rFonts w:ascii="Arial" w:cs="Arial" w:eastAsia="Arial" w:hAnsi="Arial"/>
          <w:sz w:val="16"/>
          <w:szCs w:val="16"/>
          <w:color w:val="auto"/>
        </w:rPr>
        <w:t>Chiller, mun2, Sleuth and Universal HD), our U.S. news and information networks (including MSNBC, CNBC and CNBC World) and our international entertainment and news and information networks (including Syfy Universal, 13th Street Universal, Universal Channel, Diva Universal, CNBC Europe and CNBC Asia); our U.S. broadcast networks (NBC and Telemundo); our 10 NBC and 16 Telemundo owned local television stations; our television production operations; and our digital media properties (consisting primarily of brand-aligned and other websites such as iVillage). In addition, we have equity interests in various media networks and related businesses, including A&amp;E Television Networks (“AETN”).</w:t>
      </w:r>
    </w:p>
    <w:p>
      <w:pPr>
        <w:spacing w:after="0" w:line="29" w:lineRule="exact"/>
        <w:rPr>
          <w:rFonts w:ascii="Arial" w:cs="Arial" w:eastAsia="Arial" w:hAnsi="Arial"/>
          <w:sz w:val="16"/>
          <w:szCs w:val="16"/>
          <w:color w:val="auto"/>
        </w:rPr>
      </w:pPr>
    </w:p>
    <w:p>
      <w:pPr>
        <w:ind w:left="900" w:right="520" w:hanging="325"/>
        <w:spacing w:after="0" w:line="275"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Filmed Entertainment produces, acquires, markets and distributes filmed entertainment and stage plays worldwide in</w:t>
      </w:r>
      <w:r>
        <w:rPr>
          <w:rFonts w:ascii="Arial" w:cs="Arial" w:eastAsia="Arial" w:hAnsi="Arial"/>
          <w:sz w:val="18"/>
          <w:szCs w:val="18"/>
          <w:b w:val="1"/>
          <w:bCs w:val="1"/>
          <w:color w:val="auto"/>
        </w:rPr>
        <w:t xml:space="preserve"> </w:t>
      </w:r>
      <w:r>
        <w:rPr>
          <w:rFonts w:ascii="Arial" w:cs="Arial" w:eastAsia="Arial" w:hAnsi="Arial"/>
          <w:sz w:val="18"/>
          <w:szCs w:val="18"/>
          <w:color w:val="auto"/>
        </w:rPr>
        <w:t>various media formats for theatrical, home entertainment, television and other distribution platforms.</w:t>
      </w:r>
    </w:p>
    <w:p>
      <w:pPr>
        <w:spacing w:after="0" w:line="38" w:lineRule="exact"/>
        <w:rPr>
          <w:rFonts w:ascii="Arial" w:cs="Arial" w:eastAsia="Arial" w:hAnsi="Arial"/>
          <w:sz w:val="18"/>
          <w:szCs w:val="18"/>
          <w:color w:val="auto"/>
        </w:rPr>
      </w:pPr>
    </w:p>
    <w:p>
      <w:pPr>
        <w:ind w:left="900" w:right="260" w:hanging="325"/>
        <w:spacing w:after="0" w:line="256"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Theme Parks consists principally of our Universal Studios Hollywood theme park, our Wet ‘ n Wild water park and fees from</w:t>
      </w:r>
      <w:r>
        <w:rPr>
          <w:rFonts w:ascii="Arial" w:cs="Arial" w:eastAsia="Arial" w:hAnsi="Arial"/>
          <w:sz w:val="18"/>
          <w:szCs w:val="18"/>
          <w:b w:val="1"/>
          <w:bCs w:val="1"/>
          <w:color w:val="auto"/>
        </w:rPr>
        <w:t xml:space="preserve"> </w:t>
      </w:r>
      <w:r>
        <w:rPr>
          <w:rFonts w:ascii="Arial" w:cs="Arial" w:eastAsia="Arial" w:hAnsi="Arial"/>
          <w:sz w:val="18"/>
          <w:szCs w:val="18"/>
          <w:color w:val="auto"/>
        </w:rPr>
        <w:t>intellectual property licenses and other services from third parties that own and operate Universal Studios Japan and Universal Studios Singapore. We also have a 50% equity interest in, and receive special and other fees from, Universal City Development Partners (“UCDP”), which owns Universal Studios Florida and Universal’s Islands of Adventure. References to our “theme parks” refer both to our wholly owned parks and the theme parks owned by UCDP.</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headquarters are located in New York, New York, with operations throughout North America, Europe, South America and Asia.</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December 3, 2009, we entered into an agreement with GE and Comcast Corporation (“Comcast”), pursuant to which GE and Comcast were to form a new venture, NBCUniversal, LLC (“NBCUniversal Holdings”) that would combine our company and certain businesses contributed by Comcast (the “Comcast Content Business”), which we refer to as the Joint Venture Transaction. The Comcast Content Business consists primarily of Comcast’s national cable networks, including E!, Golf Channel, G4, Style and VERSUS, Comcast’s regional cable networks, consisting of ten regional sports networks and three regional community-oriented and news channels, and certain digital media assets, including the Internet websites Fandango and DailyCandy.</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connection with the Joint Venture Transaction, during 2010, we borrowed an aggregate of approximately $9.1 billion, which includes the senior notes in an aggregate principal amount of $4.0 billion that we issued on April 30, 2010 (“April Notes”). A portion of the proceeds from this issuance was used in May to repay amounts due under our two-year term loan agreement (the “Two-Year Term Loan Agreement”). On October 4, 2010, we issued additional senior notes in an aggregate principal amount of $5.1 billion (“October Notes”). We collectively refer to the April Notes and the October Notes as the “2010 Senior Notes”.</w:t>
      </w:r>
    </w:p>
    <w:p>
      <w:pPr>
        <w:spacing w:after="0" w:line="11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On December 3, 2009, GE also entered into a stock purchase agreement with Vivendi (“the Vivendi Stock Purchase Agreement”), pursuant to which GE agreed, among other things, to purchase Vivendi’s remaining interest in our company in connection with the closing of the Joint Venture Transaction. Pursuant to the Vivendi Stock Purchase Agreement, GE purchased from Vivendi, 7.7% of the common stock of our company for $2.0 billion on September 26, 2010.</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274"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On January 26, 2011, GE purchased Vivendi’s remaining 12.3% interest in our company for $3.578 billion, plus $222 million related to the previously purchased shares. In addition, immediately prior to the closing of the Joint Venture Transaction, the remaining proceeds of our 2010 Senior Notes were used to distribute approximately $7.4 billion to GE.</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closed the Joint Venture Transaction on January 28, 2011, pursuant to which our company was converted to a limited liability company, NBCUniversal Media LLC, (“NBCUniversal”), and Comcast contributed the Comcast Content Business to NBCUniversal. NBCUniversal is now indirectly owned 51% by Comcast and 49% by GE. Refer to Note 19 for further details.</w:t>
      </w:r>
    </w:p>
    <w:p>
      <w:pPr>
        <w:spacing w:after="0" w:line="215" w:lineRule="exact"/>
        <w:rPr>
          <w:sz w:val="20"/>
          <w:szCs w:val="20"/>
          <w:color w:val="auto"/>
        </w:rPr>
      </w:pPr>
    </w:p>
    <w:p>
      <w:pPr>
        <w:ind w:left="240" w:right="7900" w:hanging="232"/>
        <w:spacing w:after="0" w:line="417" w:lineRule="auto"/>
        <w:tabs>
          <w:tab w:leader="none" w:pos="260"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Summary of significant accounting policies </w:t>
      </w:r>
      <w:r>
        <w:rPr>
          <w:rFonts w:ascii="Arial" w:cs="Arial" w:eastAsia="Arial" w:hAnsi="Arial"/>
          <w:sz w:val="15"/>
          <w:szCs w:val="15"/>
          <w:b w:val="1"/>
          <w:bCs w:val="1"/>
          <w:i w:val="1"/>
          <w:iCs w:val="1"/>
          <w:color w:val="auto"/>
        </w:rPr>
        <w:t>Accounting principles and consolidation</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Our consolidated financial statements are prepared in conformity with U.S. generally accepted accounting principles (“US GAAP”).</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consolidated financial statements include the consolidated accounts of NBCU and our subsidiaries, companies that we control and in which we hold a majority voting interest, generally defined as more than 50%, and/or variable interest entities (“VIEs”) where we are the primary beneficiary and are required to consolidate in accordance with US GAAP. Intra-company transactions have been eliminated. Significant transactions between NBCU and GE, Vivendi, their affiliates and other associated companies are reflected in these consolidated financial statements and disclosed as related party transactions, where material.</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Certain reclassifications have been made in the 2009 and 2008 consolidated financial statements and notes to conform to the current period’s presentation.</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FASB accounting standards codification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On July 1, 2009 the Financial Accounting Standards Board (“FASB”) issued Accounting Standards Codification (“Codification” or “ASC”) 105 </w:t>
      </w:r>
      <w:r>
        <w:rPr>
          <w:rFonts w:ascii="Arial" w:cs="Arial" w:eastAsia="Arial" w:hAnsi="Arial"/>
          <w:sz w:val="16"/>
          <w:szCs w:val="16"/>
          <w:i w:val="1"/>
          <w:iCs w:val="1"/>
          <w:color w:val="auto"/>
        </w:rPr>
        <w:t>Generally</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Accepted Accounting Principles, </w:t>
      </w:r>
      <w:r>
        <w:rPr>
          <w:rFonts w:ascii="Arial" w:cs="Arial" w:eastAsia="Arial" w:hAnsi="Arial"/>
          <w:sz w:val="16"/>
          <w:szCs w:val="16"/>
          <w:color w:val="auto"/>
        </w:rPr>
        <w:t>which combines all previously issued authoritative US GAAP into one codified set of guidance organized by subject area and</w:t>
      </w:r>
      <w:r>
        <w:rPr>
          <w:rFonts w:ascii="Arial" w:cs="Arial" w:eastAsia="Arial" w:hAnsi="Arial"/>
          <w:sz w:val="16"/>
          <w:szCs w:val="16"/>
          <w:i w:val="1"/>
          <w:iCs w:val="1"/>
          <w:color w:val="auto"/>
        </w:rPr>
        <w:t xml:space="preserve"> </w:t>
      </w:r>
      <w:r>
        <w:rPr>
          <w:rFonts w:ascii="Arial" w:cs="Arial" w:eastAsia="Arial" w:hAnsi="Arial"/>
          <w:sz w:val="16"/>
          <w:szCs w:val="16"/>
          <w:color w:val="auto"/>
        </w:rPr>
        <w:t>supersedes all existing non-SEC accounting and reporting standards. Subsequent revisions will be effected through Accounting Standards Updates (“ASU’s”), which will serve to update the Codification, provide background information about the guidance, and provide the basis for conclusions on the changes to the Codification. We have included references to the Codification, as appropriate, in these financial statements.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preparation of consolidated financial statements in conformity with US GAAP requires us to make estimates and assumptions that affect the reported amounts of assets and liabilities and related disclosure of contingent assets and liabilities and reported amounts of revenue and expenses. Actual results could differ from those estimates.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amortize capitalized film and television costs, as well as associated participation and residual payments, on an individual production basis using the ratio of the current period’s actual revenue to estimated total remaining gross revenue from all sources (“Ultimate Revenue”). Estimates of total revenue and costs are based on anticipated release patterns, public acceptance and historical results for similar productions. The most significant estimates made by us in the preparation of these consolidated financial statements relate to Ultimate Revenue; estimates of DVD returns and customer incentives; provision for doubtful accounts; allocation of purchase price to assets acquired and liabilities assumed in a business combination; income taxes and accruals for contingent liabilities; and impairment assessments for film and television productions, property and equipment, and goodwill and non-amortizing intangible assets, including trade names and Federal Communications Commission (“FCC”) licenses.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80"/>
          </w:cols>
          <w:pgMar w:left="240" w:top="274"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and cash equivalents consist of cash on hand and highly liquid investments with original maturities of three months or less.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Receivables</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Receivables are recorded net of a provision for doubtful accounts of $85 million and $145 million, as well as estimated allowances for DVD returns and customer incentives of $485 million and $491 million, at December 31, 2010 and 2009, respectively. Bad debt expense, excluding recoveries, recorded during the years ended December 31, 2010, 2009, and 2008, was approximately $12 million, $59 million and $54 million, respectively.</w:t>
      </w:r>
    </w:p>
    <w:p>
      <w:pPr>
        <w:spacing w:after="0" w:line="107"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 xml:space="preserve">Certain eligible trade receivables are monetized through various GE programs. These monetization transactions are accounted for as sales in accordance with ASC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See Note 4 for further discussion on our monetization programs with GE.</w:t>
      </w:r>
    </w:p>
    <w:p>
      <w:pPr>
        <w:spacing w:after="0" w:line="8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Included in our consolidated balance sheet at December 31, 2010 and 2009, are unbilled receivables related to long-term television distribution contracts in the amounts of $307 million and $623 million, respectively, of current receivables and $435 million and $273 million, respectively, of noncurrent receivables (net of imputed interest).</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trade receivables do not represent a significant concentration of credit risk at December 31, 2010 due to the wide variety of customers and markets into which our products are sold and their dispersion across geographic areas.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Inventories, consisting of home entertainment units and theme park merchandise, are stated at the lower of cost (determined by the first-in, first-out method) or realizable values. Inventories are included in other current assets in our consolidated balance sheet.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determine the appropriate classification of our investments in securities at the time of purchase. Marketable equity securities classified as available-for-sale securities are reported at fair value based on quoted market prices or, if quoted prices are not available, discounted expected cash flows using market rates commensurate with the credit quality and maturity of the investment. Unrealized gains and losses, net of taxes, on available-for-sale securities are included as a separate component of other comprehensive income until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use the equity method to account for investments in which we have the ability to exercise significant influence over the investee’s operating and financial policies, referred to within our financial statements as “investees”. Equity method investments are recorded at cost and are adjusted to recognize (i) our proportionate share of the investee’s net income or losses after the date of investment, (ii) amortization of basis differences, (iii) additional contributions made and dividends received, and (iv) impairments resulting from other-than-temporary declines in fair value. For certain investments, we record our share of the investee’s net income or losses one quarter in arrears due to the timing of our receipt of such information. Gains or losses on the sale of equity method investments, as well as impairments, are recorded to other income, net.</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regularly review investment securities for impairment based on both quantitative and qualitative criteria that include the extent to which the investment’s carrying value exceeds its fair value, the duration of the market decline, our intent or requirement to sell the investment before recovery of our amortized cost and the financial health and specific prospects of the issuer of the security. Management makes certain assumptions and estimates as part of its review and therefore actual results could differ materially. Unrealized losses that are other-than-temporary are recognized in other income, net. Realized gains and losses are accounted for using the specific identification method. Refer to Note 12 for further discussion on fair value estimates.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74" w:right="2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Film and television costs and acquired programming</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capitalize film and television production costs, including direct costs, production overhead, print costs, development costs and interest. We do not capitalize costs related to film exploitation, which are principally costs associated with film and television program marketing and distribution. We amortize capitalized film and television production costs, as well as associated participation and residual payments, on an individual production basis using the ratio of the current period’s actual revenue to our estimate of Ultimate Revenue. Actual results could differ materially from those estimates. Unamortized film and television costs are stated at the lower of unamortized cost or fair value.</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Acquired film and television libraries are amortized on a straight-line basis over a period not to exceed 20 years. Unamortized film and television libraries are stated at the lower of unamortized cost or fair value. Amortization expense related to both our film and television capitalized costs and libraries, is recorded in operating costs and expenses in our consolidated statement of income.</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capitalize the costs to license programming content, including rights to multi-year live-event based sports programming, at the earlier of acquisition or when the license period begins and the content is available for use. Capitalized programming costs are amortized when we broadcast the associated programs, whereas multi-year live-event based sports programming rights are amortized using the ratio of the current period actual revenue to estimated total direct revenue or on a straight-line basis over the contract period, as appropriate.</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costs of acquired programming are stated at the lower of unamortized costs or net realizable value on a program-by-program, package, channel or daypart basis, as appropriate. A daypart is defined as an aggregation of programs broadcasted during a particular time of day or programs of a similar type. Our cable programming networks are typically tested individually for impairment, whereas the NBC and Telemundo broadcast networks are tested on a daypart basis. An impairment charge may be necessary if our estimates of future cash flows are insufficient or when there is no plan to air.</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enter into arrangements with third parties to jointly finance and/or distribute many of our film productions. These arrangements, which are referred to as co-financing arrangements, can take various forms, but in most cases, the form of the arrangement involves the grant of an economic interest in a film to an investor. The parties to these arrangements can also vary, yet in most cases the investor assumes full risk for that portion of the film acquired in these transactions. We account for our proceeds under these arrangements as a reduction of our capitalized film costs. In these arrangements, the third-party investor owns an undivided copyright interest in the film and, therefore, in each period we reflect either a charge or benefit to operating costs and expenses in our consolidated statement of income to reflect the estimate of the third-party investor’s interest in the profits or losses of the film. Consistent with the requirements of ASC 926, </w:t>
      </w:r>
      <w:r>
        <w:rPr>
          <w:rFonts w:ascii="Arial" w:cs="Arial" w:eastAsia="Arial" w:hAnsi="Arial"/>
          <w:sz w:val="16"/>
          <w:szCs w:val="16"/>
          <w:i w:val="1"/>
          <w:iCs w:val="1"/>
          <w:color w:val="auto"/>
        </w:rPr>
        <w:t>Entertainment—Films</w:t>
      </w:r>
      <w:r>
        <w:rPr>
          <w:rFonts w:ascii="Arial" w:cs="Arial" w:eastAsia="Arial" w:hAnsi="Arial"/>
          <w:sz w:val="16"/>
          <w:szCs w:val="16"/>
          <w:color w:val="auto"/>
        </w:rPr>
        <w:t>, the estimate of the third-party investor’s interest in profits or losses of a film is determined by reference to the ratio of actual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earned to date in relation to total estimated Ultimate Revenue.</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Property and equipment are stated at cost. Depreciation is determined using the straight-line method over the estimated useful lives of the assets, generally 10 to 40 years for buildings and 3 to 10 years for furniture, fixtures and equipment. Leasehold improvements are amortized over the shorter of the economic useful life of the improvement or the lease period. We review long-lived assets for impairment whenever events or changes in circumstances indicate that the carrying amount of the assets may not be recoverable and, if impaired, write the assets down to fair value.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660" w:firstLine="456"/>
        <w:spacing w:after="0" w:line="332" w:lineRule="auto"/>
        <w:rPr>
          <w:sz w:val="20"/>
          <w:szCs w:val="20"/>
          <w:color w:val="auto"/>
        </w:rPr>
      </w:pPr>
      <w:r>
        <w:rPr>
          <w:rFonts w:ascii="Arial" w:cs="Arial" w:eastAsia="Arial" w:hAnsi="Arial"/>
          <w:sz w:val="16"/>
          <w:szCs w:val="16"/>
          <w:color w:val="auto"/>
        </w:rPr>
        <w:t>We do not amortize goodwill, but test it annually for impairment using a fair value approach at the reporting unit level during the third quarter and whenever events or circumstances indicate it is more likely than not that the fair value of a reporting unit has fallen below its carrying amount.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274" w:right="2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reporting unit is generally the operating segment, or a business one level below that operating segment (the component level). We recognize an impairment charge for any amount by which the carrying amount of a reporting unit’s goodwill exceeds its fair value.</w:t>
      </w:r>
    </w:p>
    <w:p>
      <w:pPr>
        <w:spacing w:after="0" w:line="132"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determine the fair value of our reporting units based on the income approach. When available and as appropriate, we use comparative market multiples to corroborate the income approach. Under the income approach, we calculate the fair value of a reporting unit based on the present value of estimated future cash flows. We use our internal forecasts to estimate future cash flows and include an estimate of future growth rates based on our views of the long-term outlook for each business. Estimating the fair value of reporting units involves the use of estimates and significant judgments that are based on a number of factors including actual operating results. If current conditions change from those expected, it is possible that the judgments and estimates described above could change in future periods. Our annual goodwill impairment analysis, which we performed during the third quarter of 2010, did not result in an impairment charge.</w:t>
      </w:r>
    </w:p>
    <w:p>
      <w:pPr>
        <w:spacing w:after="0" w:line="105"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When all or a portion of a business within a reporting unit is disposed of, goodwill is allocated to the gain or loss on disposition using the relative fair values of the business disposed of and the portion of the reporting unit that will be retained.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Capitalized software</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software costs are included in intangible assets, net in our consolidated balance sheet and are amortized on a straight-line basis over the estimated useful lives of the software, not to exceed 5 years.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intangibles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amortize the cost of other intangibles over their estimated useful lives unless such lives are deemed indefinite. Finite-lived intangible assets are amortized on a straight-line basis over periods ranging from 2 to 20 years. Intangible assets subject to amortization are tested for impairment using undiscounted cash flows whenever events or changes in circumstances indicate that the carrying amount of the assets may not be recoverable and, if impaired, written down to fair value based on either discounted cash flows or third-party valuations.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do not amortize indefinite-lived intangible assets, but test them annually for impairment during the third quarter and whenever events or circumstances indicate it is more likely than not that the fair value has fallen below its carrying amount. We use discounted cash flows to establish fair values, corroborated by market multiples when available, reliable and appropriate.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 xml:space="preserve">We account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with substantially all of our domestic subsidiaries included in the consolidated U.S. federal income tax return and certain combined state income tax returns of GE.</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a party to a Tax Sharing Agreement (“TSA”) with GE. The TSA provides for the settlement of income tax liabilities and benefits between NBCU and GE relating to tax returns that include both companies on a consolidated or combined basis. Under the TSA, income taxes are computed on a separate-company basis, and we recognize a benefit in the calculation of our provision for income taxes to the extent that foreign tax credits, capital losses and other tax attributes generated by NBCU can be utilized both on a separate-company basis and in the consolidated or combined income tax returns of GE.</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Deferred federal, state and foreign income taxes are provided for temporary differences between the carrying amounts of assets and liabilities and their tax bases, as well as for certain other tax attributes, and are stated at enacted tax rates expected to be in effect when the related tax liabilities are actually paid or the related income tax benefits are actually realized. We regularly review the recoverability of our deferred income tax assets. Valuation allowances are recorded to the extent that the recoverability of a deferred income tax asset is not considered to be more likely than not.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274"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record liabilities for uncertain income tax positions taking into account the likelihood that the position will more likely than not be sustained on audit by the appropriate tax authority and the amount likely to be realized upon ultimate settlement.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recognize revenue when it is realized or realizable and earned. We consider revenue realized or realizable and earned when persuasive evidence of an arrangement exists, delivery has occurred, the sales price is fixed and determinable, and collectability is reasonably assured. Determining whether some or all of these criteria have been met involves assumptions and judgments.</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sell access to our cable programming, television broadcast and Internet audience on a daypart, channel or platform basis. These arrangements require us to deliver an advertising unit often accompanied by an audience rating guarantee. We recognize advertising revenue, net of applicable agency commission, as advertising units are aired or viewed, net of a provision for audience deficiency.</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enter into multi-year distribution arrangements with Multi-channel Video Programming Distributors (“MVPDs”). These arrangements obligate us to deliver programming over a specified term, on a per-channel basis, in exchange for a subscription fee. We record contractually stated subscription fees as revenue over the license period. When these arrangements obligate us to deliver live-event based programming for a specified subscription fee, we defer the recognition of the contractually stated fees, until the specified programming is delivered to the MVPD.</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Revenue from the theatrical distribution of films is recognized when films are exhibited. Revenue from the licensing of film and television productions is recorded when the content is available for use by the licensee, and when certain other conditions are met. When license fees are contracted as part-cash and part-advertising time, the advertising time component is recognized when the advertising units are aired. Revenue from home entertainment units, net of estimated returns and customer incentives, are recognized on the date that units are delivered to and made available for sale by retailers.</w:t>
      </w:r>
    </w:p>
    <w:p>
      <w:pPr>
        <w:spacing w:after="0" w:line="11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Revenue from advance theme park ticket sales is recognized when the tickets are used. For non-expiring, multi-day or annual passes, revenue is recognized over the period of benefit based on estimated usage patterns that are derived from historical data. Revenue from corporate sponsors at the theme parks is generally recognized over the period of the applicable contract.</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also enter into non-monetary exchanges of advertising units for other advertising units, products or services. Advertising units exchanged for advertising units are recorded at the fair value of advertising units provided and recognized when aired. Advertising units exchanged for products or services are recorded at the fair value of the goods or services received or advertising units provided. Advertising units provided are recognized when aired and costs are recognized in the period the products or services are used.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Third party advertising costs are expensed as incurred, which is when the advertising is exhibited or aired, and totaled $1.435 billion, $1.493 billion and $1.909 billion for the years ended December 31, 2010, 2009 and 2008,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translation</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Functional currencies are determined based on appropriate economic and management indicators. Our reporting currency is the U.S. dollar. Assets and liabilities of non-U.S. dollar functional currency operations, primarily the euro and the pound sterling, are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translated into U.S. dollars at the exchange rates in effect at the consolidated balance sheet date. Revenue and expenses of these functional currency operations are translated into U.S. dollars at the average rates of exchange prevailing during the period. Translation adjustments are included as a separate component of other comprehensive income.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 xml:space="preserve">We use derivative financial instruments primarily to manage our exposure to the risks associated with fluctuations in foreign currency. Our objective is to manage the financial and operational exposure arising from these risks by offsetting gains and losses on the underlying exposures with gains and losses on the derivatives used to economically hedge them. We account for derivative instruments in accordance with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(“ASC 815”). ASC 815 requires that all derivative instruments be recognized on the balance sheet at fair value. In addition, ASC 815 provides that for derivative instruments that qualify for hedge accounting, changes in the fair value will either be offset against the change in fair value of the hedged assets, liabilities or firm commitments through income or recognized in stockholders’ equity as a component of other comprehensive income until the hedged item is recognized in income, depending on whether the derivative is being used to hedge changes in fair value or cash flows. The ineffective portion of a derivative’s change in fair value is immediately recognized in income. For hedge relationships discontinued because a forecasted transaction is not expected to occur by the end of the originally specified period, any related derivative amounts recorded as a component of accumulated other comprehensive loss is reclassified to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the normal course of business, we are subject to loss contingencies as well as contractual and other commercial commitments. We recognize liabilities for contingencies and commitments when losses are probable and can be reasonably estimated.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Certain of our employees (and, in limited circumstances, selected consultants, advisors and independent contractors), participate in GE’s stock-based compensation plans, which provide for the issuance of a variety of stock-based awards such as stock options and restricted stock units (“RSUs”). NBCU and GE follow the provisions of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which require that a company measure the cost of employee services received in exchange for an award of stock-based equity instruments based on the grant-date fair value of the award. The cost associated with the issuance of stock-based awards is recognized in our consolidated statement of income over the period during which an employee is expected to provide service in exchange for the award. The accounting for such plans, including assumptions used to determine the fair value of options and the resulting compensation expense, is determined and recorded at GE, and a charge related to the cost associated with NBCU employees is charged to NBCU as a component of GE’s corporate overhead allocation, which we settle in cash with GE. See Note 4.</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Comprehensive income is reported in our consolidated statement of equity as a component of stockholders’ equity and consists of net income and other gains and losses affecting stockholders’ equity that, under US GAAP, are excluded from net income. For us, such items consist primarily of unrealized gains and losses on marketable equity securities, gains and losses on certain derivative financial instruments, minimum pension liabilities and foreign currency translation gains and losses.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274"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summary sets forth the components of other comprehensive income (loss), net of tax, accumulated in stockholders’ equity: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Foreign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exchange</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currency</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and interest</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for sale</w:t>
            </w:r>
          </w:p>
        </w:tc>
        <w:tc>
          <w:tcPr>
            <w:tcW w:w="2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Pension</w:t>
            </w: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translation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rate swap</w:t>
            </w:r>
          </w:p>
        </w:tc>
        <w:tc>
          <w:tcPr>
            <w:tcW w:w="560" w:type="dxa"/>
            <w:vAlign w:val="bottom"/>
          </w:tcPr>
          <w:p>
            <w:pPr>
              <w:spacing w:after="0"/>
              <w:rPr>
                <w:sz w:val="14"/>
                <w:szCs w:val="14"/>
                <w:color w:val="auto"/>
              </w:rPr>
            </w:pPr>
          </w:p>
        </w:tc>
        <w:tc>
          <w:tcPr>
            <w:tcW w:w="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79"/>
              </w:rPr>
              <w:t>securities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0"/>
              </w:rPr>
              <w:t>costs</w:t>
            </w:r>
          </w:p>
        </w:tc>
        <w:tc>
          <w:tcPr>
            <w:tcW w:w="560" w:type="dxa"/>
            <w:vAlign w:val="bottom"/>
          </w:tcPr>
          <w:p>
            <w:pPr>
              <w:spacing w:after="0"/>
              <w:rPr>
                <w:sz w:val="14"/>
                <w:szCs w:val="14"/>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adjustment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2007</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Unrealized gain (loss)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(157)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to income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Unrealized gain (loss)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114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to income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Unrealized gain (loss)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 to income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Income taxes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1, 2010 we adopted ASU 2009-17, which amended guidance related to the consolidation of VIEs.</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Among other changes, the guidance replaced the existing quantitative approach for identifying the party that should consolidate a VIE (which was based on exposure to a majority of the risks and rewards), with a qualitative approach, based on the determination of which party has the power to direct the most economically significant activities of the entity. The revised guidance changed the composition of entities that meet the definition of a VIE and the determination of which party should consolidate a VIE as the primary beneficiary. It further requires the latter to be evaluated continuously and requires enhanced disclosure of our relationships with VIEs in our consolidated financial statements.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a result of adopting the new guidance, our joint venture in Station Venture Holdings, LLC (“Station Venture”) with LIN TV Corp. (“LIN TV”), which we have in prior periods accounted for as an equity-method investment, met the definition of a VIE, and is included in our consolidated financial statements as of and for the year ended December 31, 2010.</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On January 1, 2010, we began to consolidate the assets and liabilities of Station Venture at amounts that would have been reported in our consolidated balance sheet had we consolidated the entity since its formation. The incremental effect of consolidation on total assets and liabilities, net of our investment, was an increase of approximately $643 million and $821 million, respectively, primarily related to incremental goodwill associated with our acquired interest in a television station contributed to the joint venture at the date of formation, and the assumption of related debt. At the date of adoption we also recorded a net reduction to equity of approximately $178 million, relating primarily to the recognition of noncontrolling interests and amortization of goodwill for periods prior to the adoption of ASC 350, Intangibles-Goodwill and Other. Station Venture incurs interest expense of approximately $66 million per year, 80% of which has historically been reflected in our consolidated statement of income through equity income (loss) in investees. No adjustment has been made to the consolidated statement of income for the year ended December 31, 2009 to reclassify the interest expense from equity in income of investees.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27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Post adoption, 100% of Station Venture interest expense of $66 million for the year ended December 31, 2010 is recorded in our consolidated statement of income as interest expense, and 20% of this expense is then reflected as noncontrolling interest. As such, the consolidation has no net impact on our consolidated statement of income. Refer to Note 4 for additional information on the debt obligation of Station Venture.</w:t>
      </w:r>
    </w:p>
    <w:p>
      <w:pPr>
        <w:spacing w:after="0" w:line="140" w:lineRule="exact"/>
        <w:rPr>
          <w:sz w:val="20"/>
          <w:szCs w:val="20"/>
          <w:color w:val="auto"/>
        </w:rPr>
      </w:pPr>
    </w:p>
    <w:p>
      <w:pPr>
        <w:ind w:right="640" w:firstLine="456"/>
        <w:spacing w:after="0" w:line="306" w:lineRule="auto"/>
        <w:rPr>
          <w:sz w:val="20"/>
          <w:szCs w:val="20"/>
          <w:color w:val="auto"/>
        </w:rPr>
      </w:pPr>
      <w:r>
        <w:rPr>
          <w:rFonts w:ascii="Arial" w:cs="Arial" w:eastAsia="Arial" w:hAnsi="Arial"/>
          <w:sz w:val="16"/>
          <w:szCs w:val="16"/>
          <w:color w:val="auto"/>
        </w:rPr>
        <w:t xml:space="preserve">We also adopted ASU 2009-16 on January 1, 2010, which amended guidance provided by ASC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and modified the de-recognition criteria in a manner that significantly narrows the types of transactions that qualify as sales. The financial statement impact of adopting this amendment to the transfer and sale of financial assets was insignificant to our consolidated financial statements.</w:t>
      </w:r>
    </w:p>
    <w:p>
      <w:pPr>
        <w:spacing w:after="0" w:line="107" w:lineRule="exact"/>
        <w:rPr>
          <w:sz w:val="20"/>
          <w:szCs w:val="20"/>
          <w:color w:val="auto"/>
        </w:rPr>
      </w:pPr>
    </w:p>
    <w:p>
      <w:pPr>
        <w:ind w:right="820" w:firstLine="456"/>
        <w:spacing w:after="0" w:line="256" w:lineRule="auto"/>
        <w:rPr>
          <w:sz w:val="20"/>
          <w:szCs w:val="20"/>
          <w:color w:val="auto"/>
        </w:rPr>
      </w:pPr>
      <w:r>
        <w:rPr>
          <w:rFonts w:ascii="Arial" w:cs="Arial" w:eastAsia="Arial" w:hAnsi="Arial"/>
          <w:sz w:val="18"/>
          <w:szCs w:val="18"/>
          <w:color w:val="auto"/>
        </w:rPr>
        <w:t xml:space="preserve">In December 2007, the FASB issued an amendment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This amendment changed the accounting for business acquisitions both during the period of an acquisition and in subsequent periods. The adoption of this authoritative guidance did not affect our historical consolidated financial statements, but will impact future business combinations. This amendment was adopted effective January 1, 2009 for business combinations occurring after that date.</w:t>
      </w:r>
    </w:p>
    <w:p>
      <w:pPr>
        <w:spacing w:after="0" w:line="143"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In December 2007, the FASB issued an amendment to ASC 810, </w:t>
      </w:r>
      <w:r>
        <w:rPr>
          <w:rFonts w:ascii="Arial" w:cs="Arial" w:eastAsia="Arial" w:hAnsi="Arial"/>
          <w:sz w:val="16"/>
          <w:szCs w:val="16"/>
          <w:i w:val="1"/>
          <w:iCs w:val="1"/>
          <w:color w:val="auto"/>
        </w:rPr>
        <w:t>Consolidation</w:t>
      </w:r>
      <w:r>
        <w:rPr>
          <w:rFonts w:ascii="Arial" w:cs="Arial" w:eastAsia="Arial" w:hAnsi="Arial"/>
          <w:sz w:val="16"/>
          <w:szCs w:val="16"/>
          <w:color w:val="auto"/>
        </w:rPr>
        <w:t>, which changes the accounting for noncontrolling interests in a consolidated subsidiary, including the presentation of noncontrolling interests in financial statements. Application of this guidance requires that increases and decreases in our controlling financial interests in consolidated subsidiaries will be reported in equity similar to treasury stock transactions. If a change in ownership of a consolidated subsidiary results in loss of control and deconsolidation, any retained ownership interests are remeasured to fair value with the gain or loss reported in net income. We adopted this guidance on January 1, 2009 and it is being applied prospectively, except for the provisions related to the presentation of noncontrolling interests, which have been applied retroactively. The changes relating to the presentation within the financial statements include a requirement to classify income attributable to noncontrolling interests (previously referred to as “minority interests”) as part of consolidated net income and to include the accumulated amount of noncontrolling interests within stockholders’ equity. The net income amounts we have previously reported for the year ended December 31, 2008 are now presented as “Net income attributable to NBC Universal, Inc. stockholders”.</w:t>
      </w:r>
    </w:p>
    <w:p>
      <w:pPr>
        <w:spacing w:after="0" w:line="12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In December 2007, the FASB issued ASC 808, </w:t>
      </w:r>
      <w:r>
        <w:rPr>
          <w:rFonts w:ascii="Arial" w:cs="Arial" w:eastAsia="Arial" w:hAnsi="Arial"/>
          <w:sz w:val="18"/>
          <w:szCs w:val="18"/>
          <w:i w:val="1"/>
          <w:iCs w:val="1"/>
          <w:color w:val="auto"/>
        </w:rPr>
        <w:t>Collaborative Arrangements</w:t>
      </w:r>
      <w:r>
        <w:rPr>
          <w:rFonts w:ascii="Arial" w:cs="Arial" w:eastAsia="Arial" w:hAnsi="Arial"/>
          <w:sz w:val="18"/>
          <w:szCs w:val="18"/>
          <w:color w:val="auto"/>
        </w:rPr>
        <w:t>, which defines collaborative arrangements and establishes accounting and reporting requirements for transactions between participants in the arrangement and third parties. We adopted the provisions of this guidance on January 1, 2009, which did not affect our historical consolidated financial statements.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March 2008, the FASB issued authoritative guidance amending and expanding the disclosure requirements for derivative instruments and hedging activities, with the intent to provide users of financial statements with an enhanced understanding of how and why an entity uses derivative instruments, how derivative instruments and related hedged items are accounted for, and how derivative instruments and related hedged items affect an entity’s financial statements. We adopted this guidance, which was incorporated into ASC 815 as of January 1, 2009. See Note 13.</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September 2006, the FASB issued guidance on fair value measurements, which redefined fair value, established a new framework for measuring value and expanded disclosures about fair value measurements. The new guidance is codified in ASC 820</w:t>
      </w:r>
      <w:r>
        <w:rPr>
          <w:rFonts w:ascii="Arial" w:cs="Arial" w:eastAsia="Arial" w:hAnsi="Arial"/>
          <w:sz w:val="16"/>
          <w:szCs w:val="16"/>
          <w:i w:val="1"/>
          <w:iCs w:val="1"/>
          <w:color w:val="auto"/>
        </w:rPr>
        <w:t>, Fair Value Measurements and Disclosures</w:t>
      </w:r>
      <w:r>
        <w:rPr>
          <w:rFonts w:ascii="Arial" w:cs="Arial" w:eastAsia="Arial" w:hAnsi="Arial"/>
          <w:sz w:val="16"/>
          <w:szCs w:val="16"/>
          <w:color w:val="auto"/>
        </w:rPr>
        <w:t xml:space="preserve"> (“ASC 820”). We adopted ASC 820 in two steps; effective January 1, 2008, for all financial instruments and recurring fair value measurements of non-financial assets and liabilities and effective January 1, 2009, for all remaining fair value measurements, including non-recurring measurements of non-financial assets and liabilities such as those used in measuring impairments of goodwill, other intangible assets and other long-lived assets. See Note 12.</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September 2009, the FASB issued amendments to existing standards for revenue arrangements with multiple components. The amendments generally require the allocation of consideration to separate components based on the relative selling price of each component in a revenue arrangement. The amendments also require certain software-enabled products to be accounted for under the general accounting standards for multiple component arrangements as opposed to accounting standards specifically applicable to software arrangements. The amendments are effective prospectively for revenue arrangements entered into or materially modified after January 1, 2011. The financial statement impact of adopting these amendments is expected to be insignificant to our consolidated financial statements.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January 2010, the FASB issued amendments to existing standards for fair value measurement and related disclosures. The amendments included requirements for increased disclosure with respect to purchases, sales, issuances and settlements in the roll forward of our Level 3 fair value measurements. The amendments are effective after January 1, 2011. The financial statement impact of adopting these amendments is expected to be insignificant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dispositions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As discussed further in Note 19, we closed the Joint Venture Transaction with GE and Comcast on January 28, 2011. Due to the change in control of our company from GE to Comcast, we will apply acquisition accounting in the first quarter of 2011 to reflect the transaction, including adjusting our assets and liabilities to fair value as of the date of acquisition.</w:t>
      </w:r>
    </w:p>
    <w:p>
      <w:pPr>
        <w:spacing w:after="0" w:line="14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There were no significant acquisitions or dispositions that were completed during the years ended December 31, 2010 and 2009, that affected our consolidated financial statements.</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June 2008, we sold the cable network, The Sundance Channel (“Sundance”) to Cablevision Systems Corporation for $230 million, net of cash and transaction costs. The transaction was effected through the acquisition of our interest in Sundance by a newly formed subsidiary of GE, which in turn sold the interest to Cablevision Systems Corporation in exchange for 12.7 million shares of GE common stock. We recorded a pre-tax gain of $84 million on the sale of Sundance.</w:t>
      </w:r>
    </w:p>
    <w:p>
      <w:pPr>
        <w:spacing w:after="0" w:line="218" w:lineRule="exact"/>
        <w:rPr>
          <w:sz w:val="20"/>
          <w:szCs w:val="20"/>
          <w:color w:val="auto"/>
        </w:rPr>
      </w:pPr>
    </w:p>
    <w:p>
      <w:pPr>
        <w:ind w:left="240" w:right="9060" w:hanging="232"/>
        <w:spacing w:after="0" w:line="417" w:lineRule="auto"/>
        <w:tabs>
          <w:tab w:leader="none" w:pos="26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b w:val="1"/>
          <w:bCs w:val="1"/>
          <w:i w:val="1"/>
          <w:iCs w:val="1"/>
          <w:color w:val="auto"/>
        </w:rPr>
        <w:t>Transactions with GE</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The table below presents amounts due to and due from GE and its affiliates, which are included in our consolidated balance sheet:</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8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2010</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2"/>
                <w:szCs w:val="12"/>
                <w:color w:val="auto"/>
              </w:rPr>
            </w:pPr>
          </w:p>
        </w:tc>
      </w:tr>
      <w:tr>
        <w:trPr>
          <w:trHeight w:val="210"/>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Amounts due from GE and affiliates</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Receivables, net (a)</w:t>
            </w:r>
          </w:p>
        </w:tc>
        <w:tc>
          <w:tcPr>
            <w:tcW w:w="2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Short-term loans to parent (b)</w:t>
            </w:r>
          </w:p>
        </w:tc>
        <w:tc>
          <w:tcPr>
            <w:tcW w:w="2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8,072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1,547</w:t>
            </w:r>
          </w:p>
        </w:tc>
        <w:tc>
          <w:tcPr>
            <w:tcW w:w="60" w:type="dxa"/>
            <w:vAlign w:val="bottom"/>
            <w:shd w:val="clear" w:color="auto" w:fill="CCEEFF"/>
          </w:tcPr>
          <w:p>
            <w:pPr>
              <w:spacing w:after="0"/>
              <w:rPr>
                <w:sz w:val="18"/>
                <w:szCs w:val="18"/>
                <w:color w:val="auto"/>
              </w:rPr>
            </w:pPr>
          </w:p>
        </w:tc>
      </w:tr>
      <w:tr>
        <w:trPr>
          <w:trHeight w:val="322"/>
        </w:trPr>
        <w:tc>
          <w:tcPr>
            <w:tcW w:w="4860" w:type="dxa"/>
            <w:vAlign w:val="bottom"/>
          </w:tcPr>
          <w:p>
            <w:pPr>
              <w:spacing w:after="0"/>
              <w:rPr>
                <w:sz w:val="20"/>
                <w:szCs w:val="20"/>
                <w:color w:val="auto"/>
              </w:rPr>
            </w:pPr>
            <w:r>
              <w:rPr>
                <w:rFonts w:ascii="Arial" w:cs="Arial" w:eastAsia="Arial" w:hAnsi="Arial"/>
                <w:sz w:val="18"/>
                <w:szCs w:val="18"/>
                <w:b w:val="1"/>
                <w:bCs w:val="1"/>
                <w:i w:val="1"/>
                <w:iCs w:val="1"/>
                <w:color w:val="auto"/>
              </w:rPr>
              <w:t>Amounts due to GE and affiliates</w:t>
            </w: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8"/>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(c)</w:t>
            </w:r>
          </w:p>
        </w:tc>
        <w:tc>
          <w:tcPr>
            <w:tcW w:w="2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60" w:type="dxa"/>
            <w:vAlign w:val="bottom"/>
            <w:shd w:val="clear" w:color="auto" w:fill="CCEEFF"/>
          </w:tcPr>
          <w:p>
            <w:pPr>
              <w:spacing w:after="0"/>
              <w:rPr>
                <w:sz w:val="18"/>
                <w:szCs w:val="18"/>
                <w:color w:val="auto"/>
              </w:rPr>
            </w:pPr>
          </w:p>
        </w:tc>
      </w:tr>
      <w:tr>
        <w:trPr>
          <w:trHeight w:val="222"/>
        </w:trPr>
        <w:tc>
          <w:tcPr>
            <w:tcW w:w="4860" w:type="dxa"/>
            <w:vAlign w:val="bottom"/>
          </w:tcPr>
          <w:p>
            <w:pPr>
              <w:spacing w:after="0"/>
              <w:rPr>
                <w:sz w:val="20"/>
                <w:szCs w:val="20"/>
                <w:color w:val="auto"/>
              </w:rPr>
            </w:pPr>
            <w:r>
              <w:rPr>
                <w:rFonts w:ascii="Arial" w:cs="Arial" w:eastAsia="Arial" w:hAnsi="Arial"/>
                <w:sz w:val="18"/>
                <w:szCs w:val="18"/>
                <w:color w:val="auto"/>
              </w:rPr>
              <w:t>Other liabilities (d)</w:t>
            </w:r>
          </w:p>
        </w:tc>
        <w:tc>
          <w:tcPr>
            <w:tcW w:w="2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r>
    </w:tbl>
    <w:p>
      <w:pPr>
        <w:spacing w:after="0" w:line="18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Primarily relates to our monetization program with GE.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00"/>
          </w:cols>
          <w:pgMar w:left="240" w:top="274"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Primarily represents our cash on deposit and proceeds from our 2010 Senior Notes in excess of that used to repay our existing debt obligations.</w:t>
      </w:r>
    </w:p>
    <w:p>
      <w:pPr>
        <w:spacing w:after="0" w:line="38"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Relates to cash collected on trade receivables to be paid to GE under our monetization program and other services provided by GE as described below and is recorded in accounts payable and accrued liabilities in our consolidated balance sheet.</w:t>
      </w:r>
    </w:p>
    <w:p>
      <w:pPr>
        <w:ind w:left="460" w:right="20" w:hanging="452"/>
        <w:spacing w:after="0" w:line="323"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financing costs associated with the issuance of our 2010 Senior Notes that will be reimbursed to GE and Comcast within one year of the closing of the Joint Venture Transaction, which are recorded in accounts payable and accrued liabilities in our consolidated balance sheet.</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Station Venture Note</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own an approximately 79 percent economic interest and a 50 percent voting interest in Station Venture, which through its ownership interest in Station Venture, LP (“Station LP”) holds an indirect interest in the NBC Network-affiliated local television stations in Dallas, Texas and San Diego, California, and the remaining interests are held by LIN TV. Station Venture is consolidated in our financial statements as of December 31, 2010. Station Venture is the obligor on an $816 million senior secured note due in 2023, which is non-recourse to us and is due to General Electric Capital Corporation, a subsidiary of GE. The note is collateralized by substantially all of the assets of Station Venture and Station Venture LP, and is guaranteed by LIN TV. The note bears interest at an annual rate of 8% until March 2, 2013 and 9% thereafter and is presented as Related party borrowings on our consolidated balance sheet as of December 31, 2010.</w:t>
      </w:r>
    </w:p>
    <w:p>
      <w:pPr>
        <w:spacing w:after="0" w:line="120" w:lineRule="exact"/>
        <w:rPr>
          <w:sz w:val="20"/>
          <w:szCs w:val="20"/>
          <w:color w:val="auto"/>
        </w:rPr>
      </w:pPr>
    </w:p>
    <w:p>
      <w:pPr>
        <w:jc w:val="both"/>
        <w:ind w:right="440" w:firstLine="456"/>
        <w:spacing w:after="0" w:line="370" w:lineRule="auto"/>
        <w:rPr>
          <w:sz w:val="20"/>
          <w:szCs w:val="20"/>
          <w:color w:val="auto"/>
        </w:rPr>
      </w:pPr>
      <w:r>
        <w:rPr>
          <w:rFonts w:ascii="Arial" w:cs="Arial" w:eastAsia="Arial" w:hAnsi="Arial"/>
          <w:sz w:val="15"/>
          <w:szCs w:val="15"/>
          <w:color w:val="auto"/>
        </w:rPr>
        <w:t>As a result of the closing of the Joint Venture Transaction on January 28, 2011, GE has indemnified us for all liabilities we will incur as a result of the senior secured note, or under any related credit support, risk of loss or similar arrangement in existence prior to the closing of the Joint Venture Transaction.</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Services provided by GE</w:t>
      </w:r>
    </w:p>
    <w:p>
      <w:pPr>
        <w:spacing w:after="0" w:line="9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GE provides us with a number of services, including legal, payroll, procurement, sourcing support, insurance, tax, human resources, employee benefits, treasury and cash management, real estate, marketing and communications, environmental, health and safety, research and development, infrastructure, insurance, risk management, corporate aircraft, IT and systems technology support. Some of these services are provided directly by GE, and others are managed by GE through third-party service providers. The cost of certain of these services is either (a) recognized through our allocated portion of GE’s corporate overhead; or</w:t>
      </w:r>
    </w:p>
    <w:p>
      <w:pPr>
        <w:spacing w:after="0" w:line="3" w:lineRule="exact"/>
        <w:rPr>
          <w:sz w:val="20"/>
          <w:szCs w:val="20"/>
          <w:color w:val="auto"/>
        </w:rPr>
      </w:pPr>
    </w:p>
    <w:p>
      <w:pPr>
        <w:ind w:right="120" w:firstLine="8"/>
        <w:spacing w:after="0" w:line="331" w:lineRule="auto"/>
        <w:tabs>
          <w:tab w:leader="none" w:pos="249" w:val="left"/>
        </w:tabs>
        <w:numPr>
          <w:ilvl w:val="0"/>
          <w:numId w:val="8"/>
        </w:numPr>
        <w:rPr>
          <w:rFonts w:ascii="Arial" w:cs="Arial" w:eastAsia="Arial" w:hAnsi="Arial"/>
          <w:sz w:val="15"/>
          <w:szCs w:val="15"/>
          <w:color w:val="auto"/>
        </w:rPr>
      </w:pPr>
      <w:r>
        <w:rPr>
          <w:rFonts w:ascii="Arial" w:cs="Arial" w:eastAsia="Arial" w:hAnsi="Arial"/>
          <w:sz w:val="15"/>
          <w:szCs w:val="15"/>
          <w:color w:val="auto"/>
        </w:rPr>
        <w:t>billed directly to us (such as most of our employee benefit costs). The cost of other services is included within the service itself, and the incremental cost for GE to provide the service is not discernible (such as payroll processing services included within the cost of payroll). In addition, we and our affiliates obtain a variety of goods (such as supplies and equipment) and services under various master purchasing and service agreements to which GE (and not NBCU) is a party.</w:t>
      </w:r>
    </w:p>
    <w:p>
      <w:pPr>
        <w:spacing w:after="0" w:line="90"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We receive an allocated share of GE’s corporate overhead for certain services that GE provides to us, but which are not specifically billed to us, such as public relations, investor relations, treasury and internal audit services. Costs of $155 million, $159 million and $153 million for the years ended December 31, 2010, 2009 and 2008, respectively, were recorded in our consolidated statement of income for our allocated share of GE’s corporate overhead.</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 benefits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employees participate in GE’s primary pension plan, which is a defined benefit plan administered by GE. Our participation in that plan is accounted for as a participant in a multi-employer plan, and as such, we record expense only to the extent that we are required to fund the plan. Because we have not been required to fund the plan, we have not recorded any expense in our consolidated financial statements for each of the years ended December 31, 2010, 2009 and 2008 associated with our participation in the plan.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274" w:right="2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In addition to the primary pension plan, certain of our employees are also covered under a GE supplemental pension plan. We recorded expense of $18 million for each of the years ended December 31, 2010, 2009 and 2008 as a result of charges from GE related to these supplemental plans.</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Most of our employees and retirees are also covered under a number of health and life insurance plans, principally through GE’s principal retiree benefit plans. The costs to us for providing these benefits were $197 million, $169 million and $162 million for the years ended December 31, 2010, 2009 and 2008, respectively.</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employees participate in GE’s defined contribution savings plan that allows an employee to contribute a portion of their pay to the plan on a pre-tax basis. GE matches 50% of these contributions up to a maximum of 8% of the employee’s pay. Our costs associated with this plan totaled $33 million for the years ended December 31, 2010 and 2009 and $32 million for the year ended December 31, 2008.</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pooling and short-term loans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participate in cash pooling arrangements with a number of GE affiliates. Under these arrangements, we pay or receive interest, at a rate commensurate with market pricing for short-term borrowings or deposits, based on amounts payable to or receivable from GE. The effects of these transactions are included in financing activities in our consolidated statement of cash flows. We recorded net interest income of $7 million, $7 million and $17 million for the years ended December 31, 2010, 2009 and 2008, respectively, in our consolidated statement of income.</w:t>
      </w:r>
    </w:p>
    <w:p>
      <w:pPr>
        <w:spacing w:after="0" w:line="113"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In February 2009, we borrowed $1.670 billion from GE to temporarily finance the repayment of our term loan due in 2009. The short-term loan accrued interest at LIBOR plus 1.925% and matured in August 2009. We repaid the loan with proceeds from our new term loan due 2011.</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From time to time, GE also has provided guarantees, letters of credit, and other support arrangements on our behalf.</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generated revenue of $87 million, $67 million and $77 million from media advertising sales to GE and its affiliates for the years ended December 31, 2010, 2009 and 2008, respectively.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NFL Reimbursement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GE reimburses us for fees paid on its behalf to the NFL for the rights to market and produce goods and services to the NFL and its member teams, in connection with our contract to produce and broadcast various regular season, playoff, Pro Bowl and Super Bowl games. In each of the years ended December 31, 2010, 2009 and 2008, we received $50 million from GE, which was recorded as an offset to programming costs.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Real Estate Leases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paid to GE and its affiliates $60 million, $8 million and $14 million for the use of certain space in 30 Rockefeller Plaza for the years ended December 31, 2010, 2009 and 2008, respectively. CNBC also leases studio and office space from an affiliate of GE. The CNBC lease contains a residual value guarantee, the amount of which is reduced as CNBC performs under the lease and remains in the space. Total rent expense for CNBC was $7 million for each the years ended December 31, 2010, 2009 and 2008.</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Operating Leases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a variety of equipment, including golf carts, fleet cars, personal computers, point of service terminals and projectors, from affiliates of GE, under operating leases. Total amounts paid to GE and its affiliates under these leases for the years ended December 31, 2010, 2009 and 2008 were $7 million, $5 million and $25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274"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 investment</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FCC licenses are currently held by entities in which GE owns an interest by virtue of its indirect ownership of preferred stock in one of our subsidiaries, which pays a 6.72% annual dividend. In connection with the acquisition of preferred stock by GE, we acquired preferred stock of a subsidiary of GE for an equivalent amount, which pays an equivalent dividend. For each of the years ended December 31, 2010, 2009 and 2008 we recorded $21 million of dividend income within other income in our consolidated statement of income related to our preferred interest.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Receivables monetization</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have monetized our trade accounts receivable through two programs established for GE and various GE subsidiaries. We account for receivables monetized through both programs as sales in accordance with ASC 860. We retain limited interests in the assets sold; however, we have provided reserves for all expected losses with respect to these interests. The accounts receivable we sold that underlie the retained interests are generally short-term in nature, and therefore, the fair value of the retained interests approximated their carrying value (net of provision for doubtful accounts) at both December 31, 2010 and 2009.</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An affiliate of GE retains the responsibility for servicing the receivables and remitting collections to the owner and the lenders, and we receive a fee for performing this sub-service on such affiliate’s behalf. The income we receive in exchange for this service is equal to the prevailing market rate for such services, and accordingly, no servicing asset or liability has been recorded on the consolidated balance sheet as of December 31, 2010 and 2009. We received sub-servicing fees of $9 million for the year ended December 31, 2010, and $8 million for each of the years ended December 31, 2009 and 2008, respectively, which is included in other income, net in our consolidated statement of income.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represents the receivables transferred to the two programs that remain outstanding and our retained interests in those receivables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w:t>
      </w:r>
    </w:p>
    <w:p>
      <w:pPr>
        <w:spacing w:after="0" w:line="201"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5725160</wp:posOffset>
            </wp:positionH>
            <wp:positionV relativeFrom="paragraph">
              <wp:posOffset>0</wp:posOffset>
            </wp:positionV>
            <wp:extent cx="909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ind w:left="9140"/>
        <w:spacing w:after="0"/>
        <w:tabs>
          <w:tab w:leader="none" w:pos="10040" w:val="left"/>
        </w:tabs>
        <w:rPr>
          <w:sz w:val="20"/>
          <w:szCs w:val="20"/>
          <w:color w:val="auto"/>
        </w:rPr>
      </w:pPr>
      <w:r>
        <w:rPr>
          <w:rFonts w:ascii="Arial" w:cs="Arial" w:eastAsia="Arial" w:hAnsi="Arial"/>
          <w:sz w:val="14"/>
          <w:szCs w:val="14"/>
          <w:b w:val="1"/>
          <w:bCs w:val="1"/>
          <w:color w:val="auto"/>
        </w:rPr>
        <w:t>2010</w:t>
      </w:r>
      <w:r>
        <w:rPr>
          <w:sz w:val="20"/>
          <w:szCs w:val="20"/>
          <w:color w:val="auto"/>
        </w:rPr>
        <w:tab/>
      </w:r>
      <w:r>
        <w:rPr>
          <w:rFonts w:ascii="Arial" w:cs="Arial" w:eastAsia="Arial" w:hAnsi="Arial"/>
          <w:sz w:val="14"/>
          <w:szCs w:val="14"/>
          <w:b w:val="1"/>
          <w:bCs w:val="1"/>
          <w:color w:val="auto"/>
        </w:rPr>
        <w:t>2009</w:t>
      </w:r>
    </w:p>
    <w:p>
      <w:pPr>
        <w:spacing w:after="0" w:line="20" w:lineRule="exact"/>
        <w:rPr>
          <w:sz w:val="20"/>
          <w:szCs w:val="20"/>
          <w:color w:val="auto"/>
        </w:rPr>
      </w:pPr>
    </w:p>
    <w:tbl>
      <w:tblPr>
        <w:tblLayout w:type="fixed"/>
        <w:tblInd w:w="920" w:type="dxa"/>
        <w:tblCellMar>
          <w:top w:w="0" w:type="dxa"/>
          <w:left w:w="0" w:type="dxa"/>
          <w:bottom w:w="0" w:type="dxa"/>
          <w:right w:w="0" w:type="dxa"/>
        </w:tblCellMar>
      </w:tblPr>
      <w:tr>
        <w:trPr>
          <w:trHeight w:val="20"/>
        </w:trPr>
        <w:tc>
          <w:tcPr>
            <w:tcW w:w="5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52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Monetized receivables outstanding</w:t>
            </w:r>
          </w:p>
        </w:tc>
        <w:tc>
          <w:tcPr>
            <w:tcW w:w="354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8"/>
                <w:szCs w:val="18"/>
                <w:color w:val="auto"/>
              </w:rPr>
              <w:t>$1,446</w:t>
            </w:r>
          </w:p>
        </w:tc>
        <w:tc>
          <w:tcPr>
            <w:tcW w:w="7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$1,540</w:t>
            </w: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Our retained interest</w:t>
            </w:r>
          </w:p>
        </w:tc>
        <w:tc>
          <w:tcPr>
            <w:tcW w:w="3540" w:type="dxa"/>
            <w:vAlign w:val="bottom"/>
            <w:gridSpan w:val="3"/>
          </w:tcPr>
          <w:p>
            <w:pPr>
              <w:jc w:val="right"/>
              <w:ind w:right="220"/>
              <w:spacing w:after="0"/>
              <w:rPr>
                <w:sz w:val="20"/>
                <w:szCs w:val="20"/>
                <w:color w:val="auto"/>
              </w:rPr>
            </w:pPr>
            <w:r>
              <w:rPr>
                <w:rFonts w:ascii="Arial" w:cs="Arial" w:eastAsia="Arial" w:hAnsi="Arial"/>
                <w:sz w:val="18"/>
                <w:szCs w:val="18"/>
                <w:color w:val="auto"/>
              </w:rPr>
              <w:t>74</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r>
    </w:tbl>
    <w:p>
      <w:pPr>
        <w:spacing w:after="0" w:line="147"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In addition to the above receivables, we had $500 million and $385 million payable to our securitization programs at December 31, 2010 and 2009 respectively. These amounts represent cash received on monetized receivables not yet remitted to the program at the balance sheet date, and are recorded in accounts payable and accrued liabilities on our consolidated balance sheet.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certain activities related to the securitization programs: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7"/>
              </w:rPr>
              <w:t>December 31,</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60" w:type="dxa"/>
            <w:vAlign w:val="bottom"/>
          </w:tcPr>
          <w:p>
            <w:pPr>
              <w:spacing w:after="0"/>
              <w:rPr>
                <w:sz w:val="12"/>
                <w:szCs w:val="12"/>
                <w:color w:val="auto"/>
              </w:rPr>
            </w:pPr>
          </w:p>
        </w:tc>
        <w:tc>
          <w:tcPr>
            <w:tcW w:w="66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on transfers</w:t>
            </w:r>
          </w:p>
        </w:tc>
        <w:tc>
          <w:tcPr>
            <w:tcW w:w="2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Net proceeds on new transfers</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$197</w:t>
            </w:r>
          </w:p>
        </w:tc>
        <w:tc>
          <w:tcPr>
            <w:tcW w:w="480" w:type="dxa"/>
            <w:vAlign w:val="bottom"/>
            <w:gridSpan w:val="2"/>
          </w:tcPr>
          <w:p>
            <w:pPr>
              <w:spacing w:after="0"/>
              <w:rPr>
                <w:sz w:val="20"/>
                <w:szCs w:val="20"/>
                <w:color w:val="auto"/>
              </w:rPr>
            </w:pPr>
            <w:r>
              <w:rPr>
                <w:rFonts w:ascii="Arial" w:cs="Arial" w:eastAsia="Arial" w:hAnsi="Arial"/>
                <w:sz w:val="18"/>
                <w:szCs w:val="18"/>
                <w:color w:val="auto"/>
              </w:rPr>
              <w:t>$201</w:t>
            </w:r>
          </w:p>
        </w:tc>
      </w:tr>
      <w:tr>
        <w:trPr>
          <w:trHeight w:val="102"/>
        </w:trPr>
        <w:tc>
          <w:tcPr>
            <w:tcW w:w="49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 on income from services</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Net loss on sale</w:t>
            </w:r>
          </w:p>
        </w:tc>
        <w:tc>
          <w:tcPr>
            <w:tcW w:w="2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(24)</w:t>
            </w:r>
          </w:p>
        </w:tc>
        <w:tc>
          <w:tcPr>
            <w:tcW w:w="1120" w:type="dxa"/>
            <w:vAlign w:val="bottom"/>
            <w:gridSpan w:val="3"/>
          </w:tcPr>
          <w:p>
            <w:pPr>
              <w:ind w:left="300"/>
              <w:spacing w:after="0"/>
              <w:rPr>
                <w:sz w:val="20"/>
                <w:szCs w:val="20"/>
                <w:color w:val="auto"/>
              </w:rPr>
            </w:pPr>
            <w:r>
              <w:rPr>
                <w:rFonts w:ascii="Arial" w:cs="Arial" w:eastAsia="Arial" w:hAnsi="Arial"/>
                <w:sz w:val="18"/>
                <w:szCs w:val="18"/>
                <w:color w:val="auto"/>
              </w:rPr>
              <w:t>$ (30)</w:t>
            </w:r>
          </w:p>
        </w:tc>
        <w:tc>
          <w:tcPr>
            <w:tcW w:w="480" w:type="dxa"/>
            <w:vAlign w:val="bottom"/>
            <w:gridSpan w:val="2"/>
          </w:tcPr>
          <w:p>
            <w:pPr>
              <w:spacing w:after="0"/>
              <w:rPr>
                <w:sz w:val="20"/>
                <w:szCs w:val="20"/>
                <w:color w:val="auto"/>
              </w:rPr>
            </w:pPr>
            <w:r>
              <w:rPr>
                <w:rFonts w:ascii="Arial" w:cs="Arial" w:eastAsia="Arial" w:hAnsi="Arial"/>
                <w:sz w:val="18"/>
                <w:szCs w:val="18"/>
                <w:color w:val="auto"/>
                <w:w w:val="97"/>
              </w:rPr>
              <w:t>$ (33)</w:t>
            </w: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Transactions with Vivendi</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We have activities with affiliates of Vivendi primarily for management, co-production, rent, licensing and distribution, which are conducted and settled in the normal course of business. For the years ended December 31, 2010, 2009 and 2008, we recognized revenue of approximately $86 million, $117 million and $112 million, respectively, related to these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274" w:right="2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Receivables related to these activities as of December 31, 2010 and 2009 were approximately $10 million and $12 million, respectively. Payables related to these activities, primarily for cash collected on behalf of affiliates, as of December 31, 2010 and 2009 were approximately $29 million and $39 million, respectively.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provide management services for certain of our equity method investees in exchange for a fee. Additionally, we receive license and other fees from certain pay television channels, digital media investments, and certain of our investees in exchange for content and/or the right to use certain of our intellectual property. For the years ended December 31, 2010, 2009 and 2008, we included approximately $219 million, $138 million and $107 million of these fees in revenue in our consolidated statement of income, respectively. As of December 31, 2010 and 2009, we had receivables of approximately $65 million at each period end and payables of approximately $3 million and $14 million, respectively, from investees in which we have either an equity interest or other related party relationship.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Film and television costs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capitalized film and television costs: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80" w:type="dxa"/>
            <w:vAlign w:val="bottom"/>
            <w:gridSpan w:val="4"/>
          </w:tcPr>
          <w:p>
            <w:pPr>
              <w:ind w:left="2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rPr>
              <w:t>2010</w:t>
            </w:r>
          </w:p>
        </w:tc>
        <w:tc>
          <w:tcPr>
            <w:tcW w:w="880" w:type="dxa"/>
            <w:vAlign w:val="bottom"/>
            <w:tcBorders>
              <w:top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Film costs:</w:t>
            </w:r>
          </w:p>
        </w:tc>
        <w:tc>
          <w:tcPr>
            <w:tcW w:w="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Released, less amortization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$1,175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Completed, not released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In-production and in-development</w:t>
            </w: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00" w:type="dxa"/>
            <w:vAlign w:val="bottom"/>
            <w:shd w:val="clear" w:color="auto" w:fill="CCEEFF"/>
          </w:tcPr>
          <w:p>
            <w:pPr>
              <w:spacing w:after="0"/>
              <w:rPr>
                <w:sz w:val="18"/>
                <w:szCs w:val="18"/>
                <w:color w:val="auto"/>
              </w:rPr>
            </w:pPr>
          </w:p>
        </w:tc>
      </w:tr>
      <w:tr>
        <w:trPr>
          <w:trHeight w:val="330"/>
        </w:trPr>
        <w:tc>
          <w:tcPr>
            <w:tcW w:w="7180" w:type="dxa"/>
            <w:vAlign w:val="bottom"/>
            <w:gridSpan w:val="2"/>
          </w:tcPr>
          <w:p>
            <w:pPr>
              <w:spacing w:after="0"/>
              <w:rPr>
                <w:sz w:val="20"/>
                <w:szCs w:val="20"/>
                <w:color w:val="auto"/>
              </w:rPr>
            </w:pPr>
            <w:r>
              <w:rPr>
                <w:rFonts w:ascii="Arial" w:cs="Arial" w:eastAsia="Arial" w:hAnsi="Arial"/>
                <w:sz w:val="18"/>
                <w:szCs w:val="18"/>
                <w:color w:val="auto"/>
              </w:rPr>
              <w:t>Television costs:</w:t>
            </w:r>
          </w:p>
        </w:tc>
        <w:tc>
          <w:tcPr>
            <w:tcW w:w="2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Released, less amortization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420"/>
              <w:spacing w:after="0"/>
              <w:rPr>
                <w:sz w:val="20"/>
                <w:szCs w:val="20"/>
                <w:color w:val="auto"/>
              </w:rPr>
            </w:pPr>
            <w:r>
              <w:rPr>
                <w:rFonts w:ascii="Arial" w:cs="Arial" w:eastAsia="Arial" w:hAnsi="Arial"/>
                <w:sz w:val="18"/>
                <w:szCs w:val="18"/>
                <w:color w:val="auto"/>
              </w:rPr>
              <w:t>Completed, not released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In-production and in development</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Programming rights, less amortization</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100" w:type="dxa"/>
            <w:vAlign w:val="bottom"/>
            <w:shd w:val="clear" w:color="auto" w:fill="CCEEFF"/>
          </w:tcPr>
          <w:p>
            <w:pPr>
              <w:spacing w:after="0"/>
              <w:rPr>
                <w:sz w:val="18"/>
                <w:szCs w:val="18"/>
                <w:color w:val="auto"/>
              </w:rPr>
            </w:pPr>
          </w:p>
        </w:tc>
      </w:tr>
      <w:tr>
        <w:trPr>
          <w:trHeight w:val="221"/>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4,423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programming rights</w:t>
            </w:r>
          </w:p>
        </w:tc>
        <w:tc>
          <w:tcPr>
            <w:tcW w:w="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Film and television costs</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3,890</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3,863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Based on management’s Ultimate Revenue as of December 31, 2010, approximately 53% of completed, not released and unamortized film and television costs (excluding amounts allocated to acquired libraries) are expected to be amortized during 2011 and approximately 29% during the year ending December 31, 2012. At December 31, 2010, acquired film and television libraries have remaining unamortized costs of $553 million. Amortization of acquired film and television libraries, included in operating costs and expenses in our consolidated statement of income, totaled $43 million in each of the years ended December 31, 2010, 2009 and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274" w:right="239" w:bottom="1440" w:gutter="0" w:footer="0" w:header="0"/>
        </w:sectPr>
      </w:pP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millions)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our available-for-sale, cost method investments and equity method investments: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2"/>
                <w:szCs w:val="12"/>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 (a)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Cost method investments (b)</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348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investments (c)</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1,348</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1,236</w:t>
            </w:r>
          </w:p>
        </w:tc>
        <w:tc>
          <w:tcPr>
            <w:tcW w:w="60" w:type="dxa"/>
            <w:vAlign w:val="bottom"/>
            <w:shd w:val="clear" w:color="auto" w:fill="CCEEFF"/>
          </w:tcPr>
          <w:p>
            <w:pPr>
              <w:spacing w:after="0"/>
              <w:rPr>
                <w:sz w:val="18"/>
                <w:szCs w:val="18"/>
                <w:color w:val="auto"/>
              </w:rPr>
            </w:pPr>
          </w:p>
        </w:tc>
      </w:tr>
      <w:tr>
        <w:trPr>
          <w:trHeight w:val="222"/>
        </w:trPr>
        <w:tc>
          <w:tcPr>
            <w:tcW w:w="722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1,723</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1,599</w:t>
            </w:r>
          </w:p>
        </w:tc>
        <w:tc>
          <w:tcPr>
            <w:tcW w:w="60" w:type="dxa"/>
            <w:vAlign w:val="bottom"/>
          </w:tcPr>
          <w:p>
            <w:pPr>
              <w:spacing w:after="0"/>
              <w:rPr>
                <w:sz w:val="19"/>
                <w:szCs w:val="19"/>
                <w:color w:val="auto"/>
              </w:rPr>
            </w:pPr>
          </w:p>
        </w:tc>
      </w:tr>
      <w:tr>
        <w:trPr>
          <w:trHeight w:val="20"/>
        </w:trPr>
        <w:tc>
          <w:tcPr>
            <w:tcW w:w="7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Available-for-sale securities are recorded at fair value in our consolidated balance sheet, and the related unrealized gains and losses are included as a component of other comprehensive income. The cost basis, unrealized gains, unrealized losses and fair market value of available-for-sale securities are set forth below:</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2010</w:t>
            </w:r>
          </w:p>
        </w:tc>
        <w:tc>
          <w:tcPr>
            <w:tcW w:w="640" w:type="dxa"/>
            <w:vAlign w:val="bottom"/>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Cost basis of available for sale securities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Gross unrealized gain</w:t>
            </w:r>
          </w:p>
        </w:tc>
        <w:tc>
          <w:tcPr>
            <w:tcW w:w="224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available for sale securities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100" w:hanging="452"/>
        <w:spacing w:after="0" w:line="253"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 method investments consist of investments in non-publicly traded equity securities, where we own less than 20 percent and do not have the ability to exercise significant influence. Included in the cost method investments is preferred stock held in an affiliate of GE totaling $331 million at both December 31, 2010 and 2009.</w:t>
      </w: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table below presents the carrying amount of our equity method investments:</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5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Ownership</w:t>
            </w:r>
          </w:p>
        </w:tc>
        <w:tc>
          <w:tcPr>
            <w:tcW w:w="100" w:type="dxa"/>
            <w:vAlign w:val="bottom"/>
          </w:tcPr>
          <w:p>
            <w:pPr>
              <w:spacing w:after="0"/>
              <w:rPr>
                <w:sz w:val="14"/>
                <w:szCs w:val="14"/>
                <w:color w:val="auto"/>
              </w:rPr>
            </w:pPr>
          </w:p>
        </w:tc>
        <w:tc>
          <w:tcPr>
            <w:tcW w:w="1420" w:type="dxa"/>
            <w:vAlign w:val="bottom"/>
            <w:gridSpan w:val="5"/>
          </w:tcPr>
          <w:p>
            <w:pPr>
              <w:ind w:left="2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560" w:type="dxa"/>
            <w:vAlign w:val="bottom"/>
            <w:gridSpan w:val="3"/>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2010</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A&amp;E Television Networks, LLC (“AETN”)</w:t>
            </w:r>
          </w:p>
        </w:tc>
        <w:tc>
          <w:tcPr>
            <w:tcW w:w="1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The Weather Channel Holding Corp. (“TWC”)</w:t>
            </w:r>
          </w:p>
        </w:tc>
        <w:tc>
          <w:tcPr>
            <w:tcW w:w="2560" w:type="dxa"/>
            <w:vAlign w:val="bottom"/>
            <w:gridSpan w:val="3"/>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Universal City Development Partners</w:t>
            </w:r>
          </w:p>
        </w:tc>
        <w:tc>
          <w:tcPr>
            <w:tcW w:w="25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MSNBC Interactive News, LLC</w:t>
            </w:r>
          </w:p>
        </w:tc>
        <w:tc>
          <w:tcPr>
            <w:tcW w:w="2560" w:type="dxa"/>
            <w:vAlign w:val="bottom"/>
            <w:gridSpan w:val="3"/>
          </w:tcPr>
          <w:p>
            <w:pPr>
              <w:jc w:val="right"/>
              <w:ind w:right="4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Various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0" w:type="dxa"/>
            <w:vAlign w:val="bottom"/>
          </w:tcPr>
          <w:p>
            <w:pPr>
              <w:ind w:left="440"/>
              <w:spacing w:after="0"/>
              <w:rPr>
                <w:sz w:val="20"/>
                <w:szCs w:val="20"/>
                <w:color w:val="auto"/>
              </w:rPr>
            </w:pPr>
            <w:r>
              <w:rPr>
                <w:rFonts w:ascii="Arial" w:cs="Arial" w:eastAsia="Arial" w:hAnsi="Arial"/>
                <w:sz w:val="18"/>
                <w:szCs w:val="18"/>
                <w:color w:val="auto"/>
              </w:rPr>
              <w:t>Total</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1,348</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AETN is a partnership between NBCU, Hearst Corporation (“Hearst”) and The Walt Disney Company (“Disney”), each holding a general partnership interest with ownership interests through September 2009 of 25%, 37.5% and 37.5%, respectively. On September 15, 2009, Disney and Hearst contributed their respective partnership interests in Lifetime Entertainment Services LLC (“Lifetime”) in exchange for additional partnership interests in AETN, effectively increasing their respective ownership interests to 42.1% each and diluting our interest in AETN from 25% to 15.8%. We accounted for the transaction as a sale of a portion of our interest in AETN which resulted in a $552 million non-cash pre-tax gain, which was recorded in other income, net in our consolidated statement of income for the year ended December 31, 2009, reflecting the difference between our carrying amount and the fair value of our diluted interest. The AETN partnership was subsequently converted to an LLC in which NBCU, Hearst and Disney hold limited liability interests. The revised agreement provides for certain exit provisions allowing NBCU to reduce its ownership over time at fair value.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274" w:right="29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A summary of combined financial information for our equity investments, which primarily includes our investments in AETN and TWC, is as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Results of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4,931</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3,443</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1,153</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602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2,195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10,034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3"/>
              </w:rPr>
              <w:t>10,459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12,244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4,108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rPr>
              <w:t>4,124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7,261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12,229</w:t>
            </w:r>
          </w:p>
        </w:tc>
        <w:tc>
          <w:tcPr>
            <w:tcW w:w="4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83"/>
              </w:rPr>
              <w:t>12,244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90"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On January 1, 2010 we adopted ASU 2009-17, which amended guidance related to the consolidation of VIEs. Amongst other changes, the guidance changed the composition of entities that meet the definition of a VIE and also requires a qualitative approach to determining which party is the primary beneficiary and thus should consolidate a VIE.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determining whether we are the primary beneficiary of a VIE, we assess whether we have the power to direct matters that most significantly impact the activities of the VIE and whether we have the obligation to absorb losses or the right to receive benefits from the VIE that could be significant to the VIE. We evaluate our investments on a continuous basis to ensure we identify any events that would require reconsideration of our initial determination as to whether an entity was considered a VIE and whether consolidation was required. As of December 31, 2010 and 2009, we held no variable interests that were not consolidated in our financial statements.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Consolidated variable interest entities</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As discussed in further detail in Note 4, we hold a variable interest in Station Venture, which we have consolidated as of January 1, 2010. Station Venture incurs interest expense of approximately $66 million per year, 80% of which has historically been reflected in our consolidated statement of income through equity income (loss) in investees. No adjustment has been made to the consolidated statement of income for the years ended December 31, 2009 and 2008 to reclassify the interest expense from equity in income of investees. For the year ended December 31, 2010, 100% of Station Venture interest expense of $66 million is recorded in our consolidated statement of income as interest expense, with the remaining 20% reflected as noncontrolling interest. As such, the consolidation has no net impact on our consolidated income attributable to NBCU stockholders.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Total assets and liabilities included in our consolidated balance sheet related to Station Venture amounted to $805 million and $821 million, respectively, at December 31, 2010.</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00"/>
          </w:cols>
          <w:pgMar w:left="240" w:top="274" w:right="25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(Dollars in millions)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 net</w:t>
      </w:r>
    </w:p>
    <w:p>
      <w:pPr>
        <w:spacing w:after="0" w:line="21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2010</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2009</w:t>
            </w:r>
          </w:p>
        </w:tc>
        <w:tc>
          <w:tcPr>
            <w:tcW w:w="120" w:type="dxa"/>
            <w:vAlign w:val="bottom"/>
          </w:tcPr>
          <w:p>
            <w:pPr>
              <w:spacing w:after="0"/>
              <w:rPr>
                <w:sz w:val="12"/>
                <w:szCs w:val="12"/>
                <w:color w:val="auto"/>
              </w:rPr>
            </w:pP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1,276</w:t>
            </w:r>
          </w:p>
        </w:tc>
        <w:tc>
          <w:tcPr>
            <w:tcW w:w="1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1,426</w:t>
            </w:r>
          </w:p>
        </w:tc>
        <w:tc>
          <w:tcPr>
            <w:tcW w:w="120" w:type="dxa"/>
            <w:vAlign w:val="bottom"/>
            <w:shd w:val="clear" w:color="auto" w:fill="CCEEFF"/>
          </w:tcPr>
          <w:p>
            <w:pPr>
              <w:spacing w:after="0"/>
              <w:rPr>
                <w:sz w:val="18"/>
                <w:szCs w:val="18"/>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19"/>
                <w:szCs w:val="19"/>
                <w:color w:val="auto"/>
              </w:rPr>
            </w:pPr>
          </w:p>
        </w:tc>
      </w:tr>
      <w:tr>
        <w:trPr>
          <w:trHeight w:val="216"/>
        </w:trPr>
        <w:tc>
          <w:tcPr>
            <w:tcW w:w="48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3,359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3,172</w:t>
            </w:r>
          </w:p>
        </w:tc>
        <w:tc>
          <w:tcPr>
            <w:tcW w:w="12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(1,524)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(1,367)</w:t>
            </w:r>
          </w:p>
        </w:tc>
      </w:tr>
      <w:tr>
        <w:trPr>
          <w:trHeight w:val="27"/>
        </w:trPr>
        <w:tc>
          <w:tcPr>
            <w:tcW w:w="4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1,835</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1,805</w:t>
            </w:r>
          </w:p>
        </w:tc>
        <w:tc>
          <w:tcPr>
            <w:tcW w:w="120" w:type="dxa"/>
            <w:vAlign w:val="bottom"/>
            <w:shd w:val="clear" w:color="auto" w:fill="CCEEFF"/>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Depreciation expense was $252 million for the year ended December 31, 2010 and $242 million in each of the years ended December 31, 2009 and 2008.</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the changes in the carrying amount of our goodwill during the years ended December 31, 2010 and 2009:</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jc w:val="right"/>
              <w:ind w:right="19"/>
              <w:spacing w:after="0"/>
              <w:rPr>
                <w:sz w:val="20"/>
                <w:szCs w:val="20"/>
                <w:color w:val="auto"/>
              </w:rPr>
            </w:pPr>
            <w:r>
              <w:rPr>
                <w:rFonts w:ascii="Arial" w:cs="Arial" w:eastAsia="Arial" w:hAnsi="Arial"/>
                <w:sz w:val="14"/>
                <w:szCs w:val="14"/>
                <w:b w:val="1"/>
                <w:bCs w:val="1"/>
                <w:color w:val="auto"/>
              </w:rPr>
              <w:t>Media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b w:val="1"/>
                <w:bCs w:val="1"/>
                <w:color w:val="auto"/>
              </w:rPr>
              <w:t>Filmed</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Networks</w:t>
            </w:r>
          </w:p>
        </w:tc>
        <w:tc>
          <w:tcPr>
            <w:tcW w:w="1180" w:type="dxa"/>
            <w:vAlign w:val="bottom"/>
            <w:gridSpan w:val="3"/>
          </w:tcPr>
          <w:p>
            <w:pPr>
              <w:ind w:left="320"/>
              <w:spacing w:after="0"/>
              <w:rPr>
                <w:sz w:val="20"/>
                <w:szCs w:val="20"/>
                <w:color w:val="auto"/>
              </w:rPr>
            </w:pPr>
            <w:r>
              <w:rPr>
                <w:rFonts w:ascii="Arial" w:cs="Arial" w:eastAsia="Arial" w:hAnsi="Arial"/>
                <w:sz w:val="14"/>
                <w:szCs w:val="14"/>
                <w:b w:val="1"/>
                <w:bCs w:val="1"/>
                <w:color w:val="auto"/>
                <w:w w:val="89"/>
              </w:rPr>
              <w:t>Entertainment</w:t>
            </w:r>
          </w:p>
        </w:tc>
        <w:tc>
          <w:tcPr>
            <w:tcW w:w="11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Theme Parks</w:t>
            </w:r>
          </w:p>
        </w:tc>
        <w:tc>
          <w:tcPr>
            <w:tcW w:w="320" w:type="dxa"/>
            <w:vAlign w:val="bottom"/>
          </w:tcPr>
          <w:p>
            <w:pPr>
              <w:spacing w:after="0"/>
              <w:rPr>
                <w:sz w:val="14"/>
                <w:szCs w:val="14"/>
                <w:color w:val="auto"/>
              </w:rPr>
            </w:pP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$16,668</w:t>
            </w: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ind w:left="215"/>
              <w:spacing w:after="0"/>
              <w:rPr>
                <w:sz w:val="20"/>
                <w:szCs w:val="20"/>
                <w:color w:val="auto"/>
              </w:rPr>
            </w:pPr>
            <w:r>
              <w:rPr>
                <w:rFonts w:ascii="Arial" w:cs="Arial" w:eastAsia="Arial" w:hAnsi="Arial"/>
                <w:sz w:val="18"/>
                <w:szCs w:val="18"/>
                <w:color w:val="auto"/>
                <w:w w:val="88"/>
              </w:rPr>
              <w:t>1,931</w:t>
            </w:r>
          </w:p>
        </w:tc>
        <w:tc>
          <w:tcPr>
            <w:tcW w:w="3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Acquisitions/dispositions</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center"/>
              <w:ind w:left="255"/>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ind w:left="255"/>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21"/>
        </w:trPr>
        <w:tc>
          <w:tcPr>
            <w:tcW w:w="3480" w:type="dxa"/>
            <w:vAlign w:val="bottom"/>
            <w:gridSpan w:val="2"/>
          </w:tcPr>
          <w:p>
            <w:pPr>
              <w:spacing w:after="0"/>
              <w:rPr>
                <w:sz w:val="20"/>
                <w:szCs w:val="20"/>
                <w:color w:val="auto"/>
              </w:rPr>
            </w:pPr>
            <w:r>
              <w:rPr>
                <w:rFonts w:ascii="Arial" w:cs="Arial" w:eastAsia="Arial" w:hAnsi="Arial"/>
                <w:sz w:val="18"/>
                <w:szCs w:val="18"/>
                <w:color w:val="auto"/>
              </w:rPr>
              <w:t>Balance at December 31, 2009</w:t>
            </w:r>
          </w:p>
        </w:tc>
        <w:tc>
          <w:tcPr>
            <w:tcW w:w="1920" w:type="dxa"/>
            <w:vAlign w:val="bottom"/>
            <w:gridSpan w:val="2"/>
          </w:tcPr>
          <w:p>
            <w:pPr>
              <w:jc w:val="right"/>
              <w:spacing w:after="0"/>
              <w:rPr>
                <w:sz w:val="20"/>
                <w:szCs w:val="20"/>
                <w:color w:val="auto"/>
              </w:rPr>
            </w:pPr>
            <w:r>
              <w:rPr>
                <w:rFonts w:ascii="Arial" w:cs="Arial" w:eastAsia="Arial" w:hAnsi="Arial"/>
                <w:sz w:val="18"/>
                <w:szCs w:val="18"/>
                <w:color w:val="auto"/>
              </w:rPr>
              <w:t>16,696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center"/>
              <w:ind w:left="215"/>
              <w:spacing w:after="0"/>
              <w:rPr>
                <w:sz w:val="20"/>
                <w:szCs w:val="20"/>
                <w:color w:val="auto"/>
              </w:rPr>
            </w:pPr>
            <w:r>
              <w:rPr>
                <w:rFonts w:ascii="Arial" w:cs="Arial" w:eastAsia="Arial" w:hAnsi="Arial"/>
                <w:sz w:val="18"/>
                <w:szCs w:val="18"/>
                <w:color w:val="auto"/>
                <w:w w:val="88"/>
              </w:rPr>
              <w:t>1,931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18,642</w:t>
            </w:r>
          </w:p>
        </w:tc>
        <w:tc>
          <w:tcPr>
            <w:tcW w:w="10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Acquisitions/dispositions</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left="255"/>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center"/>
              <w:ind w:left="255"/>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2010</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17,297</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center"/>
              <w:ind w:left="215"/>
              <w:spacing w:after="0"/>
              <w:rPr>
                <w:sz w:val="20"/>
                <w:szCs w:val="20"/>
                <w:color w:val="auto"/>
              </w:rPr>
            </w:pPr>
            <w:r>
              <w:rPr>
                <w:rFonts w:ascii="Arial" w:cs="Arial" w:eastAsia="Arial" w:hAnsi="Arial"/>
                <w:sz w:val="18"/>
                <w:szCs w:val="18"/>
                <w:color w:val="auto"/>
                <w:w w:val="88"/>
              </w:rPr>
              <w:t>1,931</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19,243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Goodwill balances increased $601 million in 2010 primarily related to the consolidation of Station Venture upon adoption, effective January 1, 2010, of amended guidance related to the consolidation of variable interest entities. The goodwill related to Station Venture as of January 1, 2010 and December 31, 2010 was $598 million.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00"/>
          </w:cols>
          <w:pgMar w:left="240" w:top="274" w:right="35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(Dollars in millions)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presents the gross carrying amount and accumulated amortization of our finite-lived and indefinite-lived intangible assets.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5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5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5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Accumulated</w:t>
            </w:r>
          </w:p>
        </w:tc>
      </w:tr>
      <w:tr>
        <w:trPr>
          <w:trHeight w:val="161"/>
        </w:trPr>
        <w:tc>
          <w:tcPr>
            <w:tcW w:w="5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amount</w:t>
            </w:r>
          </w:p>
        </w:tc>
        <w:tc>
          <w:tcPr>
            <w:tcW w:w="58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210"/>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Finite-lived intangible assets:</w:t>
            </w:r>
          </w:p>
        </w:tc>
        <w:tc>
          <w:tcPr>
            <w:tcW w:w="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Customer-related</w:t>
            </w:r>
          </w:p>
        </w:tc>
        <w:tc>
          <w:tcPr>
            <w:tcW w:w="820" w:type="dxa"/>
            <w:vAlign w:val="bottom"/>
            <w:gridSpan w:val="2"/>
          </w:tcPr>
          <w:p>
            <w:pPr>
              <w:ind w:left="74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rPr>
              <w:t>429</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(315)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431</w:t>
            </w:r>
          </w:p>
        </w:tc>
        <w:tc>
          <w:tcPr>
            <w:tcW w:w="8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r>
      <w:tr>
        <w:trPr>
          <w:trHeight w:val="216"/>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Capitalized software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340" w:type="dxa"/>
            <w:vAlign w:val="bottom"/>
          </w:tcPr>
          <w:p>
            <w:pPr>
              <w:ind w:left="440"/>
              <w:spacing w:after="0"/>
              <w:rPr>
                <w:sz w:val="20"/>
                <w:szCs w:val="20"/>
                <w:color w:val="auto"/>
              </w:rPr>
            </w:pPr>
            <w:r>
              <w:rPr>
                <w:rFonts w:ascii="Arial" w:cs="Arial" w:eastAsia="Arial" w:hAnsi="Arial"/>
                <w:sz w:val="18"/>
                <w:szCs w:val="18"/>
                <w:color w:val="auto"/>
              </w:rPr>
              <w:t>All other</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167</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r>
      <w:tr>
        <w:trPr>
          <w:trHeight w:val="27"/>
        </w:trPr>
        <w:tc>
          <w:tcPr>
            <w:tcW w:w="5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1,162</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1,090</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(725)</w:t>
            </w:r>
          </w:p>
        </w:tc>
      </w:tr>
      <w:tr>
        <w:trPr>
          <w:trHeight w:val="323"/>
        </w:trPr>
        <w:tc>
          <w:tcPr>
            <w:tcW w:w="5340" w:type="dxa"/>
            <w:vAlign w:val="bottom"/>
          </w:tcPr>
          <w:p>
            <w:pPr>
              <w:spacing w:after="0"/>
              <w:rPr>
                <w:sz w:val="20"/>
                <w:szCs w:val="20"/>
                <w:color w:val="auto"/>
              </w:rPr>
            </w:pPr>
            <w:r>
              <w:rPr>
                <w:rFonts w:ascii="Arial" w:cs="Arial" w:eastAsia="Arial" w:hAnsi="Arial"/>
                <w:sz w:val="18"/>
                <w:szCs w:val="18"/>
                <w:color w:val="auto"/>
              </w:rPr>
              <w:t>Indefinite-lived intangible assets: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5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Tradenames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1,756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1,756</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ind w:left="440"/>
              <w:spacing w:after="0"/>
              <w:rPr>
                <w:sz w:val="20"/>
                <w:szCs w:val="20"/>
                <w:color w:val="auto"/>
              </w:rPr>
            </w:pPr>
            <w:r>
              <w:rPr>
                <w:rFonts w:ascii="Arial" w:cs="Arial" w:eastAsia="Arial" w:hAnsi="Arial"/>
                <w:sz w:val="18"/>
                <w:szCs w:val="18"/>
                <w:color w:val="auto"/>
              </w:rPr>
              <w:t>FCC licenses</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2,208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2,208</w:t>
            </w:r>
          </w:p>
        </w:tc>
        <w:tc>
          <w:tcPr>
            <w:tcW w:w="5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5340" w:type="dxa"/>
            <w:vAlign w:val="bottom"/>
          </w:tcPr>
          <w:p>
            <w:pPr>
              <w:spacing w:after="0"/>
              <w:rPr>
                <w:sz w:val="20"/>
                <w:szCs w:val="20"/>
                <w:color w:val="auto"/>
              </w:rPr>
            </w:pPr>
            <w:r>
              <w:rPr>
                <w:rFonts w:ascii="Arial" w:cs="Arial" w:eastAsia="Arial" w:hAnsi="Arial"/>
                <w:sz w:val="18"/>
                <w:szCs w:val="18"/>
                <w:color w:val="auto"/>
              </w:rPr>
              <w:t>Total identifiable intangible assets</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8"/>
                <w:szCs w:val="18"/>
                <w:color w:val="auto"/>
                <w:w w:val="88"/>
              </w:rPr>
              <w:t>3,370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3,298</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identifiable intangible assets, less accumulated amortization</w:t>
            </w:r>
          </w:p>
        </w:tc>
        <w:tc>
          <w:tcPr>
            <w:tcW w:w="820" w:type="dxa"/>
            <w:vAlign w:val="bottom"/>
            <w:gridSpan w:val="2"/>
            <w:shd w:val="clear" w:color="auto" w:fill="CCEEFF"/>
          </w:tcPr>
          <w:p>
            <w:pPr>
              <w:ind w:left="740"/>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8"/>
              </w:rPr>
              <w:t>2,552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2,573</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Amortization expense for the years ended December 31, 2010, 2009 and 2008 totaled $97 million, $105 million and $126 million, respectively, which includes amortization of capitalized software costs of $55 million, $53 million and $66 million in 2010, 2009 and 2008, respectively. The estimated aggregate amortization expense for the next five years is as follows: $104 million in 2011, $74 million in 2012, $43 million in 2013, $25 million in 2014 and $14 million in 2015.</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40"/>
          </w:cols>
          <w:pgMar w:left="240" w:top="274" w:right="319" w:bottom="1440" w:gutter="0" w:footer="0" w:header="0"/>
        </w:sectPr>
      </w:pPr>
    </w:p>
    <w:bookmarkStart w:id="29" w:name="page30"/>
    <w:bookmarkEnd w:id="29"/>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(Dollars in millions)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are presented in the table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2010</w:t>
            </w:r>
          </w:p>
        </w:tc>
        <w:tc>
          <w:tcPr>
            <w:tcW w:w="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1,734</w:t>
            </w:r>
          </w:p>
        </w:tc>
        <w:tc>
          <w:tcPr>
            <w:tcW w:w="2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2,261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2,188</w:t>
            </w:r>
          </w:p>
        </w:tc>
        <w:tc>
          <w:tcPr>
            <w:tcW w:w="2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2,989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United States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Current federal and state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840"/>
              <w:spacing w:after="0"/>
              <w:rPr>
                <w:sz w:val="20"/>
                <w:szCs w:val="20"/>
                <w:color w:val="auto"/>
              </w:rPr>
            </w:pPr>
            <w:r>
              <w:rPr>
                <w:rFonts w:ascii="Arial" w:cs="Arial" w:eastAsia="Arial" w:hAnsi="Arial"/>
                <w:sz w:val="18"/>
                <w:szCs w:val="18"/>
                <w:color w:val="auto"/>
              </w:rPr>
              <w:t>Deferred income taxes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tcPr>
          <w:p>
            <w:pPr>
              <w:ind w:left="42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6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Current taxes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745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U.S. federal statutory income tax rate to the recorded income tax rate is presented below:</w:t>
      </w:r>
    </w:p>
    <w:p>
      <w:pPr>
        <w:spacing w:after="0" w:line="207"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w w:val="94"/>
              </w:rPr>
              <w:t>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4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35.00%</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35.00%</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rate resulting from:</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income taxes, net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Domestic manufacturing and export benefits</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(1.53)</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valuation allowance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4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All other, net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(0.71)</w:t>
            </w:r>
          </w:p>
        </w:tc>
        <w:tc>
          <w:tcPr>
            <w:tcW w:w="1200" w:type="dxa"/>
            <w:vAlign w:val="bottom"/>
            <w:gridSpan w:val="3"/>
          </w:tcPr>
          <w:p>
            <w:pPr>
              <w:jc w:val="right"/>
              <w:ind w:right="420"/>
              <w:spacing w:after="0"/>
              <w:rPr>
                <w:sz w:val="20"/>
                <w:szCs w:val="20"/>
                <w:color w:val="auto"/>
              </w:rPr>
            </w:pPr>
            <w:r>
              <w:rPr>
                <w:rFonts w:ascii="Arial" w:cs="Arial" w:eastAsia="Arial" w:hAnsi="Arial"/>
                <w:sz w:val="18"/>
                <w:szCs w:val="18"/>
                <w:color w:val="auto"/>
              </w:rPr>
              <w:t>(1.52)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0.61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Actual income tax rate</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32.96%</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39.88%</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38.35%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amounts of unrecognized income tax benefits is presented in the table below:</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Additions for tax positions of the current year</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Expiration of the statue of limitations</w:t>
            </w:r>
          </w:p>
        </w:tc>
        <w:tc>
          <w:tcPr>
            <w:tcW w:w="36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4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w:t>
            </w:r>
          </w:p>
        </w:tc>
        <w:tc>
          <w:tcPr>
            <w:tcW w:w="4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280" w:type="dxa"/>
            <w:vAlign w:val="bottom"/>
            <w:gridSpan w:val="3"/>
          </w:tcPr>
          <w:p>
            <w:pPr>
              <w:jc w:val="right"/>
              <w:ind w:right="3480"/>
              <w:spacing w:after="0"/>
              <w:rPr>
                <w:sz w:val="20"/>
                <w:szCs w:val="20"/>
                <w:color w:val="auto"/>
              </w:rPr>
            </w:pPr>
            <w:r>
              <w:rPr>
                <w:rFonts w:ascii="Arial" w:cs="Arial" w:eastAsia="Arial" w:hAnsi="Arial"/>
                <w:sz w:val="18"/>
                <w:szCs w:val="18"/>
                <w:color w:val="auto"/>
              </w:rPr>
              <w:t>F-25</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30" w:name="page31"/>
    <w:bookmarkEnd w:id="3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We recognize interest accrued related to unrecognized tax benefits in interest expense. No penalties have been recognized to date. Accrued interest on unrecognized tax benefits totaled $46 million at December 31, 2010. The total unrecognized tax benefits, if recognized, would reduce tax expense and the effective tax rate, net of any applicable federal benefit. The principal components of our net deferred income tax liability are presented in the table below:</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Net operating loss and credit carryforwards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(114)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Accruals, reserves and other, net (a)</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52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income tax assets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6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Depreciable and amortizable property</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440"/>
              <w:spacing w:after="0"/>
              <w:rPr>
                <w:sz w:val="20"/>
                <w:szCs w:val="20"/>
                <w:color w:val="auto"/>
              </w:rPr>
            </w:pPr>
            <w:r>
              <w:rPr>
                <w:rFonts w:ascii="Arial" w:cs="Arial" w:eastAsia="Arial" w:hAnsi="Arial"/>
                <w:sz w:val="18"/>
                <w:szCs w:val="18"/>
                <w:color w:val="auto"/>
              </w:rPr>
              <w:t>Foreign income</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Investments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60" w:type="dxa"/>
            <w:vAlign w:val="bottom"/>
          </w:tcPr>
          <w:p>
            <w:pPr>
              <w:ind w:left="440"/>
              <w:spacing w:after="0"/>
              <w:rPr>
                <w:sz w:val="20"/>
                <w:szCs w:val="20"/>
                <w:color w:val="auto"/>
              </w:rPr>
            </w:pPr>
            <w:r>
              <w:rPr>
                <w:rFonts w:ascii="Arial" w:cs="Arial" w:eastAsia="Arial" w:hAnsi="Arial"/>
                <w:sz w:val="18"/>
                <w:szCs w:val="18"/>
                <w:color w:val="auto"/>
              </w:rPr>
              <w:t>Total deferred income tax liabilities</w:t>
            </w:r>
          </w:p>
        </w:tc>
        <w:tc>
          <w:tcPr>
            <w:tcW w:w="1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2,234</w:t>
            </w:r>
          </w:p>
        </w:tc>
        <w:tc>
          <w:tcPr>
            <w:tcW w:w="28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2,406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deferred income tax liability (b)</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2,147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300" w:hanging="452"/>
        <w:spacing w:after="0" w:line="254"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tax effects of temporary differences related to expense accruals for a wide variety of items, such as employee compensation and benefits interest on tax liabilities and other sundry items that are not currently deductible.</w:t>
      </w:r>
    </w:p>
    <w:p>
      <w:pPr>
        <w:ind w:left="46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Included in other current assets in our consolidated balance sheet are net current deferred tax assets of $156 million and $140 million at December 31, 2010 and 2009, respectively.</w:t>
      </w:r>
    </w:p>
    <w:p>
      <w:pPr>
        <w:spacing w:after="0" w:line="138"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The valuation allowance principally exists to offset certain deferred income tax assets, such as capital losses and net operating losses (“NOLs”), due to the likelihood that those assets will not be realized on a separate-company basis. The total valuation allowance decreased from $215 million at December 31, 2009 to $210 million at December 31, 2010. Contributing to this decrease is the utilization of net operating losses on which a full valuation allowance had been provided.</w:t>
      </w:r>
    </w:p>
    <w:p>
      <w:pPr>
        <w:spacing w:after="0" w:line="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At December 31, 2010, we have approximately $146 million in U.S. federal NOLs that may be carried forward to future years. These NOLs are projected to expire in varying amounts through 2021, but will be impacted by our conversion to a limited liability company in 2011, as discussed below. In addition, we also have available foreign NOLs of approximately $165 million. These NOLs expire in varying amounts from 2011 through 2017.</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During the second quarter of 2010, we repatriated approximately $900 million of cash from our foreign subsidiaries, resulting in a current US tax of $180 million. As US deferred income tax had been previously provided, the deferred income tax had no impact on the US income tax provision.</w:t>
      </w:r>
    </w:p>
    <w:p>
      <w:pPr>
        <w:spacing w:after="0" w:line="8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as a party to a TSA with GE, are under examination or engaged in tax litigation with U.S. federal, state and foreign tax authorities. In 2007, the U.S. federal tax authority completed or substantially completed the audit of our businesses included in the GE consolidated U.S. federal income tax returns for the period 2000-2003. The IRS is currently auditing the GE consolidated U.S. federal income tax returns for the period 2004-2007. In addition, certain other U.S. federal and state tax deficiency issues and refund claims for previous years remain unresolved. It is reasonably possible that the 2004-2006 U.S. audit cycle will be completed during the succeeding 12 months, which could result in a decrease in our balance of unrecognized tax benefits. We believe that there are no other jurisdictions in which the outcome of unresolved issues or claims is likely to be material to our results of operations, financial position or cash flows.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274" w:right="25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As discussed in Note 19, we converted into a Delaware limited liability company in January 2011. For U.S. federal income tax purposes, our company will be disregarded as an entity separate from NBCUniversal Holdings, a tax partnership. Accordingly, NBCUniversal and our subsidiaries will not incur any current or deferred U.S. federal income taxes. Our company and our subsidiaries, however, are expected to incur current and deferred state income taxes in a limited number of states and our foreign subsidiaries are expected to incur current and deferred foreign income taxes.</w:t>
      </w:r>
    </w:p>
    <w:p>
      <w:pPr>
        <w:spacing w:after="0" w:line="113"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GE has indemnified NBCUniversal Holdings with respect to our company’s income tax obligations attributable to periods prior to the closing of the Joint Venture Transaction. All deferred income taxes relating to U.S. federal tax matters have been retained by GE, and as such no deferred tax assets and liabilities related to U.S. federal tax matters are expected to be included in our consolidated balance sheet, subsequent to the close of the Joint Venture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debt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08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Maturity date</w:t>
            </w:r>
          </w:p>
        </w:tc>
        <w:tc>
          <w:tcPr>
            <w:tcW w:w="380" w:type="dxa"/>
            <w:vAlign w:val="bottom"/>
          </w:tcPr>
          <w:p>
            <w:pPr>
              <w:spacing w:after="0"/>
              <w:rPr>
                <w:sz w:val="14"/>
                <w:szCs w:val="14"/>
                <w:color w:val="auto"/>
              </w:rPr>
            </w:pPr>
          </w:p>
        </w:tc>
        <w:tc>
          <w:tcPr>
            <w:tcW w:w="12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2"/>
              </w:rPr>
              <w:t>Interest rate</w:t>
            </w:r>
          </w:p>
        </w:tc>
        <w:tc>
          <w:tcPr>
            <w:tcW w:w="100" w:type="dxa"/>
            <w:vAlign w:val="bottom"/>
          </w:tcPr>
          <w:p>
            <w:pPr>
              <w:spacing w:after="0"/>
              <w:rPr>
                <w:sz w:val="14"/>
                <w:szCs w:val="14"/>
                <w:color w:val="auto"/>
              </w:rPr>
            </w:pPr>
          </w:p>
        </w:tc>
        <w:tc>
          <w:tcPr>
            <w:tcW w:w="138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2010</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Third party debt</w:t>
            </w:r>
          </w:p>
        </w:tc>
        <w:tc>
          <w:tcPr>
            <w:tcW w:w="10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Senior notes due 2014</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April 2014</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2.100%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900</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notes due 2015</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April 2015</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Senior notes due 2016</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April 2016</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2.875%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notes due 2020</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April 2020</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5.150%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1,997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Senior notes due 2021</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April 2021</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4.375%</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1,999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notes due 2040</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April 2040</w:t>
            </w:r>
          </w:p>
        </w:tc>
        <w:tc>
          <w:tcPr>
            <w:tcW w:w="16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Senior notes due 2041</w:t>
            </w:r>
          </w:p>
        </w:tc>
        <w:tc>
          <w:tcPr>
            <w:tcW w:w="1080" w:type="dxa"/>
            <w:vAlign w:val="bottom"/>
          </w:tcPr>
          <w:p>
            <w:pPr>
              <w:jc w:val="right"/>
              <w:ind w:right="54"/>
              <w:spacing w:after="0"/>
              <w:rPr>
                <w:sz w:val="20"/>
                <w:szCs w:val="20"/>
                <w:color w:val="auto"/>
              </w:rPr>
            </w:pPr>
            <w:r>
              <w:rPr>
                <w:rFonts w:ascii="Arial" w:cs="Arial" w:eastAsia="Arial" w:hAnsi="Arial"/>
                <w:sz w:val="18"/>
                <w:szCs w:val="18"/>
                <w:color w:val="auto"/>
              </w:rPr>
              <w:t>April 2041</w:t>
            </w:r>
          </w:p>
        </w:tc>
        <w:tc>
          <w:tcPr>
            <w:tcW w:w="1660" w:type="dxa"/>
            <w:vAlign w:val="bottom"/>
            <w:gridSpan w:val="3"/>
          </w:tcPr>
          <w:p>
            <w:pPr>
              <w:jc w:val="right"/>
              <w:ind w:right="340"/>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1,197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loan due 2011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February 2011</w:t>
            </w: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See below</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Total third party debt</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9,090</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w w:val="79"/>
              </w:rPr>
              <w:t>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Less current portion</w:t>
            </w: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9,090</w:t>
            </w:r>
          </w:p>
        </w:tc>
        <w:tc>
          <w:tcPr>
            <w:tcW w:w="4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tcPr>
          <w:p>
            <w:pPr>
              <w:ind w:left="20"/>
              <w:spacing w:after="0"/>
              <w:rPr>
                <w:sz w:val="20"/>
                <w:szCs w:val="20"/>
                <w:color w:val="auto"/>
              </w:rPr>
            </w:pPr>
            <w:r>
              <w:rPr>
                <w:rFonts w:ascii="Arial" w:cs="Arial" w:eastAsia="Arial" w:hAnsi="Arial"/>
                <w:sz w:val="18"/>
                <w:szCs w:val="18"/>
                <w:color w:val="auto"/>
                <w:w w:val="79"/>
              </w:rPr>
              <w:t>1,685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2010 Senior Notes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part of the Joint Venture Transaction, during 2010, we issued our 2010 Senior Notes in an aggregate principal amount of $9.1 billion (excluding original issuance discount of $10 million), comprising the April Notes in an aggregate principal amount of $4.0 billion and the October Notes in an aggregate principal amount of $5.1 billion. The 2010 Senior Notes issued have a range of maturities from 2014 to 2041 as denoted in the above table.</w:t>
      </w:r>
    </w:p>
    <w:p>
      <w:pPr>
        <w:spacing w:after="0" w:line="10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 portion of the proceeds from the issuance of the April Notes was used in May 2010 to repay amounts due under our Two-Year Term Loan Agreement. The remaining proceeds were used to fund a dividend payment to GE in January 2011 of approximately $7.4 billion immediately prior to the closing of the Joint Venture Transaction.</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December 31, 2010, the 2010 Senior Notes had an aggregate fair value of $9.147 billion and a weighted average interest rate of 4.51%. The estimated fair values of the Senior Notes are based on interest rates available to us for debt with similar terms and remaining maturities.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274" w:right="239" w:bottom="1440" w:gutter="0" w:footer="0" w:header="0"/>
        </w:sectPr>
      </w:pPr>
    </w:p>
    <w:bookmarkStart w:id="32" w:name="page33"/>
    <w:bookmarkEnd w:id="3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scheduled maturities of the principal amount of our 2010 Senior Notes outstanding at December 31, 2010 are as follows: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2012</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2014</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100" w:type="dxa"/>
            <w:vAlign w:val="bottom"/>
            <w:shd w:val="clear" w:color="auto" w:fill="CCEEFF"/>
          </w:tcPr>
          <w:p>
            <w:pPr>
              <w:spacing w:after="0"/>
              <w:rPr>
                <w:sz w:val="18"/>
                <w:szCs w:val="18"/>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3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7,200</w:t>
            </w:r>
          </w:p>
        </w:tc>
        <w:tc>
          <w:tcPr>
            <w:tcW w:w="100" w:type="dxa"/>
            <w:vAlign w:val="bottom"/>
          </w:tcPr>
          <w:p>
            <w:pPr>
              <w:spacing w:after="0"/>
              <w:rPr>
                <w:sz w:val="19"/>
                <w:szCs w:val="19"/>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9,100</w:t>
            </w:r>
          </w:p>
        </w:tc>
        <w:tc>
          <w:tcPr>
            <w:tcW w:w="100" w:type="dxa"/>
            <w:vAlign w:val="bottom"/>
            <w:shd w:val="clear" w:color="auto" w:fill="CCEEFF"/>
          </w:tcPr>
          <w:p>
            <w:pPr>
              <w:spacing w:after="0"/>
              <w:rPr>
                <w:sz w:val="18"/>
                <w:szCs w:val="18"/>
                <w:color w:val="auto"/>
              </w:rPr>
            </w:pPr>
          </w:p>
        </w:tc>
      </w:tr>
      <w:tr>
        <w:trPr>
          <w:trHeight w:val="20"/>
        </w:trPr>
        <w:tc>
          <w:tcPr>
            <w:tcW w:w="3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 loan due 2011 (Two-Year Term Loan Agreement)</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On February 18, 2009, we entered into the Two-Year Term Loan Agreement with a syndicate of financial institutions to borrow an aggregate principal amount of $1.125 billion in U.S. dollars and an aggregate principal amount of €78 million (U.S. dollar equivalent of $99 million). The U.S. dollar loan was subject to an increase of $500 million. We borrowed the initial U.S. dollar loan amount and the Euro loan amount upon closing and used the proceeds to repay $1.223 billion of temporary financing from GE. Between May and August 2009, we borrowed an additional $447 million and used the proceeds to repay the remaining balance due to GE. As of December 31, 2009, the U.S. dollar equivalent liability with respect to the Euro-denominated term loan was approximately $113 million, for an aggregate total of $1.685 billion.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U.S. dollar loan bore interest at our option of either a base rate plus 0.875% or Eurodollar rate plus 1.875%. The base rate is determined as the greater of (1) the federal funds rate plus 1/2 of 1%, (2) lender’s prime rate or (3) the Eurodollar rate plus 1%. The Eurodollar rate is a rate per annum determined by dividing the LIBOR rate by one minus the reserve percentage issued by the Board of Governors of the Federal Reserve System of the U.S. for determining the maximum reserve requirements with respect to Eurocurrency funding. The Euro loan bore interest at a percentage rate per annum determined by the Banking Federation of the European Union for the relevant period plus 1.875%.</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As discussed above, in May 2010, $1.671 billion of the net proceeds from the April Notes was used to repay in full our outstanding indebtedness related to these loans, including the settlement of cross currency swaps held by us to mitigate the effects of exchange rates on the Euro loan.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indicated in Note 2, we adopted ASC 820 for all financial instruments accounted for at fair value on a recurring basis. Broadly, the guidance requires fair value to be determined based on the exchange price that would be received for an asset or paid to transfer a liability (an exit price) in the principal or most advantageous market for the asset or liability in orderly transaction between market participants. The accounting guidance for fair value measurements of financial instruments establishes a three-level valuation hierarchy based upon observable and non-observable inputs. Observable inputs reflect market data obtained from independent sources, while non-observable inputs reflect our market assumptions. Our assessment of an input to a fair value measurement requires judgment, and preference should be given to observable inputs. These two types of inputs create the following fair value hierarchy:</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60"/>
          </w:cols>
          <w:pgMar w:left="240" w:top="274" w:right="29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51"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The majority of our derivatives portfolio is valued using internal models. The models maximize the use of observable inputs including interest rate curves and both forward and spot prices for currencies and commodities. Derivative assets and liabilities included in Level 2 primarily represent interest rate swaps, cross-currency swaps and foreign currency and commodity forward and option contracts. See Note 13.</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90"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Our financial instruments included in level 3 predominately consist of available-for-sale securities. These investments are initially recorded at cost and re-measured to fair value on a recurring basis at the end of each quarter utilizing non-observable inputs, which include company specific fundamentals and other third party transactions. The fair value of these investments is $27 million and $18 million at December 31, 2010 and 2009, respectively. For the year ended December 31, 2009, we recorded other-than-temporary impairments for certain of our available-for-sale securities of $154 million. For the years ended December 31, 2010 and 2008, we did not record any other-than-temporary impairments.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changes in Level 3 financial instruments for the years ended December 31, 2010 and 2009.</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Securities</w:t>
            </w: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Net realized/ unrealized gains (losses) included in income</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unrealized gains (losses) included in accumulated other comprehensive income</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Purchases, issuances and settlements</w:t>
            </w:r>
          </w:p>
        </w:tc>
        <w:tc>
          <w:tcPr>
            <w:tcW w:w="1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420"/>
              <w:spacing w:after="0"/>
              <w:rPr>
                <w:sz w:val="20"/>
                <w:szCs w:val="20"/>
                <w:color w:val="auto"/>
              </w:rPr>
            </w:pPr>
            <w:r>
              <w:rPr>
                <w:rFonts w:ascii="Arial" w:cs="Arial" w:eastAsia="Arial" w:hAnsi="Arial"/>
                <w:sz w:val="18"/>
                <w:szCs w:val="18"/>
                <w:color w:val="auto"/>
              </w:rPr>
              <w:t>Net realized/ unrealized gains (losses) included in accumulated other comprehensive income</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issuances and settlements</w:t>
            </w:r>
          </w:p>
        </w:tc>
        <w:tc>
          <w:tcPr>
            <w:tcW w:w="1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December 31, 2010</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Non-recurring fair value measurements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Certain non-financial assets are subject to fair value measurements on a non-recurring basis. These include certain cost method investments and equity method investments that are subject to a number of factors that may negatively affect the performance of the investee. In assessing the potential impairment of these investments, we consider these factors in determining other-than-temporary declines in value. These also include long-lived assets that are written down to fair value when they are classified as held-for-sale or determined to be impaired.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represents the fair value adjustments reflected in income for assets measured at fair value on a non-recurring basis and still held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2010 and 2009:</w:t>
      </w:r>
    </w:p>
    <w:p>
      <w:pPr>
        <w:spacing w:after="0" w:line="20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0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2010</w:t>
            </w: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2"/>
                <w:szCs w:val="12"/>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3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3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9"/>
                <w:szCs w:val="19"/>
                <w:color w:val="auto"/>
              </w:rPr>
            </w:pPr>
          </w:p>
        </w:tc>
      </w:tr>
      <w:tr>
        <w:trPr>
          <w:trHeight w:val="216"/>
        </w:trPr>
        <w:tc>
          <w:tcPr>
            <w:tcW w:w="3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040" w:type="dxa"/>
            <w:vAlign w:val="bottom"/>
          </w:tcPr>
          <w:p>
            <w:pPr>
              <w:spacing w:after="0"/>
              <w:rPr>
                <w:sz w:val="24"/>
                <w:szCs w:val="24"/>
                <w:color w:val="auto"/>
              </w:rPr>
            </w:pPr>
          </w:p>
        </w:tc>
        <w:tc>
          <w:tcPr>
            <w:tcW w:w="3680" w:type="dxa"/>
            <w:vAlign w:val="bottom"/>
            <w:gridSpan w:val="2"/>
          </w:tcPr>
          <w:p>
            <w:pPr>
              <w:jc w:val="right"/>
              <w:ind w:right="2132"/>
              <w:spacing w:after="0"/>
              <w:rPr>
                <w:sz w:val="20"/>
                <w:szCs w:val="20"/>
                <w:color w:val="auto"/>
              </w:rPr>
            </w:pPr>
            <w:r>
              <w:rPr>
                <w:rFonts w:ascii="Arial" w:cs="Arial" w:eastAsia="Arial" w:hAnsi="Arial"/>
                <w:sz w:val="18"/>
                <w:szCs w:val="18"/>
                <w:color w:val="auto"/>
              </w:rPr>
              <w:t>F-29</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274" w:right="29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table below represents assets still held at December 31, 2010 and 2009, which have been remeasured to fair value on a non-recurring basis during each respective fiscal year. All of the assets are identified as Level 3 and are cost method investments and investments in associated companies.</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20" w:type="dxa"/>
            <w:vAlign w:val="bottom"/>
            <w:gridSpan w:val="3"/>
          </w:tcPr>
          <w:p>
            <w:pPr>
              <w:ind w:left="2120"/>
              <w:spacing w:after="0"/>
              <w:rPr>
                <w:sz w:val="20"/>
                <w:szCs w:val="20"/>
                <w:color w:val="auto"/>
              </w:rPr>
            </w:pPr>
            <w:r>
              <w:rPr>
                <w:rFonts w:ascii="Arial" w:cs="Arial" w:eastAsia="Arial" w:hAnsi="Arial"/>
                <w:sz w:val="14"/>
                <w:szCs w:val="14"/>
                <w:b w:val="1"/>
                <w:bCs w:val="1"/>
                <w:color w:val="auto"/>
                <w:w w:val="85"/>
              </w:rPr>
              <w:t>December 31,</w:t>
            </w:r>
          </w:p>
        </w:tc>
        <w:tc>
          <w:tcPr>
            <w:tcW w:w="1740" w:type="dxa"/>
            <w:vAlign w:val="bottom"/>
            <w:gridSpan w:val="4"/>
          </w:tcPr>
          <w:p>
            <w:pPr>
              <w:ind w:left="88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4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2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60" w:type="dxa"/>
            <w:vAlign w:val="bottom"/>
          </w:tcPr>
          <w:p>
            <w:pPr>
              <w:spacing w:after="0"/>
              <w:rPr>
                <w:sz w:val="19"/>
                <w:szCs w:val="19"/>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2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6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Derivatives</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 a matter of policy, we use derivatives for risk management purposes. We do not use derivatives for speculative purposes. We use forward contracts, currency options and interest rate swaps to reduce our exposure to market risks resulting from fluctuations in currency exchange rates and interest rates for certain types of forecasted transactions, principally foreign currency-denominated production costs and rights and international content-related revenue and royalties.</w:t>
      </w:r>
    </w:p>
    <w:p>
      <w:pPr>
        <w:spacing w:after="0" w:line="8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hedge forecasted foreign currency transactions for periods generally not to exceed one year. In certain circumstances we may hedge a transaction not to exceed two years.</w:t>
      </w:r>
    </w:p>
    <w:p>
      <w:pPr>
        <w:spacing w:after="0" w:line="13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derivative instruments designated as a hedge in accordance with ASC 815, we formally document all relationships between hedging instruments and hedged items, as well as risk management objectives and strategies for undertaking various hedge transactions. We assess effectiveness at inception of the hedge relationship, and quarterly on a retrospective and prospective basis. Ineffectiveness also is measured quarterly, with the results recorded in income.</w:t>
      </w:r>
    </w:p>
    <w:p>
      <w:pPr>
        <w:spacing w:after="0" w:line="107"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As of December 31, 2010 and 2009, we have assets of $1 million and $4 million and liabilities of $2 million and $5 million, respectively, related to currency derivatives accounted for as hedges. These assets and liabilities are included in other current assets and accounts payable and accrued liabilities, respectively, in our consolidated balance sheet.</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We also enter into derivative instruments that are not designated as hedges and do not qualify for hedge accounting. These contracts are intended to offset certain economic exposures we have and are carried at fair value with any changes in value recorded in income. Such hedges are included in other current assets and accounts payable and accrued liabilities, respectively, in our consolidated balance sheet. Changes in fair value of these derivatives used as economic hedges were not material for 2010 or 2009.</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fair value of our foreign exchange contracts that were not accounted for as hedges amounted to assets of $2 million at both December 31, 2010 and 2009, and liabilities of $5 million and $1 million at December 31, 2010 and 2009, respectively.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00"/>
          </w:cols>
          <w:pgMar w:left="240" w:top="274" w:right="2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tables provide additional information about the financial statement effects related to our foreign exchange contracts accounted for as cash flow hedges for the years ended December 31, 2010, 2009 and 2008:</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1"/>
              </w:rPr>
              <w:t>December 31, 2010</w:t>
            </w:r>
          </w:p>
        </w:tc>
        <w:tc>
          <w:tcPr>
            <w:tcW w:w="2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8"/>
              </w:rPr>
              <w:t>December 31, 2009</w:t>
            </w:r>
          </w:p>
        </w:tc>
        <w:tc>
          <w:tcPr>
            <w:tcW w:w="2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90"/>
              </w:rPr>
              <w:t>December 31, 2008</w:t>
            </w:r>
          </w:p>
        </w:tc>
        <w:tc>
          <w:tcPr>
            <w:tcW w:w="2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Gain (loss)</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Gain (loss)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8"/>
              </w:rPr>
              <w:t>Gain (loss)</w:t>
            </w:r>
          </w:p>
        </w:tc>
        <w:tc>
          <w:tcPr>
            <w:tcW w:w="60" w:type="dxa"/>
            <w:vAlign w:val="bottom"/>
          </w:tcPr>
          <w:p>
            <w:pPr>
              <w:spacing w:after="0"/>
              <w:rPr>
                <w:sz w:val="11"/>
                <w:szCs w:val="11"/>
                <w:color w:val="auto"/>
              </w:rPr>
            </w:pPr>
          </w:p>
        </w:tc>
      </w:tr>
      <w:tr>
        <w:trPr>
          <w:trHeight w:val="149"/>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reclassified</w:t>
            </w: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reclassified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0"/>
              </w:rPr>
              <w:t>reclassified</w:t>
            </w:r>
          </w:p>
        </w:tc>
      </w:tr>
      <w:tr>
        <w:trPr>
          <w:trHeight w:val="149"/>
        </w:trPr>
        <w:tc>
          <w:tcPr>
            <w:tcW w:w="27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2"/>
              </w:rPr>
              <w:t>Gain (loss)</w:t>
            </w:r>
          </w:p>
        </w:tc>
        <w:tc>
          <w:tcPr>
            <w:tcW w:w="38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from AOCI</w:t>
            </w:r>
          </w:p>
        </w:tc>
        <w:tc>
          <w:tcPr>
            <w:tcW w:w="1260" w:type="dxa"/>
            <w:vAlign w:val="bottom"/>
            <w:gridSpan w:val="4"/>
          </w:tcPr>
          <w:p>
            <w:pPr>
              <w:ind w:left="380"/>
              <w:spacing w:after="0" w:line="149" w:lineRule="exact"/>
              <w:rPr>
                <w:sz w:val="20"/>
                <w:szCs w:val="20"/>
                <w:color w:val="auto"/>
              </w:rPr>
            </w:pPr>
            <w:r>
              <w:rPr>
                <w:rFonts w:ascii="Arial" w:cs="Arial" w:eastAsia="Arial" w:hAnsi="Arial"/>
                <w:sz w:val="14"/>
                <w:szCs w:val="14"/>
                <w:b w:val="1"/>
                <w:bCs w:val="1"/>
                <w:color w:val="auto"/>
              </w:rPr>
              <w:t>Gain (loss)</w:t>
            </w:r>
          </w:p>
        </w:tc>
        <w:tc>
          <w:tcPr>
            <w:tcW w:w="1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from AOCI</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Gain (loss)</w:t>
            </w:r>
          </w:p>
        </w:tc>
        <w:tc>
          <w:tcPr>
            <w:tcW w:w="38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from AOCI</w:t>
            </w:r>
          </w:p>
        </w:tc>
      </w:tr>
      <w:tr>
        <w:trPr>
          <w:trHeight w:val="161"/>
        </w:trPr>
        <w:tc>
          <w:tcPr>
            <w:tcW w:w="27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AOCI</w:t>
            </w:r>
          </w:p>
        </w:tc>
        <w:tc>
          <w:tcPr>
            <w:tcW w:w="3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into income</w:t>
            </w:r>
          </w:p>
        </w:tc>
        <w:tc>
          <w:tcPr>
            <w:tcW w:w="400" w:type="dxa"/>
            <w:vAlign w:val="bottom"/>
          </w:tcPr>
          <w:p>
            <w:pPr>
              <w:spacing w:after="0"/>
              <w:rPr>
                <w:sz w:val="14"/>
                <w:szCs w:val="14"/>
                <w:color w:val="auto"/>
              </w:rPr>
            </w:pPr>
          </w:p>
        </w:tc>
        <w:tc>
          <w:tcPr>
            <w:tcW w:w="6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AOCI</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into income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 AOCI</w:t>
            </w:r>
          </w:p>
        </w:tc>
        <w:tc>
          <w:tcPr>
            <w:tcW w:w="380" w:type="dxa"/>
            <w:vAlign w:val="bottom"/>
          </w:tcPr>
          <w:p>
            <w:pPr>
              <w:spacing w:after="0"/>
              <w:rPr>
                <w:sz w:val="14"/>
                <w:szCs w:val="14"/>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into income</w:t>
            </w:r>
          </w:p>
        </w:tc>
        <w:tc>
          <w:tcPr>
            <w:tcW w:w="60" w:type="dxa"/>
            <w:vAlign w:val="bottom"/>
          </w:tcPr>
          <w:p>
            <w:pPr>
              <w:spacing w:after="0"/>
              <w:rPr>
                <w:sz w:val="14"/>
                <w:szCs w:val="14"/>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90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6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(20)</w:t>
            </w:r>
          </w:p>
        </w:tc>
        <w:tc>
          <w:tcPr>
            <w:tcW w:w="3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9"/>
                <w:szCs w:val="19"/>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For derivatives that are designated in a cash flow hedging relationship, the effective portion of the change in fair value of the derivative is reported in the cash flow hedges subaccount of AOCI and reclassified into income contemporaneously with the income effects of the hedged transaction. Income effects of the derivative and the hedged item are reported in the same caption in our consolidated statement of income. Gains and losses from the ineffectiveness of hedging relationships, including ineffectiveness as a result of the discontinuation of cash flow hedges for which it was probable that the originally forecasted transaction would no longer occur, were not material for any period. No amounts were excluded from the measure of effectiveness for the years ended December 31, 2010, 2009 and 2008.</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notional principal amounts of our foreign exchange contracts outstanding: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4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2010</w:t>
            </w:r>
          </w:p>
        </w:tc>
        <w:tc>
          <w:tcPr>
            <w:tcW w:w="780" w:type="dxa"/>
            <w:vAlign w:val="bottom"/>
            <w:tcBorders>
              <w:top w:val="single" w:sz="8" w:color="auto"/>
            </w:tcBorders>
            <w:gridSpan w:val="2"/>
          </w:tcPr>
          <w:p>
            <w:pPr>
              <w:jc w:val="center"/>
              <w:ind w:left="319"/>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0" w:type="dxa"/>
            <w:vAlign w:val="bottom"/>
          </w:tcPr>
          <w:p>
            <w:pPr>
              <w:spacing w:after="0"/>
              <w:rPr>
                <w:sz w:val="8"/>
                <w:szCs w:val="8"/>
                <w:color w:val="auto"/>
              </w:rPr>
            </w:pPr>
          </w:p>
        </w:tc>
        <w:tc>
          <w:tcPr>
            <w:tcW w:w="16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 qualifying as accounting hedges</w:t>
            </w:r>
          </w:p>
        </w:tc>
        <w:tc>
          <w:tcPr>
            <w:tcW w:w="1980" w:type="dxa"/>
            <w:vAlign w:val="bottom"/>
            <w:gridSpan w:val="2"/>
            <w:shd w:val="clear" w:color="auto" w:fill="CCEEFF"/>
          </w:tcPr>
          <w:p>
            <w:pPr>
              <w:jc w:val="center"/>
              <w:ind w:left="1512"/>
              <w:spacing w:after="0"/>
              <w:rPr>
                <w:sz w:val="20"/>
                <w:szCs w:val="20"/>
                <w:color w:val="auto"/>
              </w:rPr>
            </w:pPr>
            <w:r>
              <w:rPr>
                <w:rFonts w:ascii="Arial" w:cs="Arial" w:eastAsia="Arial" w:hAnsi="Arial"/>
                <w:sz w:val="18"/>
                <w:szCs w:val="18"/>
                <w:color w:val="auto"/>
                <w:w w:val="94"/>
              </w:rPr>
              <w:t>$152</w:t>
            </w:r>
          </w:p>
        </w:tc>
        <w:tc>
          <w:tcPr>
            <w:tcW w:w="780" w:type="dxa"/>
            <w:vAlign w:val="bottom"/>
            <w:gridSpan w:val="2"/>
            <w:shd w:val="clear" w:color="auto" w:fill="CCEEFF"/>
          </w:tcPr>
          <w:p>
            <w:pPr>
              <w:jc w:val="center"/>
              <w:ind w:left="339"/>
              <w:spacing w:after="0"/>
              <w:rPr>
                <w:sz w:val="20"/>
                <w:szCs w:val="20"/>
                <w:color w:val="auto"/>
              </w:rPr>
            </w:pPr>
            <w:r>
              <w:rPr>
                <w:rFonts w:ascii="Arial" w:cs="Arial" w:eastAsia="Arial" w:hAnsi="Arial"/>
                <w:sz w:val="18"/>
                <w:szCs w:val="18"/>
                <w:color w:val="auto"/>
                <w:w w:val="89"/>
              </w:rPr>
              <w:t>$322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820" w:type="dxa"/>
            <w:vAlign w:val="bottom"/>
            <w:gridSpan w:val="2"/>
          </w:tcPr>
          <w:p>
            <w:pPr>
              <w:spacing w:after="0"/>
              <w:rPr>
                <w:sz w:val="20"/>
                <w:szCs w:val="20"/>
                <w:color w:val="auto"/>
              </w:rPr>
            </w:pPr>
            <w:r>
              <w:rPr>
                <w:rFonts w:ascii="Arial" w:cs="Arial" w:eastAsia="Arial" w:hAnsi="Arial"/>
                <w:sz w:val="18"/>
                <w:szCs w:val="18"/>
                <w:color w:val="auto"/>
              </w:rPr>
              <w:t>Foreign exchange contracts other than accounting hedges</w:t>
            </w:r>
          </w:p>
        </w:tc>
        <w:tc>
          <w:tcPr>
            <w:tcW w:w="1980" w:type="dxa"/>
            <w:vAlign w:val="bottom"/>
            <w:gridSpan w:val="2"/>
          </w:tcPr>
          <w:p>
            <w:pPr>
              <w:jc w:val="center"/>
              <w:ind w:left="1512"/>
              <w:spacing w:after="0"/>
              <w:rPr>
                <w:sz w:val="20"/>
                <w:szCs w:val="20"/>
                <w:color w:val="auto"/>
              </w:rPr>
            </w:pPr>
            <w:r>
              <w:rPr>
                <w:rFonts w:ascii="Arial" w:cs="Arial" w:eastAsia="Arial" w:hAnsi="Arial"/>
                <w:sz w:val="18"/>
                <w:szCs w:val="18"/>
                <w:color w:val="auto"/>
                <w:w w:val="94"/>
              </w:rPr>
              <w:t>$516</w:t>
            </w:r>
          </w:p>
        </w:tc>
        <w:tc>
          <w:tcPr>
            <w:tcW w:w="780" w:type="dxa"/>
            <w:vAlign w:val="bottom"/>
            <w:gridSpan w:val="2"/>
          </w:tcPr>
          <w:p>
            <w:pPr>
              <w:jc w:val="center"/>
              <w:ind w:left="339"/>
              <w:spacing w:after="0"/>
              <w:rPr>
                <w:sz w:val="20"/>
                <w:szCs w:val="20"/>
                <w:color w:val="auto"/>
              </w:rPr>
            </w:pPr>
            <w:r>
              <w:rPr>
                <w:rFonts w:ascii="Arial" w:cs="Arial" w:eastAsia="Arial" w:hAnsi="Arial"/>
                <w:sz w:val="18"/>
                <w:szCs w:val="18"/>
                <w:color w:val="auto"/>
                <w:w w:val="89"/>
              </w:rPr>
              <w:t>$212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notional principal amount for a derivative instrument provides one measure of the activity related to a particular risk exposure but does not represent the amount of our exposure to credit or market loss, nor does it reflect the gains or losses associated with the exposures and transactions that the foreign exchange instruments are intended to hedge. The amounts ultimately realized upon settlement of these financial instruments, together with the gains and losses on the underlying exposures, will depend on actual market conditions during the remaining life of the instruments.</w:t>
      </w:r>
    </w:p>
    <w:p>
      <w:pPr>
        <w:spacing w:after="0" w:line="113"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The estimates of fair value are based on applicable and commonly used pricing models and prevailing financial market information as of December 31, 2010. See Note 12 for additional information on the fair value measurements for all financial assets and liabilities, including derivative assets and derivative liabilities that are measured at fair value in our consolidated financial statements on a recurring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Pensions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As discussed in Note 4, most of our employees participate in various benefit and retirement plans sponsored by GE. GE retains and therefore does not allocate the assets and liabilities relating to these plans, but rather allocates the costs with respect to these plans to us on a quarterly basis. Further, GE’s primary pension plan, which is a defined benefit plan, is sponsored and administered by GE. Our participation in that plan is accounted for as partaking in a multi-employer plan, therefore we only record expense to the extent we are required to fund the plan.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274" w:right="2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consolidated financial statements do, however, include the assets and liabilities of certain legacy multi-employer plans that are frozen as well as the assets and liabilities for benefit plans of certain of our foreign subsidiaries. We have recorded a net funding liability related to these plans of approximately $38 million and $27 million at December 31, 2010 and 2009 respectively. The costs related to these plans included within operating costs and expenses are approximately $3 million, $4 million and $3 million for the years ended December 31, 2010, 2009 and 2008, respectively.</w:t>
      </w:r>
    </w:p>
    <w:p>
      <w:pPr>
        <w:spacing w:after="0" w:line="113"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Additionally, we participate in various multi-employer pension plans covering some of our employees who are represented by labor unions. We make periodic contributions to these plans pursuant to the terms of applicable collective bargaining agreements and laws, but we do not sponsor or administer these plans. Expenses related to these plans amounted to $10 million, $9 million and $8 million for the years ended December 31, 2010, 2009 and 2008,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Other income (expense)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(expense) related to our consolidated statement of income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9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transaction (loss) / gain (a)</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(27)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$ 600</w:t>
            </w:r>
          </w:p>
        </w:tc>
        <w:tc>
          <w:tcPr>
            <w:tcW w:w="3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w:t>
            </w:r>
          </w:p>
        </w:tc>
      </w:tr>
      <w:tr>
        <w:trPr>
          <w:trHeight w:val="216"/>
        </w:trPr>
        <w:tc>
          <w:tcPr>
            <w:tcW w:w="9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Non-cash impairments (b)</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(330)</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(232)</w:t>
            </w:r>
          </w:p>
        </w:tc>
      </w:tr>
      <w:tr>
        <w:trPr>
          <w:trHeight w:val="216"/>
        </w:trPr>
        <w:tc>
          <w:tcPr>
            <w:tcW w:w="9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insurance settlement (c)</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409</w:t>
            </w:r>
          </w:p>
        </w:tc>
      </w:tr>
      <w:tr>
        <w:trPr>
          <w:trHeight w:val="216"/>
        </w:trPr>
        <w:tc>
          <w:tcPr>
            <w:tcW w:w="920" w:type="dxa"/>
            <w:vAlign w:val="bottom"/>
          </w:tcPr>
          <w:p>
            <w:pPr>
              <w:spacing w:after="0"/>
              <w:rPr>
                <w:sz w:val="18"/>
                <w:szCs w:val="18"/>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(Loss)/gain on sale of investment (d)</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00"/>
              <w:spacing w:after="0"/>
              <w:rPr>
                <w:sz w:val="20"/>
                <w:szCs w:val="20"/>
                <w:color w:val="auto"/>
              </w:rPr>
            </w:pPr>
            <w:r>
              <w:rPr>
                <w:rFonts w:ascii="Arial" w:cs="Arial" w:eastAsia="Arial" w:hAnsi="Arial"/>
                <w:sz w:val="18"/>
                <w:szCs w:val="18"/>
                <w:color w:val="auto"/>
              </w:rPr>
              <w:t>(57)</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920" w:type="dxa"/>
            <w:vAlign w:val="bottom"/>
          </w:tcPr>
          <w:p>
            <w:pPr>
              <w:spacing w:after="0"/>
              <w:rPr>
                <w:sz w:val="18"/>
                <w:szCs w:val="18"/>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net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84"/>
              </w:rPr>
              <w:t>$ (29)</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$ 211</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$ 270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2009, we recorded non-cash gains as a result of equity transactions at two of our investees, including AETN. In June 2010, we adjusted the calculation of the gain that we recorded on the initial transaction by $24 million.</w:t>
      </w:r>
    </w:p>
    <w:p>
      <w:pPr>
        <w:ind w:left="460" w:right="1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2009 and 2008, we recorded other-than-temporary impairments of our available-for-sale and cost method investments in Ion Media Networks for a total of $159 million and $148 million, respectively. We also recorded impairments of $154 million in 2009 and $69 million in 2008, related to our equity method investments in TWC and ValueVision, respectively. See Note 6.</w:t>
      </w:r>
    </w:p>
    <w:p>
      <w:pPr>
        <w:spacing w:after="0" w:line="1"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May 2008, the back lot at Universal Studios sustained fire damage. In connection with the settlement of insurance claims, we received proceeds of $424 million, net of deductibles, and incurred $15 million in losses related to property damage and clean up efforts.</w:t>
      </w:r>
    </w:p>
    <w:p>
      <w:pPr>
        <w:ind w:left="460" w:right="16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2009, we sold our 26% interest in New Delhi Television Networks B.V. for $25 million and recognized a pre-tax loss of $118 million. In 2008, we sold Sundance for $230 million and recognized a pre-tax gain of $84 million (See Note 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Stockholders’ equity</w:t>
      </w:r>
    </w:p>
    <w:p>
      <w:pPr>
        <w:spacing w:after="0" w:line="96"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have one class of shares, Class A common stock, which was held 87.7% by GE and the remaining 12.3% by Vivendi as of December 31, 2010. The Stockholders Agreement between NBCU, GE and Vivendi provided for, among other things, restrictions on the transfer of common stock and the number of directors that can be appointed by each party and certain veto rights until such time as Vivendi’s interest falls below 10%.</w:t>
      </w:r>
    </w:p>
    <w:p>
      <w:pPr>
        <w:spacing w:after="0" w:line="10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Pursuant to the Vivendi Stock Purchase Agreement, GE purchased from Vivendi, 7.7% of the common stock of our company for $2.0 billion on September 26, 2010. On January 26, 2011, GE purchased Vivendi’s remaining 12.3% interest in our company.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74"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further in Note 19, our company was converted into a limited liability company on January 28, 2011 as part of the Joint Venture Transaction.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a result, our membership interests are wholly owned by NBCUniversal Holdings and we are now indirectly owned 51% by Comcast and 49% by GE.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three years ended December 31, 2010, our Parent, GE, granted stock options and RSUs to certain of our employees under the 2007 Long-Term Incentive Plan (the “Employee Plan”) or (“the Plan”). In addition, GE granted options and RSUs in limited circumstances to consultants, advisors and independent contractors (primarily non-employee talent) under a plan approved by GE’s Board of Directors in 1997 (the “Consultants’ Plan”). Share requirements for all plans may be met from either unissued or treasury shares of GE common stock. Stock options expire ten years from the date they are granted and vest over service periods that range from one to five years. RSUs give the recipients the right to receive shares of our stock upon the vesting of their related restrictions. Restrictions on RSUs vest in various increments and at various dates, beginning after one year from date of grant through grantee retirement. Although the plan permits GE to issue RSUs that are settleable in cash, GE has only issued RSUs settleable in shares of its own stock.</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Management Development and Compensation Committee, which consists entirely of independent directors of GE, must approve all grants of options under all plans.</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All information, except where specifically indicated as attributable to GE, presented in this footnote reflects options and RSUs awarded to NBCU employees and non-employees only.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2010</w:t>
            </w:r>
          </w:p>
        </w:tc>
        <w:tc>
          <w:tcPr>
            <w:tcW w:w="2000" w:type="dxa"/>
            <w:vAlign w:val="bottom"/>
            <w:gridSpan w:val="2"/>
          </w:tcPr>
          <w:p>
            <w:pPr>
              <w:jc w:val="center"/>
              <w:ind w:left="1036"/>
              <w:spacing w:after="0"/>
              <w:rPr>
                <w:sz w:val="20"/>
                <w:szCs w:val="20"/>
                <w:color w:val="auto"/>
              </w:rPr>
            </w:pPr>
            <w:r>
              <w:rPr>
                <w:rFonts w:ascii="Arial" w:cs="Arial" w:eastAsia="Arial" w:hAnsi="Arial"/>
                <w:sz w:val="14"/>
                <w:szCs w:val="14"/>
                <w:b w:val="1"/>
                <w:bCs w:val="1"/>
                <w:color w:val="auto"/>
                <w:w w:val="84"/>
              </w:rPr>
              <w:t>Securities to be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35"/>
        </w:trPr>
        <w:tc>
          <w:tcPr>
            <w:tcW w:w="4840" w:type="dxa"/>
            <w:vAlign w:val="bottom"/>
            <w:gridSpan w:val="3"/>
            <w:vMerge w:val="continue"/>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2"/>
              </w:rPr>
              <w:t>issued upon</w:t>
            </w:r>
          </w:p>
        </w:tc>
        <w:tc>
          <w:tcPr>
            <w:tcW w:w="1840" w:type="dxa"/>
            <w:vAlign w:val="bottom"/>
            <w:gridSpan w:val="4"/>
          </w:tcPr>
          <w:p>
            <w:pPr>
              <w:jc w:val="right"/>
              <w:ind w:right="100"/>
              <w:spacing w:after="0" w:line="135" w:lineRule="exact"/>
              <w:rPr>
                <w:sz w:val="20"/>
                <w:szCs w:val="20"/>
                <w:color w:val="auto"/>
              </w:rPr>
            </w:pPr>
            <w:r>
              <w:rPr>
                <w:rFonts w:ascii="Arial" w:cs="Arial" w:eastAsia="Arial" w:hAnsi="Arial"/>
                <w:sz w:val="14"/>
                <w:szCs w:val="14"/>
                <w:b w:val="1"/>
                <w:bCs w:val="1"/>
                <w:color w:val="auto"/>
              </w:rPr>
              <w:t>average exercise</w:t>
            </w:r>
          </w:p>
        </w:tc>
        <w:tc>
          <w:tcPr>
            <w:tcW w:w="0" w:type="dxa"/>
            <w:vAlign w:val="bottom"/>
          </w:tcPr>
          <w:p>
            <w:pPr>
              <w:spacing w:after="0"/>
              <w:rPr>
                <w:sz w:val="1"/>
                <w:szCs w:val="1"/>
                <w:color w:val="auto"/>
              </w:rPr>
            </w:pPr>
          </w:p>
        </w:tc>
      </w:tr>
      <w:tr>
        <w:trPr>
          <w:trHeight w:val="168"/>
        </w:trPr>
        <w:tc>
          <w:tcPr>
            <w:tcW w:w="4840" w:type="dxa"/>
            <w:vAlign w:val="bottom"/>
            <w:gridSpan w:val="3"/>
          </w:tcPr>
          <w:p>
            <w:pPr>
              <w:spacing w:after="0"/>
              <w:rPr>
                <w:sz w:val="20"/>
                <w:szCs w:val="20"/>
                <w:color w:val="auto"/>
              </w:rPr>
            </w:pPr>
            <w:r>
              <w:rPr>
                <w:rFonts w:ascii="Arial" w:cs="Arial" w:eastAsia="Arial" w:hAnsi="Arial"/>
                <w:sz w:val="14"/>
                <w:szCs w:val="14"/>
                <w:b w:val="1"/>
                <w:bCs w:val="1"/>
                <w:color w:val="auto"/>
              </w:rPr>
              <w:t>(shares in thousands)</w:t>
            </w:r>
          </w:p>
        </w:tc>
        <w:tc>
          <w:tcPr>
            <w:tcW w:w="1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1"/>
              </w:rPr>
              <w:t>exercise</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price</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Employee Plan (approved by shareowners)</w:t>
            </w: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Options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27,525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RSUs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Consultants’ Plan (not approved by shareowners)</w:t>
            </w:r>
          </w:p>
        </w:tc>
        <w:tc>
          <w:tcPr>
            <w:tcW w:w="1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Options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2"/>
          </w:tcPr>
          <w:p>
            <w:pPr>
              <w:ind w:left="420"/>
              <w:spacing w:after="0"/>
              <w:rPr>
                <w:sz w:val="20"/>
                <w:szCs w:val="20"/>
                <w:color w:val="auto"/>
              </w:rPr>
            </w:pPr>
            <w:r>
              <w:rPr>
                <w:rFonts w:ascii="Arial" w:cs="Arial" w:eastAsia="Arial" w:hAnsi="Arial"/>
                <w:sz w:val="18"/>
                <w:szCs w:val="18"/>
                <w:color w:val="auto"/>
              </w:rPr>
              <w:t>RSUs</w:t>
            </w:r>
          </w:p>
        </w:tc>
        <w:tc>
          <w:tcPr>
            <w:tcW w:w="1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8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29,835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2007, the Board of Directors of GE approved the 2007 Plan. The maximum number of shares that may be granted under the Plan is 500 million shares, of which no more than 250 million may be available for awards granted in any form provided under the Plan other than options or stock appreciation rights. Total shares available for future issuance under GE’s 2007 Plan amounted to 184.8 million shares at December 31, 2010. Outstanding options expire on various dates through December 9, 2020.</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 outstanding: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GE stock options outstanding at December 31, 2010.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w w:val="92"/>
              </w:rPr>
              <w:t>Outstanding</w:t>
            </w: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Pr>
          <w:p>
            <w:pPr>
              <w:spacing w:after="0"/>
              <w:rPr>
                <w:sz w:val="14"/>
                <w:szCs w:val="14"/>
                <w:color w:val="auto"/>
              </w:rPr>
            </w:pPr>
          </w:p>
        </w:tc>
        <w:tc>
          <w:tcPr>
            <w:tcW w:w="15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95"/>
              </w:rPr>
              <w:t>Exercisable</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82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8"/>
              </w:rPr>
              <w:t>GE Shares</w:t>
            </w:r>
          </w:p>
        </w:tc>
        <w:tc>
          <w:tcPr>
            <w:tcW w:w="58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Average life (a)</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Average</w:t>
            </w:r>
          </w:p>
        </w:tc>
        <w:tc>
          <w:tcPr>
            <w:tcW w:w="580" w:type="dxa"/>
            <w:vAlign w:val="bottom"/>
          </w:tcPr>
          <w:p>
            <w:pPr>
              <w:spacing w:after="0"/>
              <w:rPr>
                <w:sz w:val="11"/>
                <w:szCs w:val="11"/>
                <w:color w:val="auto"/>
              </w:rPr>
            </w:pPr>
          </w:p>
        </w:tc>
        <w:tc>
          <w:tcPr>
            <w:tcW w:w="820" w:type="dxa"/>
            <w:vAlign w:val="bottom"/>
          </w:tcPr>
          <w:p>
            <w:pPr>
              <w:jc w:val="right"/>
              <w:ind w:right="18"/>
              <w:spacing w:after="0" w:line="129" w:lineRule="exact"/>
              <w:rPr>
                <w:sz w:val="20"/>
                <w:szCs w:val="20"/>
                <w:color w:val="auto"/>
              </w:rPr>
            </w:pPr>
            <w:r>
              <w:rPr>
                <w:rFonts w:ascii="Arial" w:cs="Arial" w:eastAsia="Arial" w:hAnsi="Arial"/>
                <w:sz w:val="14"/>
                <w:szCs w:val="14"/>
                <w:b w:val="1"/>
                <w:bCs w:val="1"/>
                <w:color w:val="auto"/>
                <w:w w:val="98"/>
              </w:rPr>
              <w:t>GE Shares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4"/>
                <w:szCs w:val="14"/>
                <w:b w:val="1"/>
                <w:bCs w:val="1"/>
                <w:color w:val="auto"/>
              </w:rPr>
              <w:t>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w w:val="89"/>
              </w:rPr>
              <w:t>Exercise price range</w:t>
            </w:r>
          </w:p>
        </w:tc>
        <w:tc>
          <w:tcPr>
            <w:tcW w:w="28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580" w:type="dxa"/>
            <w:vAlign w:val="bottom"/>
          </w:tcPr>
          <w:p>
            <w:pPr>
              <w:spacing w:after="0"/>
              <w:rPr>
                <w:sz w:val="14"/>
                <w:szCs w:val="14"/>
                <w:color w:val="auto"/>
              </w:rPr>
            </w:pPr>
          </w:p>
        </w:tc>
        <w:tc>
          <w:tcPr>
            <w:tcW w:w="880" w:type="dxa"/>
            <w:vAlign w:val="bottom"/>
          </w:tcPr>
          <w:p>
            <w:pPr>
              <w:jc w:val="right"/>
              <w:ind w:right="102"/>
              <w:spacing w:after="0"/>
              <w:rPr>
                <w:sz w:val="20"/>
                <w:szCs w:val="20"/>
                <w:color w:val="auto"/>
              </w:rPr>
            </w:pPr>
            <w:r>
              <w:rPr>
                <w:rFonts w:ascii="Arial" w:cs="Arial" w:eastAsia="Arial" w:hAnsi="Arial"/>
                <w:sz w:val="14"/>
                <w:szCs w:val="14"/>
                <w:b w:val="1"/>
                <w:bCs w:val="1"/>
                <w:color w:val="auto"/>
              </w:rPr>
              <w:t>(in years)</w:t>
            </w:r>
          </w:p>
        </w:tc>
        <w:tc>
          <w:tcPr>
            <w:tcW w:w="5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56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 $10.00</w:t>
            </w:r>
          </w:p>
        </w:tc>
        <w:tc>
          <w:tcPr>
            <w:tcW w:w="28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9.57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10.01 – 15.00</w:t>
            </w:r>
          </w:p>
        </w:tc>
        <w:tc>
          <w:tcPr>
            <w:tcW w:w="820" w:type="dxa"/>
            <w:vAlign w:val="bottom"/>
          </w:tcPr>
          <w:p>
            <w:pPr>
              <w:jc w:val="right"/>
              <w:spacing w:after="0"/>
              <w:rPr>
                <w:sz w:val="20"/>
                <w:szCs w:val="20"/>
                <w:color w:val="auto"/>
              </w:rPr>
            </w:pPr>
            <w:r>
              <w:rPr>
                <w:rFonts w:ascii="Arial" w:cs="Arial" w:eastAsia="Arial" w:hAnsi="Arial"/>
                <w:sz w:val="18"/>
                <w:szCs w:val="18"/>
                <w:color w:val="auto"/>
              </w:rPr>
              <w:t>5,659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11.91</w:t>
            </w:r>
          </w:p>
        </w:tc>
        <w:tc>
          <w:tcPr>
            <w:tcW w:w="820" w:type="dxa"/>
            <w:vAlign w:val="bottom"/>
          </w:tcPr>
          <w:p>
            <w:pPr>
              <w:jc w:val="right"/>
              <w:spacing w:after="0"/>
              <w:rPr>
                <w:sz w:val="20"/>
                <w:szCs w:val="20"/>
                <w:color w:val="auto"/>
              </w:rPr>
            </w:pPr>
            <w:r>
              <w:rPr>
                <w:rFonts w:ascii="Arial" w:cs="Arial" w:eastAsia="Arial" w:hAnsi="Arial"/>
                <w:sz w:val="18"/>
                <w:szCs w:val="18"/>
                <w:color w:val="auto"/>
              </w:rPr>
              <w:t>1,087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11.90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15.01 – 20.00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15.96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20.01 – 25.00</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22.80</w:t>
            </w: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25.01 – 30.00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27.59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30.01 – 35.00</w:t>
            </w:r>
          </w:p>
        </w:tc>
        <w:tc>
          <w:tcPr>
            <w:tcW w:w="820" w:type="dxa"/>
            <w:vAlign w:val="bottom"/>
          </w:tcPr>
          <w:p>
            <w:pPr>
              <w:jc w:val="right"/>
              <w:spacing w:after="0"/>
              <w:rPr>
                <w:sz w:val="20"/>
                <w:szCs w:val="20"/>
                <w:color w:val="auto"/>
              </w:rPr>
            </w:pPr>
            <w:r>
              <w:rPr>
                <w:rFonts w:ascii="Arial" w:cs="Arial" w:eastAsia="Arial" w:hAnsi="Arial"/>
                <w:sz w:val="18"/>
                <w:szCs w:val="18"/>
                <w:color w:val="auto"/>
              </w:rPr>
              <w:t>4,667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33.38</w:t>
            </w:r>
          </w:p>
        </w:tc>
        <w:tc>
          <w:tcPr>
            <w:tcW w:w="820" w:type="dxa"/>
            <w:vAlign w:val="bottom"/>
          </w:tcPr>
          <w:p>
            <w:pPr>
              <w:jc w:val="right"/>
              <w:spacing w:after="0"/>
              <w:rPr>
                <w:sz w:val="20"/>
                <w:szCs w:val="20"/>
                <w:color w:val="auto"/>
              </w:rPr>
            </w:pPr>
            <w:r>
              <w:rPr>
                <w:rFonts w:ascii="Arial" w:cs="Arial" w:eastAsia="Arial" w:hAnsi="Arial"/>
                <w:sz w:val="18"/>
                <w:szCs w:val="18"/>
                <w:color w:val="auto"/>
              </w:rPr>
              <w:t>4,330</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Over $35.00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5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40.36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0"/>
        </w:trPr>
        <w:tc>
          <w:tcPr>
            <w:tcW w:w="4540" w:type="dxa"/>
            <w:vAlign w:val="bottom"/>
            <w:gridSpan w:val="4"/>
            <w:vMerge w:val="restart"/>
          </w:tcPr>
          <w:p>
            <w:pPr>
              <w:ind w:left="4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40" w:type="dxa"/>
            <w:vAlign w:val="bottom"/>
            <w:gridSpan w:val="4"/>
            <w:vMerge w:val="continue"/>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27,749</w:t>
            </w:r>
          </w:p>
        </w:tc>
        <w:tc>
          <w:tcPr>
            <w:tcW w:w="5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82</w:t>
            </w:r>
          </w:p>
        </w:tc>
        <w:tc>
          <w:tcPr>
            <w:tcW w:w="820" w:type="dxa"/>
            <w:vAlign w:val="bottom"/>
          </w:tcPr>
          <w:p>
            <w:pPr>
              <w:jc w:val="right"/>
              <w:spacing w:after="0"/>
              <w:rPr>
                <w:sz w:val="20"/>
                <w:szCs w:val="20"/>
                <w:color w:val="auto"/>
              </w:rPr>
            </w:pPr>
            <w:r>
              <w:rPr>
                <w:rFonts w:ascii="Arial" w:cs="Arial" w:eastAsia="Arial" w:hAnsi="Arial"/>
                <w:sz w:val="18"/>
                <w:szCs w:val="18"/>
                <w:color w:val="auto"/>
              </w:rPr>
              <w:t>12,220</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30.29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contractual life remaining in years.</w:t>
      </w:r>
    </w:p>
    <w:p>
      <w:pPr>
        <w:spacing w:after="0" w:line="17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At December 31, 2009, options with an average exercise price of $36.31 were exercisable on 11 million shares of GE Common Stock.</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40" w:type="dxa"/>
            <w:vAlign w:val="bottom"/>
          </w:tcPr>
          <w:p>
            <w:pPr>
              <w:spacing w:after="0"/>
              <w:rPr>
                <w:sz w:val="12"/>
                <w:szCs w:val="12"/>
                <w:color w:val="auto"/>
              </w:rPr>
            </w:pPr>
          </w:p>
        </w:tc>
        <w:tc>
          <w:tcPr>
            <w:tcW w:w="7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500" w:type="dxa"/>
            <w:vAlign w:val="bottom"/>
            <w:gridSpan w:val="2"/>
          </w:tcPr>
          <w:p>
            <w:pPr>
              <w:jc w:val="right"/>
              <w:ind w:right="780"/>
              <w:spacing w:after="0" w:line="149" w:lineRule="exact"/>
              <w:rPr>
                <w:sz w:val="20"/>
                <w:szCs w:val="20"/>
                <w:color w:val="auto"/>
              </w:rPr>
            </w:pPr>
            <w:r>
              <w:rPr>
                <w:rFonts w:ascii="Arial" w:cs="Arial" w:eastAsia="Arial" w:hAnsi="Arial"/>
                <w:sz w:val="14"/>
                <w:szCs w:val="14"/>
                <w:b w:val="1"/>
                <w:bCs w:val="1"/>
                <w:color w:val="auto"/>
                <w:w w:val="98"/>
              </w:rPr>
              <w:t>GE Shares</w:t>
            </w:r>
          </w:p>
        </w:tc>
        <w:tc>
          <w:tcPr>
            <w:tcW w:w="100" w:type="dxa"/>
            <w:vAlign w:val="bottom"/>
          </w:tcPr>
          <w:p>
            <w:pPr>
              <w:spacing w:after="0"/>
              <w:rPr>
                <w:sz w:val="12"/>
                <w:szCs w:val="12"/>
                <w:color w:val="auto"/>
              </w:rPr>
            </w:pPr>
          </w:p>
        </w:tc>
        <w:tc>
          <w:tcPr>
            <w:tcW w:w="68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4"/>
              </w:rPr>
              <w:t>average</w:t>
            </w:r>
          </w:p>
        </w:tc>
        <w:tc>
          <w:tcPr>
            <w:tcW w:w="6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82"/>
              </w:rPr>
              <w:t>(in thousands)</w:t>
            </w:r>
          </w:p>
        </w:tc>
        <w:tc>
          <w:tcPr>
            <w:tcW w:w="68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1"/>
              </w:rPr>
              <w:t>exercise price</w:t>
            </w:r>
          </w:p>
        </w:tc>
        <w:tc>
          <w:tcPr>
            <w:tcW w:w="6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6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25,114</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24.84</w:t>
            </w: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Transfers</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19.69</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10.59</w:t>
            </w: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Expired</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(2,048)</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46.40</w:t>
            </w: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2010</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27,749</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gridSpan w:val="2"/>
            <w:vMerge w:val="continue"/>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12,220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740" w:type="dxa"/>
            <w:vAlign w:val="bottom"/>
            <w:gridSpan w:val="2"/>
          </w:tcPr>
          <w:p>
            <w:pPr>
              <w:ind w:left="64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Options expected to vest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13,485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3" w:lineRule="auto"/>
        <w:rPr>
          <w:sz w:val="20"/>
          <w:szCs w:val="20"/>
          <w:color w:val="auto"/>
        </w:rPr>
      </w:pPr>
      <w:r>
        <w:rPr>
          <w:rFonts w:ascii="Arial" w:cs="Arial" w:eastAsia="Arial" w:hAnsi="Arial"/>
          <w:sz w:val="15"/>
          <w:szCs w:val="15"/>
          <w:color w:val="auto"/>
        </w:rPr>
        <w:t>GE measures the fair value of each stock option grant at the date of grant using a Black-Scholes option-pricing model. The weighted average grant-date fair value of options granted during 2010, 2009 and 2008 was $4.11, $3.81 and $5.26 respectively. The following assumptions were used in arriving at the fair value of options granted during 2010, 2009 and 2008, respectively: (i) risk-free interest rates of 2.9%, 3.2% and 3.4%; (ii) dividend yields of 3.9%, 3.9% and 4.4%;</w:t>
      </w:r>
    </w:p>
    <w:p>
      <w:pPr>
        <w:spacing w:after="0" w:line="1" w:lineRule="exact"/>
        <w:rPr>
          <w:sz w:val="20"/>
          <w:szCs w:val="20"/>
          <w:color w:val="auto"/>
        </w:rPr>
      </w:pPr>
    </w:p>
    <w:p>
      <w:pPr>
        <w:ind w:right="20" w:firstLine="8"/>
        <w:spacing w:after="0" w:line="254" w:lineRule="auto"/>
        <w:tabs>
          <w:tab w:leader="none" w:pos="30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volatility of 35%, 49% and 27%; and (iv) expected lives of six years and eleven months, six years and ten months, and six years and ten months. Risk-free interest rates reflect the yield on zero- coupon U.S. Treasury securities. Expected dividend yields presume a set dividend rate using a historical five-year average. Expected volatilities are based on implied volatilities from traded options and historical volatility of GE’s stock. The expected option lives are based on GE’s historical experience of employee exercise behavior.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274" w:right="23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The total intrinsic value of options exercised during 2010 and 2008 amounted to $1 million and $4 million, respectively. There were no options exercised in</w:t>
      </w:r>
    </w:p>
    <w:p>
      <w:pPr>
        <w:spacing w:after="0" w:line="38" w:lineRule="exact"/>
        <w:rPr>
          <w:sz w:val="20"/>
          <w:szCs w:val="20"/>
          <w:color w:val="auto"/>
        </w:rPr>
      </w:pPr>
    </w:p>
    <w:p>
      <w:pPr>
        <w:jc w:val="both"/>
        <w:ind w:right="460"/>
        <w:spacing w:after="0" w:line="255" w:lineRule="auto"/>
        <w:rPr>
          <w:sz w:val="20"/>
          <w:szCs w:val="20"/>
          <w:color w:val="auto"/>
        </w:rPr>
      </w:pPr>
      <w:r>
        <w:rPr>
          <w:rFonts w:ascii="Arial" w:cs="Arial" w:eastAsia="Arial" w:hAnsi="Arial"/>
          <w:sz w:val="18"/>
          <w:szCs w:val="18"/>
          <w:color w:val="auto"/>
        </w:rPr>
        <w:t>2009. As of December 31, 2010, there was $40 million of total unrecognized compensation cost related to non-vested options. Excluding the impact of any accelerated vesting associated to the Joint Venture Transaction, this cost is expected to be recognized over a weighted average period of two years, of which approximately $14 million is expected to be recognized in 2011.</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Stock option expense recognized in net income amounted to $12 million, $9 million and $6 million for the years ended December 31, 2010, 2009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2008.</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5"/>
              </w:rPr>
              <w:t>Weighted</w:t>
            </w: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66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average grant</w:t>
            </w: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intrinsic</w:t>
            </w: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148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8"/>
              </w:rPr>
              <w:t>GE Shares</w:t>
            </w:r>
          </w:p>
        </w:tc>
        <w:tc>
          <w:tcPr>
            <w:tcW w:w="120" w:type="dxa"/>
            <w:vAlign w:val="bottom"/>
          </w:tcPr>
          <w:p>
            <w:pPr>
              <w:spacing w:after="0"/>
              <w:rPr>
                <w:sz w:val="12"/>
                <w:szCs w:val="12"/>
                <w:color w:val="auto"/>
              </w:rPr>
            </w:pPr>
          </w:p>
        </w:tc>
        <w:tc>
          <w:tcPr>
            <w:tcW w:w="70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1"/>
              </w:rPr>
              <w:t>date fair</w:t>
            </w:r>
          </w:p>
        </w:tc>
        <w:tc>
          <w:tcPr>
            <w:tcW w:w="6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term</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value</w:t>
            </w:r>
          </w:p>
        </w:tc>
        <w:tc>
          <w:tcPr>
            <w:tcW w:w="0" w:type="dxa"/>
            <w:vAlign w:val="bottom"/>
          </w:tcPr>
          <w:p>
            <w:pPr>
              <w:spacing w:after="0"/>
              <w:rPr>
                <w:sz w:val="1"/>
                <w:szCs w:val="1"/>
                <w:color w:val="auto"/>
              </w:rPr>
            </w:pPr>
          </w:p>
        </w:tc>
      </w:tr>
      <w:tr>
        <w:trPr>
          <w:trHeight w:val="161"/>
        </w:trPr>
        <w:tc>
          <w:tcPr>
            <w:tcW w:w="5460" w:type="dxa"/>
            <w:vAlign w:val="bottom"/>
          </w:tcPr>
          <w:p>
            <w:pPr>
              <w:spacing w:after="0"/>
              <w:rPr>
                <w:sz w:val="14"/>
                <w:szCs w:val="14"/>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2"/>
              </w:rPr>
              <w:t>(in thousands)</w:t>
            </w:r>
          </w:p>
        </w:tc>
        <w:tc>
          <w:tcPr>
            <w:tcW w:w="120" w:type="dxa"/>
            <w:vAlign w:val="bottom"/>
          </w:tcPr>
          <w:p>
            <w:pPr>
              <w:spacing w:after="0"/>
              <w:rPr>
                <w:sz w:val="14"/>
                <w:szCs w:val="14"/>
                <w:color w:val="auto"/>
              </w:rPr>
            </w:pPr>
          </w:p>
        </w:tc>
        <w:tc>
          <w:tcPr>
            <w:tcW w:w="700" w:type="dxa"/>
            <w:vAlign w:val="bottom"/>
          </w:tcPr>
          <w:p>
            <w:pPr>
              <w:jc w:val="center"/>
              <w:ind w:right="38"/>
              <w:spacing w:after="0"/>
              <w:rPr>
                <w:sz w:val="20"/>
                <w:szCs w:val="20"/>
                <w:color w:val="auto"/>
              </w:rPr>
            </w:pPr>
            <w:r>
              <w:rPr>
                <w:rFonts w:ascii="Arial" w:cs="Arial" w:eastAsia="Arial" w:hAnsi="Arial"/>
                <w:sz w:val="14"/>
                <w:szCs w:val="14"/>
                <w:b w:val="1"/>
                <w:bCs w:val="1"/>
                <w:color w:val="auto"/>
                <w:w w:val="83"/>
              </w:rPr>
              <w:t>value</w:t>
            </w:r>
          </w:p>
        </w:tc>
        <w:tc>
          <w:tcPr>
            <w:tcW w:w="6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RSUs outstanding at January 1, 2010</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30.91</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Transfers</w:t>
            </w: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25.07</w:t>
            </w:r>
          </w:p>
        </w:tc>
        <w:tc>
          <w:tcPr>
            <w:tcW w:w="6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Vested</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33.13</w:t>
            </w:r>
          </w:p>
        </w:tc>
        <w:tc>
          <w:tcPr>
            <w:tcW w:w="6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RSUs outstanding at December 31, 2010</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ind w:left="440"/>
              <w:spacing w:after="0"/>
              <w:rPr>
                <w:sz w:val="20"/>
                <w:szCs w:val="20"/>
                <w:color w:val="auto"/>
              </w:rPr>
            </w:pPr>
            <w:r>
              <w:rPr>
                <w:rFonts w:ascii="Arial" w:cs="Arial" w:eastAsia="Arial" w:hAnsi="Arial"/>
                <w:sz w:val="16"/>
                <w:szCs w:val="16"/>
                <w:color w:val="auto"/>
                <w:w w:val="78"/>
              </w:rPr>
              <w:t>38</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60" w:type="dxa"/>
            <w:vAlign w:val="bottom"/>
            <w:vMerge w:val="continue"/>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29.81</w:t>
            </w:r>
          </w:p>
        </w:tc>
        <w:tc>
          <w:tcPr>
            <w:tcW w:w="1280" w:type="dxa"/>
            <w:vAlign w:val="bottom"/>
            <w:gridSpan w:val="2"/>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RSUs expected to vest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78"/>
              </w:rPr>
              <w:t>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fair value of each restricted stock unit is the market price of our stock on the date of grant. The weighted average grant date fair value of RSUs granted during 2010, 2009 and 2008 was $16.50, $12.80 and $28.55, respectively. The total intrinsic value of RSUs vested during 2010, 2009 and 2008 amounted to $9 million, $16 million and $23 million, respectively. As of December 31, 2010, there was $28 million of total unrecognized compensation cost related to nonvested RSUs. Excluding the impact of any accelerated vesting associated to the Joint Venture Transaction, this cost is expected to be recognized over a weighted average period of two years, of which approximately $13 million is expected to be recognized in 2011.</w:t>
      </w:r>
    </w:p>
    <w:p>
      <w:pPr>
        <w:spacing w:after="0" w:line="116"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Other share-based compensation expense recognized in net income amounted to $11 million, $12 million and $17 million in 2010, 2009 and 2008, respectively.</w:t>
      </w:r>
    </w:p>
    <w:p>
      <w:pPr>
        <w:spacing w:after="0" w:line="207" w:lineRule="exact"/>
        <w:rPr>
          <w:sz w:val="20"/>
          <w:szCs w:val="20"/>
          <w:color w:val="auto"/>
        </w:rPr>
      </w:pPr>
    </w:p>
    <w:p>
      <w:pPr>
        <w:ind w:left="240" w:right="8640" w:hanging="232"/>
        <w:spacing w:after="0" w:line="347" w:lineRule="auto"/>
        <w:tabs>
          <w:tab w:leader="none" w:pos="348"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Commitments</w:t>
      </w:r>
    </w:p>
    <w:p>
      <w:pPr>
        <w:spacing w:after="0" w:line="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At December 31, 2010, we had $6.002 billion of commitments to acquire film and television programming, including U.S. television rights to future Olympic Games, </w:t>
      </w:r>
      <w:r>
        <w:rPr>
          <w:rFonts w:ascii="Arial" w:cs="Arial" w:eastAsia="Arial" w:hAnsi="Arial"/>
          <w:sz w:val="16"/>
          <w:szCs w:val="16"/>
          <w:i w:val="1"/>
          <w:iCs w:val="1"/>
          <w:color w:val="auto"/>
        </w:rPr>
        <w:t>NBC’s Sunday Night Football</w:t>
      </w:r>
      <w:r>
        <w:rPr>
          <w:rFonts w:ascii="Arial" w:cs="Arial" w:eastAsia="Arial" w:hAnsi="Arial"/>
          <w:sz w:val="16"/>
          <w:szCs w:val="16"/>
          <w:color w:val="auto"/>
        </w:rPr>
        <w:t xml:space="preserve"> through the 2013-2014 season and the NFL </w:t>
      </w:r>
      <w:r>
        <w:rPr>
          <w:rFonts w:ascii="Arial" w:cs="Arial" w:eastAsia="Arial" w:hAnsi="Arial"/>
          <w:sz w:val="16"/>
          <w:szCs w:val="16"/>
          <w:i w:val="1"/>
          <w:iCs w:val="1"/>
          <w:color w:val="auto"/>
        </w:rPr>
        <w:t>Super Bowl</w:t>
      </w:r>
      <w:r>
        <w:rPr>
          <w:rFonts w:ascii="Arial" w:cs="Arial" w:eastAsia="Arial" w:hAnsi="Arial"/>
          <w:sz w:val="16"/>
          <w:szCs w:val="16"/>
          <w:color w:val="auto"/>
        </w:rPr>
        <w:t xml:space="preserve"> in 2012. We further had $1.991 billion of contractual commitments under various creative talent and employment agreements, including obligations to actors, producers, television personalities and executives and various other television commitments that require payments through 2014. At December 31, 2010, minimum rental commitments under noncancelable facilities and equipment operating leases aggregated to $1.455 billion, including leases with related parties aggregating $648 million. Rental expense totaled $217 million, $183 million and $169 million for the years ended December 31, 2010, 2009 and 2008,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274"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2010, we had the following commitments: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Programming</w:t>
            </w:r>
          </w:p>
        </w:tc>
        <w:tc>
          <w:tcPr>
            <w:tcW w:w="1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8"/>
              </w:rPr>
              <w:t>Take-or-pay</w:t>
            </w:r>
          </w:p>
        </w:tc>
        <w:tc>
          <w:tcPr>
            <w:tcW w:w="36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Operating</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38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commitments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2"/>
              </w:rPr>
              <w:t>contracts</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79"/>
              </w:rPr>
              <w:t>leases</w:t>
            </w:r>
          </w:p>
        </w:tc>
        <w:tc>
          <w:tcPr>
            <w:tcW w:w="36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Other</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280" w:type="dxa"/>
            <w:vAlign w:val="bottom"/>
            <w:gridSpan w:val="2"/>
            <w:shd w:val="clear" w:color="auto" w:fill="CCEEFF"/>
          </w:tcPr>
          <w:p>
            <w:pPr>
              <w:ind w:left="30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2,179</w:t>
            </w: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$245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3,622</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2012</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1,804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3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2,736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1,527</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2014</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489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Thereafter</w:t>
            </w: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556</w:t>
            </w:r>
          </w:p>
        </w:tc>
        <w:tc>
          <w:tcPr>
            <w:tcW w:w="3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927</w:t>
            </w:r>
          </w:p>
        </w:tc>
      </w:tr>
      <w:tr>
        <w:trPr>
          <w:trHeight w:val="27"/>
        </w:trPr>
        <w:tc>
          <w:tcPr>
            <w:tcW w:w="38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3"/>
              </w:rPr>
              <w:t>10,023</w:t>
            </w:r>
          </w:p>
        </w:tc>
      </w:tr>
      <w:tr>
        <w:trPr>
          <w:trHeight w:val="20"/>
        </w:trPr>
        <w:tc>
          <w:tcPr>
            <w:tcW w:w="38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We have entered into agreements to lease back certain properties that we previously sold, over lease terms of 5-19 years. We classified these leases as operating leases in accordance with ASC 840, </w:t>
      </w:r>
      <w:r>
        <w:rPr>
          <w:rFonts w:ascii="Arial" w:cs="Arial" w:eastAsia="Arial" w:hAnsi="Arial"/>
          <w:sz w:val="18"/>
          <w:szCs w:val="18"/>
          <w:i w:val="1"/>
          <w:iCs w:val="1"/>
          <w:color w:val="auto"/>
        </w:rPr>
        <w:t>Leases</w:t>
      </w:r>
      <w:r>
        <w:rPr>
          <w:rFonts w:ascii="Arial" w:cs="Arial" w:eastAsia="Arial" w:hAnsi="Arial"/>
          <w:sz w:val="18"/>
          <w:szCs w:val="18"/>
          <w:color w:val="auto"/>
        </w:rPr>
        <w:t>. We actively use these properties and consider the leases normal leasebacks. Gains of $99 million were deferred and are being recognized over the minimum term of these leases. Minimum lease payments of approximately $82 million under these leases are included in the commitments table above.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Legal matters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involved in various claims and legal actions arising in the ordinary course of business. In our opinion, the ultimate disposition of these matters are not likely, in the aggregate, to have a material effect on our consolidated financial statements.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Collective bargaining agreements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Many of our employees, including writers, directors, actors, technical and production personnel and others, as well as some of our on-air and creative talent, are covered by collective bargaining agreements or works councils. Labor organizing activities could result in additional employees becoming unionized. We are not always able to reach agreement with a labor union prior to the expiration of a collective bargaining agreement, and our employees who were covered by an expired collective bargaining agreement may have a right to strike or take other actions that could adversely affect us. Moreover, even if we successfully negotiate new collective bargaining agreements with our employees, the terms or conditions of those agreements may be less favorable than those of our current agreements. Many of our collective bargaining agreements are industry-wide agreements, and we may lack practical control over the negotiations and terms of the agreements. As of December 31, 2010, 47 collective bargaining agreements covering approximately 3,350 of our full-time, part-time and full-time equivalent (“FTE”) freelance employees on our payroll had expired without a new collective bargaining agreement having been agreed to by us, including our agreement with the National Association of Broadcast Employees and Technicians, covering more than 1,420 of our full-time, part-time and FTE freelance employees on our payroll. Approximately 29 collective bargaining agreements covering approximately 2,950 of our full-time, part-time and FTE freelance employees on our payroll are scheduled to expire throughout the remainder of 2011.</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provide guarantees in the ordinary course of business. We underwrite these guarantees considering economic, liquidity and credit risk of the counterparty. We believe that the likelihood is remote that any such arrangements could have a significant adverse effect on our consolidated financial statements. We record liabilities for guarantees at estimated fair value, generally the amount of the premium received, or if we do not receive a premium, the amount based on appraisal, observed market values or discounted cash flows.</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guarantee an obligation of our 50% joint venture, UCDP, the principal operations of which include the ownership and operation of two theme parks (Universal Studios Florida and Universal’s Islands of Adventure) and certain facilities located at Universal Orlando Resort (collectively “the Orlando Parks”). Affiliates of the Blackstone Group L.P. (“Blackstone”) hold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274" w:right="2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remaining 50% interest in UCDP. In November 2009, Blackstone refinanced its existing term loan and entered into a five-year loan agreement with a syndicate of lenders in the amount of $305 million (including prefunded interest and amortization), which is secured by their equity interests in UCDP. We guaranteed the loan on a deficiency basis and received a fee for the guarantee. Future distributions, other than tax distributions, from UCDP to Blackstone are applied to the repayment of the loan. At December 31, 2010 and 2009, our liabilities associated with this guarantee were $7 million and $9 million, respectively.</w:t>
      </w:r>
    </w:p>
    <w:p>
      <w:pPr>
        <w:spacing w:after="0" w:line="113"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UCDP has an agreement with a third party consultant under which UCDP pays a fee equal to a percentage of UCDP’s gross revenue from the Orlando Parks, as well as from comparable projects, which include Universal Studios Japan and Universal Studios Singapore.</w:t>
      </w:r>
    </w:p>
    <w:p>
      <w:pPr>
        <w:spacing w:after="0" w:line="8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We guarantee UCDP’s obligations under the consulting agreement, and directly pay fees on behalf of UCDP with respect to Universal Studios Japan and Universal Studios Singapore. We also indemnify UCDP against any liability arising under the consultant agreement related to any comparable projects that are not owned or controlled by UCDP.</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On October 18, 2009, UCDP executed an amendment to the consultant agreement that modified the consultant’s right to terminate UCDP’s obligation to make periodic payments there under, and to receive instead a one-time cash payment equal to the fair market value of the consultant’s interest in the future revenue of the Orlando Parks and any comparable projects that were open for at least one year at that time. The amendment extended the earliest exercise date for this right to June 2017, but provided the consultant with the option to make a one-time election to fix certain inputs for purposes of calculating the value of the payment. The consultant executed this option to fix the inputs in January 2010. The consulting agreement does not have a termination date and the consultant has an option to terminate the consulting agreement in exchange for a lump sum payment established by a formula in the consulting agreement. The consultant’s right to elect a lump sum payment cannot be exercised prior to June 2017. If UCDP cannot pay the fees owed under the consulting agreement or, if elected, the lump sum payment for termination of the consulting agreement, we could be liable for the entire unpaid amounts. As of both December 31, 2010 and 2009, our liability associated with the obligation to guarantee UCDP’s obligations under the consultant agreement was $5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Subsequent events</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evaluate subsequent events that have occurred through the date our consolidated financial statements were available to be issued. As such we have evaluated events that have occurred through February 28, 2011.</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Joint Venture Transaction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January 28, 2011, we closed the Joint Venture Transaction, which combines our former company, NBC Universal Inc. and certain businesses contributed by Comcast (the “Comcast Content Business”). The Comcast Content Business consists primarily of Comcast’s national cable networks, including E!, Golf Channel, G4, Style and VERSUS, Comcast’s regional cable networks, consisting of ten regional sports networks and three regional community-oriented and news channels; and certain digital media assets, including the Internet websites Fandango and DailyCandy.</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the Joint Venture Transaction, we used the remaining proceeds from the $9.1 billion of 2010 Senior Notes to distribute $7.4 billion to GE immediately prior to the closing. In addition, on January 26, 2011, GE purchased Vivendi’s remaining interest for $3.578 billion and made an additional payment of $222 million related to the previously purchased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274" w:right="2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NBC U</w:t>
      </w:r>
      <w:r>
        <w:rPr>
          <w:rFonts w:ascii="Arial" w:cs="Arial" w:eastAsia="Arial" w:hAnsi="Arial"/>
          <w:sz w:val="14"/>
          <w:szCs w:val="14"/>
          <w:b w:val="1"/>
          <w:bCs w:val="1"/>
          <w:color w:val="auto"/>
        </w:rPr>
        <w:t>NIVERSAL</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OTES TO</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ONSOLIDATED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INANCIAL</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(Dollars in millions)</w:t>
      </w:r>
    </w:p>
    <w:p>
      <w:pPr>
        <w:spacing w:after="0" w:line="151" w:lineRule="exact"/>
        <w:rPr>
          <w:sz w:val="20"/>
          <w:szCs w:val="20"/>
          <w:color w:val="auto"/>
        </w:rPr>
      </w:pPr>
    </w:p>
    <w:p>
      <w:pPr>
        <w:jc w:val="both"/>
        <w:ind w:right="100" w:firstLine="456"/>
        <w:spacing w:after="0" w:line="256" w:lineRule="auto"/>
        <w:rPr>
          <w:sz w:val="20"/>
          <w:szCs w:val="20"/>
          <w:color w:val="auto"/>
        </w:rPr>
      </w:pPr>
      <w:r>
        <w:rPr>
          <w:rFonts w:ascii="Arial" w:cs="Arial" w:eastAsia="Arial" w:hAnsi="Arial"/>
          <w:sz w:val="18"/>
          <w:szCs w:val="18"/>
          <w:color w:val="auto"/>
        </w:rPr>
        <w:t>To effect the Joint Venture Transaction, a new entity was formed, NBCUniversal Holdings, which is owned 51 percent by Comcast and 49 percent by GE. Our company, NBC Universal Inc. was subsequently converted into a Delaware limited liability company, NBCUniversal, and upon closing, NBCUniversal now comprises both our existing businesses and the Comcast Content Business contributed by Comcast. In addition to contributing the Comcast Content Business to NBCUniversal, Comcast made a cash payment to GE of $6.2 billion at the closing.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provisions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Comcast and GE have entered into an LLC Agreement, which provides for Comcast’s management and control of NBCUniversal through its control of NBCUniversal Holdings. Pursuant to the terms of the LLC agreement, GE may not directly or indirectly transfer its interest in NBCUniversal Holdings until July 28, 2014, after which, GE may transfer its interest to a third party subject to a right of first offer to Comcast. Further, pursuant to the LLC agreement, during the six-month period commencing on July 28, 2014, GE is entitled to cause NBCUniversal Holdings to redeem, in cash, half of GE’s interest, and Comcast would have the immediate right to purchase the remainder of GE’s interest. If, however, Comcast elects not to exercise this right, during the six-month period commencing January 28, 2018, a second redemption right entitles GE to cause NBCUniversal Holdings to redeem its remaining interest.</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GE does not exercise its first redemption right, during the six-month period commencing on January 28, 2016, Comcast has the right to purchase half of GE’s interest in NBCUniversal Holdings and further redeem GE’s remaining interest, if any, during the six-month period commencing January 28, 2019. Comcast also will have the right, after GE makes a registration request pursuant to certain registration rights that are granted to it under the LLC Agreement, to elect to purchase for cash all of GE’s interest in NBCUniversal Holdings that GE is seeking to register. If GE elects to exercise this second redemption right, Comcast will have the right during the ten business day period after the public market valuation has been determined as discussed below, to elect to purchase for cash all of the interests in NBCUniversal Holdings that GE previously has transferred to third parties (other than in public sales and Rule 144 sales).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purchase price to be paid in connection with any redemption described above will equal the ownership percentage being acquired based on the fully distributed public market trading value of NBCUniversal Holdings (as defined in the LLC Agreement). Subject to certain limitations, in the event that NBCUniversal Holdings is not required to fulfill GE’s redemption requests, Comcast is committed to fund up to $2.875 billion in cash or Comcast common stock for each of the two redemptions (for an aggregate of up to $5.75 billion), with amounts not used in the first redemption to be available for the second redemption.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Tax matters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As discussed above, we converted into a Delaware limited liability company. For U.S. federal income tax purposes, our company will be disregarded as an entity separate from NBCUniversal Holdings, a tax partnership. Accordingly, NBCUniversal and our subsidiaries will not incur any current or deferred U.S. federal income taxes. Our company and our subsidiaries, however, are expected to incur current and deferred state income taxes in a limited number of states and our foreign subsidiaries are expected to incur current and deferred foreign income taxes.</w:t>
      </w:r>
    </w:p>
    <w:p>
      <w:pPr>
        <w:spacing w:after="0" w:line="113" w:lineRule="exact"/>
        <w:rPr>
          <w:sz w:val="20"/>
          <w:szCs w:val="20"/>
          <w:color w:val="auto"/>
        </w:rPr>
      </w:pPr>
    </w:p>
    <w:p>
      <w:pPr>
        <w:ind w:right="180" w:firstLine="456"/>
        <w:spacing w:after="0" w:line="335" w:lineRule="auto"/>
        <w:rPr>
          <w:sz w:val="20"/>
          <w:szCs w:val="20"/>
          <w:color w:val="auto"/>
        </w:rPr>
      </w:pPr>
      <w:r>
        <w:rPr>
          <w:rFonts w:ascii="Arial" w:cs="Arial" w:eastAsia="Arial" w:hAnsi="Arial"/>
          <w:sz w:val="15"/>
          <w:szCs w:val="15"/>
          <w:color w:val="auto"/>
        </w:rPr>
        <w:t>GE has indemnified NBCUniversal Holdings with respect to our company’s income tax obligations attributable to periods prior to the closing of the Joint Venture Transaction. All deferred income taxes relating to U.S. federal tax matters have been retained by GE, and as such, no deferred tax assets and liabilities related to U.S. federal tax matters are expected to be included in our consolidated balance sheet, subsequent to the close of the Joint Venture Transaction.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purchase price allocation and Pro Forma financial information</w:t>
      </w:r>
    </w:p>
    <w:p>
      <w:pPr>
        <w:spacing w:after="0" w:line="90"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As a result of the Joint Venture Transaction, NBCUniversal is a wholly owned subsidiary of NBCUniversal Holdings, and thus through its membership interests in NBCUniversal Holdings, owned and controlled by Comcast. To reflect the change in control of our company, in the first quarter of 2011, we will apply acquisition accounting and re-measure our assets and liabilities to fair value as of January 28, 2011. The assets and liabilities of the Comcast Content Business contributed by Comcast will be carried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74" w:right="239" w:bottom="1440" w:gutter="0" w:footer="0" w:header="0"/>
        </w:sectPr>
      </w:pPr>
    </w:p>
    <w:bookmarkStart w:id="43" w:name="page44"/>
    <w:bookmarkEnd w:id="43"/>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over at historical book value. Due to the limited time since the closing of the Joint Venture Transaction, the related acquisition accounting is incomplete at this time. As a result, we are unable to provide amounts recognized as of the acquisition date for major classes of assets and liabilities acquired and resulting from the transaction, including the information required for indemnification assets, contingencies, noncontrolling interests and goodwill. Also because the initial accounting for the Joint Venture Transaction is incomplete, we are unable to provide the supplemental pro forma revenue and earnings of the combined entity. We plan to include the initial purchase price allocation and required pro forma financial information in our first quarter 2011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management changes</w:t>
      </w:r>
    </w:p>
    <w:p>
      <w:pPr>
        <w:spacing w:after="0" w:line="90"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Effective January 28, 2011, in conjunction with the closing of the Joint Venture Transaction, Stephen B. Burke became NBCUniversal Holdings’ and NBCUniversal’s President and Chief Executive Officer and resigned from his position as the Chief Operating Officer of Comcast.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280" w:right="2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99.2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FINANCIAL INFORMATION</w:t>
      </w:r>
    </w:p>
    <w:p>
      <w:pPr>
        <w:spacing w:after="0" w:line="17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On January 28, 2011, we closed our transaction with General Electric Company (“GE”) to form a new company named NBCUniversal, LLC (“NBCUniversal Holdings”). We now control and own 51% of NBCUniversal Holdings and GE owns the remaining 49%. As part of the NBCUniversal transaction, GE contributed the historical businesses of NBC Universal, Inc., which was converted to a limited liability company, named NBCUniversal Media, LLC and is now a wholly owned subsidiary of NBCUniversal Holdings. Throughout the unaudited pro forma financial information, we refer to both NBC Universal, Inc. and NBC Universal Media, LLC as NBCUniversal. The NBCUniversal contributed businesses include its national cable programming networks, the NBC network and its owned NBC affiliated local television stations, the Telemundo network and its owned Telemundo affiliated local television stations, Universal Pictures filmed entertainment, the Universal Studios Hollywood theme park and other related assets. We contributed our national cable programming networks, our regional sports and news networks, certain of our Internet businesses, including DailyCandy and Fandango, and other related assets (“Comcast Content Business”). The combination of businesses creates a leading media and entertainment company capable of providing entertainment, news, sports and other content to a global audience across all platforms. In addition to contributing the Comcast Content Business, we also made a cash payment to GE of $6.2 billion, which included transaction-related costs.</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connection with the NBCUniversal transaction, in 2010 NBCUniversal issued $9.1 billion of senior debt securities with maturities ranging from 2014 to 2041 (the “Notes”) and repaid approximately $1.7 billion of existing debt. Prior to the closing, NBCUniversal made a cash distribution of approximately $7.4 billion to GE.</w:t>
      </w:r>
    </w:p>
    <w:p>
      <w:pPr>
        <w:spacing w:after="0" w:line="140" w:lineRule="exact"/>
        <w:rPr>
          <w:sz w:val="20"/>
          <w:szCs w:val="20"/>
          <w:color w:val="auto"/>
        </w:rPr>
      </w:pPr>
    </w:p>
    <w:p>
      <w:pPr>
        <w:ind w:right="200" w:firstLine="456"/>
        <w:spacing w:after="0" w:line="312" w:lineRule="auto"/>
        <w:rPr>
          <w:sz w:val="20"/>
          <w:szCs w:val="20"/>
          <w:color w:val="auto"/>
        </w:rPr>
      </w:pPr>
      <w:r>
        <w:rPr>
          <w:rFonts w:ascii="Arial" w:cs="Arial" w:eastAsia="Arial" w:hAnsi="Arial"/>
          <w:sz w:val="15"/>
          <w:szCs w:val="15"/>
          <w:color w:val="auto"/>
        </w:rPr>
        <w:t>The following pro forma financial information is based on our historical consolidated financial statements and the historical consolidated financial statements of NBCUniversal and is intended to provide you with information about how the NBCUniversal transaction might have affected our historical consolidated financial statements if it had closed as of January 1, 2010, in the case of condensed consolidated statement of operations information, and as of December 31, 2010, in the case of condensed consolidated balance sheet information. The pro forma financial information below is based on available information and assumptions that we believe are reasonable. The pro forma financial information is for illustrative and informational purposes only and is not intended to represent or be indicative of what our financial condition or results of operations would have been had the transactions described above occurred on the dates indicated. The pro forma financial information also should not be considered representative of our future financial condition or results of operations.</w:t>
      </w:r>
    </w:p>
    <w:p>
      <w:pPr>
        <w:spacing w:after="0" w:line="10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Because we now control NBCUniversal Holdings, we have applied acquisition accounting to the NBCUniversal contributed businesses, and its results of operations are included in our consolidated results of operations following the acquisition date. The NBCUniversal contributed businesses were recorded at their estimated fair value. The Comcast Content Business continues at its historical or carryover basis. GE’s interest in NBCUniversal Holdings is recorded as a redeemable noncontrolling interest in our condensed consolidated financial statements due to the redemption provisions contained in the Amended and Restated Limited Liability Agreement of NBCUniversal Holdings (“Operating Agreement”). Pro forma purchase price allocation adjustments have been made for the purpose of providing pro forma financial information based on current estimates and currently available information, and are subject to revision based on final determinations of fair value and the final allocation of purchase price to the assets and liabilities of the businesses acquired.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transactions and other adjustments related to the NBCUniversal transaction are reflected in the pro forma financial information:</w:t>
      </w:r>
    </w:p>
    <w:p>
      <w:pPr>
        <w:spacing w:after="0" w:line="113"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contribution of the Comcast Content Business to NBCUniversal, and the cash payment of approximately $6.2 billion to GE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borrowings of $650 million under our commercial paper program to finance the cash payment to GE at closing of the NBCUniversal transaction</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recognition of GE’s 49% redeemable noncontrolling interest in NBCUniversal Holdings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NBCUniversal’s issuance of $9.1 billion of Notes and the repayment of approximately $1.7 billion of existing indebtedness during 2010</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NBCUniversal’s cash distribution of approximately $7.4 billion to GE prior to closing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PF-1</w:t>
      </w:r>
    </w:p>
    <w:p>
      <w:pPr>
        <w:sectPr>
          <w:pgSz w:w="11900" w:h="16838" w:orient="portrait"/>
          <w:cols w:equalWidth="0" w:num="1">
            <w:col w:w="11420"/>
          </w:cols>
          <w:pgMar w:left="240" w:top="125" w:right="239" w:bottom="1440" w:gutter="0" w:footer="0" w:header="0"/>
        </w:sectPr>
      </w:pPr>
    </w:p>
    <w:bookmarkStart w:id="45" w:name="page46"/>
    <w:bookmarkEnd w:id="45"/>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elimination of historical transactions between NBCUniversal and us</w:t>
      </w:r>
    </w:p>
    <w:p>
      <w:pPr>
        <w:spacing w:after="0" w:line="9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remeasurement of the assets and liabilities of the NBCUniversal contributed businesses acquired to fair value as a result of our obtaining a controlling interest in NBCUniversal Holdings</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adjustments to reflect the tax effects of the conversion of NBCUniversal from a Delaware corporation into a Delaware limited liability company</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adjustments necessary to reflect the effects of the NBCUniversal transaction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with respect to certain items that are not reflected in the pro forma financial information, see note 4 below.</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PF-2</w:t>
      </w:r>
    </w:p>
    <w:p>
      <w:pPr>
        <w:sectPr>
          <w:pgSz w:w="11900" w:h="16838" w:orient="portrait"/>
          <w:cols w:equalWidth="0" w:num="1">
            <w:col w:w="10980"/>
          </w:cols>
          <w:pgMar w:left="240" w:top="280" w:right="67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Transaction</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Related</w:t>
            </w: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Historical</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NBCUniversal (2)</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Adjustments (3)</w:t>
            </w:r>
          </w:p>
        </w:tc>
        <w:tc>
          <w:tcPr>
            <w:tcW w:w="186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5,984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(6,410)</w:t>
            </w: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3a, 3c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Short-term loans to parent, net</w:t>
            </w:r>
          </w:p>
        </w:tc>
        <w:tc>
          <w:tcPr>
            <w:tcW w:w="8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(8,072)</w:t>
            </w:r>
          </w:p>
        </w:tc>
        <w:tc>
          <w:tcPr>
            <w:tcW w:w="1860" w:type="dxa"/>
            <w:vAlign w:val="bottom"/>
          </w:tcPr>
          <w:p>
            <w:pPr>
              <w:ind w:left="220"/>
              <w:spacing w:after="0"/>
              <w:rPr>
                <w:sz w:val="20"/>
                <w:szCs w:val="20"/>
                <w:color w:val="auto"/>
              </w:rPr>
            </w:pPr>
            <w:r>
              <w:rPr>
                <w:rFonts w:ascii="Arial" w:cs="Arial" w:eastAsia="Arial" w:hAnsi="Arial"/>
                <w:sz w:val="18"/>
                <w:szCs w:val="18"/>
                <w:color w:val="auto"/>
              </w:rPr>
              <w:t>3b, 3c</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1,855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2,163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1860" w:type="dxa"/>
            <w:vAlign w:val="bottom"/>
          </w:tcPr>
          <w:p>
            <w:pPr>
              <w:ind w:left="220"/>
              <w:spacing w:after="0"/>
              <w:rPr>
                <w:sz w:val="20"/>
                <w:szCs w:val="20"/>
                <w:color w:val="auto"/>
              </w:rPr>
            </w:pPr>
            <w:r>
              <w:rPr>
                <w:rFonts w:ascii="Arial" w:cs="Arial" w:eastAsia="Arial" w:hAnsi="Arial"/>
                <w:sz w:val="18"/>
                <w:szCs w:val="18"/>
                <w:color w:val="auto"/>
              </w:rPr>
              <w:t>3c, 3o, 3v</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Programming rights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966</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1860" w:type="dxa"/>
            <w:vAlign w:val="bottom"/>
          </w:tcPr>
          <w:p>
            <w:pPr>
              <w:ind w:left="220"/>
              <w:spacing w:after="0"/>
              <w:rPr>
                <w:sz w:val="20"/>
                <w:szCs w:val="20"/>
                <w:color w:val="auto"/>
              </w:rPr>
            </w:pPr>
            <w:r>
              <w:rPr>
                <w:rFonts w:ascii="Arial" w:cs="Arial" w:eastAsia="Arial" w:hAnsi="Arial"/>
                <w:sz w:val="18"/>
                <w:szCs w:val="18"/>
                <w:color w:val="auto"/>
              </w:rPr>
              <w:t>2, 3l</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8,886</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(14,683)</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Film and television costs</w:t>
            </w:r>
          </w:p>
        </w:tc>
        <w:tc>
          <w:tcPr>
            <w:tcW w:w="80" w:type="dxa"/>
            <w:vAlign w:val="bottom"/>
          </w:tcPr>
          <w:p>
            <w:pPr>
              <w:spacing w:after="0"/>
              <w:rPr>
                <w:sz w:val="24"/>
                <w:szCs w:val="24"/>
                <w:color w:val="auto"/>
              </w:rPr>
            </w:pPr>
          </w:p>
        </w:tc>
        <w:tc>
          <w:tcPr>
            <w:tcW w:w="10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3,890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867</w:t>
            </w:r>
          </w:p>
        </w:tc>
        <w:tc>
          <w:tcPr>
            <w:tcW w:w="28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2, 3d</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6,670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3c, 3e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23,515</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3g</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59,442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14,958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19,243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(6,730)</w:t>
            </w:r>
          </w:p>
        </w:tc>
        <w:tc>
          <w:tcPr>
            <w:tcW w:w="1860" w:type="dxa"/>
            <w:vAlign w:val="bottom"/>
          </w:tcPr>
          <w:p>
            <w:pPr>
              <w:ind w:left="220"/>
              <w:spacing w:after="0"/>
              <w:rPr>
                <w:sz w:val="20"/>
                <w:szCs w:val="20"/>
                <w:color w:val="auto"/>
              </w:rPr>
            </w:pPr>
            <w:r>
              <w:rPr>
                <w:rFonts w:ascii="Arial" w:cs="Arial" w:eastAsia="Arial" w:hAnsi="Arial"/>
                <w:sz w:val="18"/>
                <w:szCs w:val="18"/>
                <w:color w:val="auto"/>
              </w:rPr>
              <w:t>3h</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3,602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11,843</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 3i</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1,461</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860" w:type="dxa"/>
            <w:vAlign w:val="bottom"/>
          </w:tcPr>
          <w:p>
            <w:pPr>
              <w:ind w:left="220"/>
              <w:spacing w:after="0"/>
              <w:rPr>
                <w:sz w:val="20"/>
                <w:szCs w:val="20"/>
                <w:color w:val="auto"/>
              </w:rPr>
            </w:pPr>
            <w:r>
              <w:rPr>
                <w:rFonts w:ascii="Arial" w:cs="Arial" w:eastAsia="Arial" w:hAnsi="Arial"/>
                <w:sz w:val="18"/>
                <w:szCs w:val="18"/>
                <w:color w:val="auto"/>
              </w:rPr>
              <w:t>2, 3f, 3l, 3n</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118,534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(6,918)</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04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6,434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3,458</w:t>
            </w:r>
          </w:p>
        </w:tc>
        <w:tc>
          <w:tcPr>
            <w:tcW w:w="4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860" w:type="dxa"/>
            <w:vAlign w:val="bottom"/>
          </w:tcPr>
          <w:p>
            <w:pPr>
              <w:ind w:left="220"/>
              <w:spacing w:after="0"/>
              <w:rPr>
                <w:sz w:val="20"/>
                <w:szCs w:val="20"/>
                <w:color w:val="auto"/>
              </w:rPr>
            </w:pPr>
            <w:r>
              <w:rPr>
                <w:rFonts w:ascii="Arial" w:cs="Arial" w:eastAsia="Arial" w:hAnsi="Arial"/>
                <w:sz w:val="18"/>
                <w:szCs w:val="18"/>
                <w:color w:val="auto"/>
              </w:rPr>
              <w:t>3c, 3j, 3l, 3p, 3v</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participations and residuals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19"/>
                <w:szCs w:val="19"/>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3k</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8,234</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24"/>
                <w:szCs w:val="2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29,615</w:t>
            </w:r>
          </w:p>
        </w:tc>
        <w:tc>
          <w:tcPr>
            <w:tcW w:w="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9,090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3n</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borrowings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(816)</w:t>
            </w: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3o</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28,246</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2,303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(1,247)</w:t>
            </w:r>
          </w:p>
        </w:tc>
        <w:tc>
          <w:tcPr>
            <w:tcW w:w="1860" w:type="dxa"/>
            <w:vAlign w:val="bottom"/>
          </w:tcPr>
          <w:p>
            <w:pPr>
              <w:ind w:left="220"/>
              <w:spacing w:after="0"/>
              <w:rPr>
                <w:sz w:val="20"/>
                <w:szCs w:val="20"/>
                <w:color w:val="auto"/>
              </w:rPr>
            </w:pPr>
            <w:r>
              <w:rPr>
                <w:rFonts w:ascii="Arial" w:cs="Arial" w:eastAsia="Arial" w:hAnsi="Arial"/>
                <w:sz w:val="18"/>
                <w:szCs w:val="18"/>
                <w:color w:val="auto"/>
              </w:rPr>
              <w:t>3l, 3m</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7,862</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3d, 3l, 3o, 3p, 3q</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Redeemable noncontrolling interests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15,078</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0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NBCUniversal total stockholders’ equity</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(23,899)</w:t>
            </w: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3s</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Comcast Corporation total shareholders’ equity</w:t>
            </w:r>
          </w:p>
        </w:tc>
        <w:tc>
          <w:tcPr>
            <w:tcW w:w="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44,354</w:t>
            </w:r>
          </w:p>
        </w:tc>
        <w:tc>
          <w:tcPr>
            <w:tcW w:w="3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1,249</w:t>
            </w:r>
          </w:p>
        </w:tc>
        <w:tc>
          <w:tcPr>
            <w:tcW w:w="280" w:type="dxa"/>
            <w:vAlign w:val="bottom"/>
          </w:tcPr>
          <w:p>
            <w:pPr>
              <w:spacing w:after="0"/>
              <w:rPr>
                <w:sz w:val="18"/>
                <w:szCs w:val="18"/>
                <w:color w:val="auto"/>
              </w:rPr>
            </w:pPr>
          </w:p>
        </w:tc>
        <w:tc>
          <w:tcPr>
            <w:tcW w:w="1860" w:type="dxa"/>
            <w:vAlign w:val="bottom"/>
          </w:tcPr>
          <w:p>
            <w:pPr>
              <w:ind w:left="220"/>
              <w:spacing w:after="0"/>
              <w:rPr>
                <w:sz w:val="20"/>
                <w:szCs w:val="20"/>
                <w:color w:val="auto"/>
              </w:rPr>
            </w:pPr>
            <w:r>
              <w:rPr>
                <w:rFonts w:ascii="Arial" w:cs="Arial" w:eastAsia="Arial" w:hAnsi="Arial"/>
                <w:sz w:val="18"/>
                <w:szCs w:val="18"/>
                <w:color w:val="auto"/>
              </w:rPr>
              <w:t>3t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1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3o, 3u</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860"/>
              <w:spacing w:after="0"/>
              <w:rPr>
                <w:sz w:val="20"/>
                <w:szCs w:val="20"/>
                <w:color w:val="auto"/>
              </w:rPr>
            </w:pPr>
            <w:r>
              <w:rPr>
                <w:rFonts w:ascii="Arial" w:cs="Arial" w:eastAsia="Arial" w:hAnsi="Arial"/>
                <w:sz w:val="18"/>
                <w:szCs w:val="18"/>
                <w:color w:val="auto"/>
              </w:rPr>
              <w:t>Total equity</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44,434</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23,817</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(22,385)</w:t>
            </w: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2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118,534</w:t>
            </w: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(6,918)</w:t>
            </w:r>
          </w:p>
        </w:tc>
        <w:tc>
          <w:tcPr>
            <w:tcW w:w="1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154,040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ind w:left="420"/>
              <w:spacing w:after="0"/>
              <w:rPr>
                <w:sz w:val="20"/>
                <w:szCs w:val="20"/>
                <w:color w:val="auto"/>
              </w:rPr>
            </w:pPr>
            <w:r>
              <w:rPr>
                <w:rFonts w:ascii="Arial" w:cs="Arial" w:eastAsia="Arial" w:hAnsi="Arial"/>
                <w:sz w:val="18"/>
                <w:szCs w:val="18"/>
                <w:color w:val="auto"/>
              </w:rPr>
              <w:t>PF-3</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5"/>
              </w:rPr>
              <w:t>Transaction</w:t>
            </w:r>
          </w:p>
        </w:tc>
        <w:tc>
          <w:tcPr>
            <w:tcW w:w="2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Related</w:t>
            </w:r>
          </w:p>
        </w:tc>
        <w:tc>
          <w:tcPr>
            <w:tcW w:w="2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Historical</w:t>
            </w: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NBCUniversal (2)</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Adjustments (3)</w:t>
            </w:r>
          </w:p>
        </w:tc>
        <w:tc>
          <w:tcPr>
            <w:tcW w:w="20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37,937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w:t>
            </w: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3v, 3bb</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53,994</w:t>
            </w:r>
          </w:p>
        </w:tc>
        <w:tc>
          <w:tcPr>
            <w:tcW w:w="0" w:type="dxa"/>
            <w:vAlign w:val="bottom"/>
          </w:tcPr>
          <w:p>
            <w:pPr>
              <w:spacing w:after="0"/>
              <w:rPr>
                <w:sz w:val="1"/>
                <w:szCs w:val="1"/>
                <w:color w:val="auto"/>
              </w:rPr>
            </w:pPr>
          </w:p>
        </w:tc>
      </w:tr>
      <w:tr>
        <w:trPr>
          <w:trHeight w:val="323"/>
        </w:trPr>
        <w:tc>
          <w:tcPr>
            <w:tcW w:w="45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Operating (excluding depreciation and amortization)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15,250</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costs and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23,341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(621)</w:t>
            </w: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3d, 3v, 3w, 3x, 3dd</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36,757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5,539</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4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3i, 3x</w:t>
            </w: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29,957</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14,386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44,306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(2,156)</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w:t>
            </w: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3o, 3y, 3z, 3cc, 3dd</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060" w:type="dxa"/>
            <w:vAlign w:val="bottom"/>
          </w:tcPr>
          <w:p>
            <w:pPr>
              <w:ind w:left="240"/>
              <w:spacing w:after="0"/>
              <w:rPr>
                <w:sz w:val="20"/>
                <w:szCs w:val="20"/>
                <w:color w:val="auto"/>
              </w:rPr>
            </w:pPr>
            <w:r>
              <w:rPr>
                <w:rFonts w:ascii="Arial" w:cs="Arial" w:eastAsia="Arial" w:hAnsi="Arial"/>
                <w:sz w:val="18"/>
                <w:szCs w:val="18"/>
                <w:color w:val="auto"/>
              </w:rPr>
              <w:t>2, 3z</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income (losses) of affiliates,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3e, 3aa</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Other income (expense)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8"/>
                <w:szCs w:val="18"/>
                <w:color w:val="auto"/>
              </w:rPr>
            </w:pPr>
          </w:p>
        </w:tc>
        <w:tc>
          <w:tcPr>
            <w:tcW w:w="2060" w:type="dxa"/>
            <w:vAlign w:val="bottom"/>
          </w:tcPr>
          <w:p>
            <w:pPr>
              <w:ind w:left="240"/>
              <w:spacing w:after="0"/>
              <w:rPr>
                <w:sz w:val="20"/>
                <w:szCs w:val="20"/>
                <w:color w:val="auto"/>
              </w:rPr>
            </w:pPr>
            <w:r>
              <w:rPr>
                <w:rFonts w:ascii="Arial" w:cs="Arial" w:eastAsia="Arial" w:hAnsi="Arial"/>
                <w:sz w:val="18"/>
                <w:szCs w:val="18"/>
                <w:color w:val="auto"/>
              </w:rPr>
              <w:t>3q, 3bb, 3dd</w:t>
            </w: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(1,876)</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(1,985)</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6,104</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(662)</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7,703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4"/>
              </w:rPr>
              <w:t>(2,436)</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3cc</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(2,828)</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Net income from consolidated operations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0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3,668</w:t>
            </w: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4,875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(763)</w:t>
            </w:r>
          </w:p>
        </w:tc>
        <w:tc>
          <w:tcPr>
            <w:tcW w:w="2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3o, 3ee</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vMerge w:val="restart"/>
          </w:tcPr>
          <w:p>
            <w:pPr>
              <w:ind w:left="420"/>
              <w:spacing w:after="0"/>
              <w:rPr>
                <w:sz w:val="20"/>
                <w:szCs w:val="20"/>
                <w:color w:val="auto"/>
              </w:rPr>
            </w:pPr>
            <w:r>
              <w:rPr>
                <w:rFonts w:ascii="Arial" w:cs="Arial" w:eastAsia="Arial" w:hAnsi="Arial"/>
                <w:sz w:val="18"/>
                <w:szCs w:val="18"/>
                <w:color w:val="auto"/>
              </w:rPr>
              <w:t>Net income attributable to Comcast Corporation</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vMerge w:val="continue"/>
          </w:tcPr>
          <w:p>
            <w:pPr>
              <w:spacing w:after="0"/>
              <w:rPr>
                <w:sz w:val="19"/>
                <w:szCs w:val="19"/>
                <w:color w:val="auto"/>
              </w:rPr>
            </w:pP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3,635</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1,467</w:t>
            </w:r>
          </w:p>
        </w:tc>
        <w:tc>
          <w:tcPr>
            <w:tcW w:w="4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(1,072)</w:t>
            </w:r>
          </w:p>
        </w:tc>
        <w:tc>
          <w:tcPr>
            <w:tcW w:w="20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4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attributable to Comcast Corporation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ind w:left="36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2,808</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80" w:type="dxa"/>
            <w:vAlign w:val="bottom"/>
          </w:tcPr>
          <w:p>
            <w:pPr>
              <w:ind w:left="42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2,820</w:t>
            </w: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2,820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PF-4</w:t>
      </w:r>
    </w:p>
    <w:p>
      <w:pPr>
        <w:sectPr>
          <w:pgSz w:w="11900" w:h="16838" w:orient="portrait"/>
          <w:cols w:equalWidth="0" w:num="1">
            <w:col w:w="11420"/>
          </w:cols>
          <w:pgMar w:left="240" w:top="274" w:right="23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On January 28, 2011, we closed the NBCUniversal transaction with GE, which combines the NBCUniversal contributed businesses and the Comcast Content Business. The combined company is now a wholly owned subsidiary of NBCUniversal Holdings. We now control and own 51% of NBCUniversal Holdings and GE owns the remaining 49%.</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significant components of the transaction were as follows:</w:t>
      </w:r>
    </w:p>
    <w:p>
      <w:pPr>
        <w:spacing w:after="0" w:line="90" w:lineRule="exact"/>
        <w:rPr>
          <w:sz w:val="20"/>
          <w:szCs w:val="20"/>
          <w:color w:val="auto"/>
        </w:rPr>
      </w:pPr>
    </w:p>
    <w:p>
      <w:pPr>
        <w:ind w:left="1480" w:hanging="446"/>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made a cash payment to GE of $6.2 billion, which included various transaction-related costs, in exchange for a portion of our controlling interest in the NBCUniversal contributed businesses.</w:t>
      </w:r>
    </w:p>
    <w:p>
      <w:pPr>
        <w:spacing w:after="0" w:line="50" w:lineRule="exact"/>
        <w:rPr>
          <w:rFonts w:ascii="Arial" w:cs="Arial" w:eastAsia="Arial" w:hAnsi="Arial"/>
          <w:sz w:val="18"/>
          <w:szCs w:val="18"/>
          <w:color w:val="auto"/>
        </w:rPr>
      </w:pPr>
    </w:p>
    <w:p>
      <w:pPr>
        <w:ind w:left="1480" w:right="80" w:hanging="446"/>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exchanged a 49% noncontrolling interest in the Comcast Content Business for a portion of our controlling interest in the NBCUniversal contributed businesses.</w:t>
      </w:r>
    </w:p>
    <w:p>
      <w:pPr>
        <w:spacing w:after="0" w:line="50" w:lineRule="exact"/>
        <w:rPr>
          <w:rFonts w:ascii="Arial" w:cs="Arial" w:eastAsia="Arial" w:hAnsi="Arial"/>
          <w:sz w:val="18"/>
          <w:szCs w:val="18"/>
          <w:color w:val="auto"/>
        </w:rPr>
      </w:pPr>
    </w:p>
    <w:p>
      <w:pPr>
        <w:ind w:left="1480" w:right="20" w:hanging="446"/>
        <w:spacing w:after="0" w:line="335" w:lineRule="auto"/>
        <w:tabs>
          <w:tab w:leader="none" w:pos="1480" w:val="left"/>
        </w:tabs>
        <w:numPr>
          <w:ilvl w:val="0"/>
          <w:numId w:val="18"/>
        </w:numPr>
        <w:rPr>
          <w:rFonts w:ascii="Arial" w:cs="Arial" w:eastAsia="Arial" w:hAnsi="Arial"/>
          <w:sz w:val="15"/>
          <w:szCs w:val="15"/>
          <w:color w:val="auto"/>
        </w:rPr>
      </w:pPr>
      <w:r>
        <w:rPr>
          <w:rFonts w:ascii="Arial" w:cs="Arial" w:eastAsia="Arial" w:hAnsi="Arial"/>
          <w:sz w:val="15"/>
          <w:szCs w:val="15"/>
          <w:color w:val="auto"/>
        </w:rPr>
        <w:t>We will receive tax benefits related to the form and structure of the NBCUniversal transaction and have also agreed to share with GE certain of these future tax benefits, to the extent realized. We have accounted for this tax sharing arrangement as contingent consideration and have recorded a liability of $639 million, with changes in the fair value of such consideration being recognized in future earnings until settled.</w:t>
      </w:r>
    </w:p>
    <w:p>
      <w:pPr>
        <w:spacing w:after="0" w:line="7" w:lineRule="exact"/>
        <w:rPr>
          <w:rFonts w:ascii="Arial" w:cs="Arial" w:eastAsia="Arial" w:hAnsi="Arial"/>
          <w:sz w:val="15"/>
          <w:szCs w:val="15"/>
          <w:color w:val="auto"/>
        </w:rPr>
      </w:pPr>
    </w:p>
    <w:p>
      <w:pPr>
        <w:ind w:left="1480" w:right="400" w:hanging="446"/>
        <w:spacing w:after="0" w:line="268" w:lineRule="auto"/>
        <w:tabs>
          <w:tab w:leader="none" w:pos="14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 has a 49% redeemable noncontrolling interest in NBCUniversal Holdings attributable to the NBCUniversal contributed businesses, which was recorded at fair value in our condensed consolidated financial statements.</w:t>
      </w:r>
    </w:p>
    <w:p>
      <w:pPr>
        <w:spacing w:after="0" w:line="51" w:lineRule="exact"/>
        <w:rPr>
          <w:sz w:val="20"/>
          <w:szCs w:val="20"/>
          <w:color w:val="auto"/>
        </w:rPr>
      </w:pPr>
    </w:p>
    <w:p>
      <w:pPr>
        <w:ind w:left="460" w:right="280"/>
        <w:spacing w:after="0" w:line="298" w:lineRule="auto"/>
        <w:rPr>
          <w:sz w:val="20"/>
          <w:szCs w:val="20"/>
          <w:color w:val="auto"/>
        </w:rPr>
      </w:pPr>
      <w:r>
        <w:rPr>
          <w:rFonts w:ascii="Arial" w:cs="Arial" w:eastAsia="Arial" w:hAnsi="Arial"/>
          <w:sz w:val="16"/>
          <w:szCs w:val="16"/>
          <w:color w:val="auto"/>
        </w:rPr>
        <w:t>Because control of NBCUniversal changed from GE to us, we have applied acquisition accounting to the NBCUniversal transaction, which requires an allocation of the purchase price to the net assets acquired, based on their fair values as of the date of the acquisition. The Comcast Content Business continues at its historical or carryover basis. The table below summarizes the preliminary allocation of purchase price to the assets and liabilities of the NBCUniversal businesses acquired as if the NBCUniversal transaction closed on December 31, 2010:</w:t>
      </w:r>
    </w:p>
    <w:p>
      <w:pPr>
        <w:spacing w:after="0" w:line="153" w:lineRule="exact"/>
        <w:rPr>
          <w:sz w:val="20"/>
          <w:szCs w:val="20"/>
          <w:color w:val="auto"/>
        </w:rPr>
      </w:pPr>
    </w:p>
    <w:tbl>
      <w:tblPr>
        <w:tblLayout w:type="fixed"/>
        <w:tblInd w:w="1840" w:type="dxa"/>
        <w:tblCellMar>
          <w:top w:w="0" w:type="dxa"/>
          <w:left w:w="0" w:type="dxa"/>
          <w:bottom w:w="0" w:type="dxa"/>
          <w:right w:w="0" w:type="dxa"/>
        </w:tblCellMar>
      </w:tblPr>
      <w:tr>
        <w:trPr>
          <w:trHeight w:val="211"/>
        </w:trPr>
        <w:tc>
          <w:tcPr>
            <w:tcW w:w="6960" w:type="dxa"/>
            <w:vAlign w:val="bottom"/>
            <w:gridSpan w:val="2"/>
          </w:tcPr>
          <w:p>
            <w:pPr>
              <w:spacing w:after="0"/>
              <w:rPr>
                <w:sz w:val="20"/>
                <w:szCs w:val="20"/>
                <w:color w:val="auto"/>
              </w:rPr>
            </w:pPr>
            <w:r>
              <w:rPr>
                <w:rFonts w:ascii="Arial" w:cs="Arial" w:eastAsia="Arial" w:hAnsi="Arial"/>
                <w:sz w:val="18"/>
                <w:szCs w:val="18"/>
                <w:i w:val="1"/>
                <w:iCs w:val="1"/>
                <w:color w:val="auto"/>
              </w:rPr>
              <w:t>Consideration Transferred</w:t>
            </w:r>
          </w:p>
        </w:tc>
        <w:tc>
          <w:tcPr>
            <w:tcW w:w="800" w:type="dxa"/>
            <w:vAlign w:val="bottom"/>
            <w:gridSpan w:val="4"/>
          </w:tcPr>
          <w:p>
            <w:pPr>
              <w:ind w:left="20"/>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of 49% of the Comcast Content Business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contingent consideration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Fair value of redeemable noncontrolling interest associated with net assets acquired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24,076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6960" w:type="dxa"/>
            <w:vAlign w:val="bottom"/>
            <w:gridSpan w:val="2"/>
          </w:tcPr>
          <w:p>
            <w:pPr>
              <w:spacing w:after="0"/>
              <w:rPr>
                <w:sz w:val="20"/>
                <w:szCs w:val="20"/>
                <w:color w:val="auto"/>
              </w:rPr>
            </w:pPr>
            <w:r>
              <w:rPr>
                <w:rFonts w:ascii="Arial" w:cs="Arial" w:eastAsia="Arial" w:hAnsi="Arial"/>
                <w:sz w:val="18"/>
                <w:szCs w:val="18"/>
                <w:i w:val="1"/>
                <w:iCs w:val="1"/>
                <w:color w:val="auto"/>
              </w:rPr>
              <w:t>Preliminary purchase price allocation</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Film and television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14,565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noncurrent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acquired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1"/>
        </w:trPr>
        <w:tc>
          <w:tcPr>
            <w:tcW w:w="6960" w:type="dxa"/>
            <w:vAlign w:val="bottom"/>
            <w:gridSpan w:val="2"/>
          </w:tcPr>
          <w:p>
            <w:pPr>
              <w:spacing w:after="0"/>
              <w:rPr>
                <w:sz w:val="20"/>
                <w:szCs w:val="20"/>
                <w:color w:val="auto"/>
              </w:rPr>
            </w:pPr>
            <w:r>
              <w:rPr>
                <w:rFonts w:ascii="Arial" w:cs="Arial" w:eastAsia="Arial" w:hAnsi="Arial"/>
                <w:sz w:val="18"/>
                <w:szCs w:val="18"/>
                <w:color w:val="auto"/>
              </w:rPr>
              <w:t>Fair value of net assets acquired</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11,563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12,513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24,076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PF-5</w:t>
      </w:r>
    </w:p>
    <w:p>
      <w:pPr>
        <w:sectPr>
          <w:pgSz w:w="11900" w:h="16838" w:orient="portrait"/>
          <w:cols w:equalWidth="0" w:num="1">
            <w:col w:w="11360"/>
          </w:cols>
          <w:pgMar w:left="240" w:top="274" w:right="2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 NBCUniversal Reclassifications</w:t>
      </w:r>
    </w:p>
    <w:p>
      <w:pPr>
        <w:spacing w:after="0" w:line="9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Certain reclassifications have been made to the historical presentation of NBCUniversal to conform to the presentation used in our condensed consolidated financial statements and the unaudited pro forma financial information as follows: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Reclassification for the condensed consolidated statement of operations</w:t>
      </w:r>
    </w:p>
    <w:p>
      <w:pPr>
        <w:sectPr>
          <w:pgSz w:w="11900" w:h="16838" w:orient="portrait"/>
          <w:cols w:equalWidth="0" w:num="1">
            <w:col w:w="11340"/>
          </w:cols>
          <w:pgMar w:left="240" w:top="27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840"/>
        <w:spacing w:after="0"/>
        <w:rPr>
          <w:sz w:val="20"/>
          <w:szCs w:val="20"/>
          <w:color w:val="auto"/>
        </w:rPr>
      </w:pPr>
      <w:r>
        <w:rPr>
          <w:rFonts w:ascii="Arial" w:cs="Arial" w:eastAsia="Arial" w:hAnsi="Arial"/>
          <w:sz w:val="15"/>
          <w:szCs w:val="15"/>
          <w:b w:val="1"/>
          <w:bCs w:val="1"/>
          <w:i w:val="1"/>
          <w:iCs w:val="1"/>
          <w:color w:val="auto"/>
        </w:rPr>
        <w:t>For the year ended December 31, 2010</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Interest income</w:t>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Investment income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1120" w:type="dxa"/>
            <w:vAlign w:val="bottom"/>
          </w:tcPr>
          <w:p>
            <w:pPr>
              <w:jc w:val="center"/>
              <w:ind w:right="46"/>
              <w:spacing w:after="0"/>
              <w:rPr>
                <w:sz w:val="20"/>
                <w:szCs w:val="20"/>
                <w:color w:val="auto"/>
              </w:rPr>
            </w:pPr>
            <w:r>
              <w:rPr>
                <w:rFonts w:ascii="Arial" w:cs="Arial" w:eastAsia="Arial" w:hAnsi="Arial"/>
                <w:sz w:val="14"/>
                <w:szCs w:val="14"/>
                <w:b w:val="1"/>
                <w:bCs w:val="1"/>
                <w:color w:val="auto"/>
                <w:w w:val="85"/>
              </w:rPr>
              <w:t>Classification in</w:t>
            </w:r>
          </w:p>
        </w:tc>
        <w:tc>
          <w:tcPr>
            <w:tcW w:w="88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Reclassification to</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1120" w:type="dxa"/>
            <w:vAlign w:val="bottom"/>
          </w:tcPr>
          <w:p>
            <w:pPr>
              <w:jc w:val="center"/>
              <w:ind w:right="46"/>
              <w:spacing w:after="0" w:line="149" w:lineRule="exact"/>
              <w:rPr>
                <w:sz w:val="20"/>
                <w:szCs w:val="20"/>
                <w:color w:val="auto"/>
              </w:rPr>
            </w:pPr>
            <w:r>
              <w:rPr>
                <w:rFonts w:ascii="Arial" w:cs="Arial" w:eastAsia="Arial" w:hAnsi="Arial"/>
                <w:sz w:val="14"/>
                <w:szCs w:val="14"/>
                <w:b w:val="1"/>
                <w:bCs w:val="1"/>
                <w:color w:val="auto"/>
                <w:w w:val="89"/>
              </w:rPr>
              <w:t>NBCUniversal</w:t>
            </w:r>
          </w:p>
        </w:tc>
        <w:tc>
          <w:tcPr>
            <w:tcW w:w="2100" w:type="dxa"/>
            <w:vAlign w:val="bottom"/>
            <w:gridSpan w:val="3"/>
          </w:tcPr>
          <w:p>
            <w:pPr>
              <w:ind w:left="880"/>
              <w:spacing w:after="0" w:line="149" w:lineRule="exact"/>
              <w:rPr>
                <w:sz w:val="20"/>
                <w:szCs w:val="20"/>
                <w:color w:val="auto"/>
              </w:rPr>
            </w:pPr>
            <w:r>
              <w:rPr>
                <w:rFonts w:ascii="Arial" w:cs="Arial" w:eastAsia="Arial" w:hAnsi="Arial"/>
                <w:sz w:val="14"/>
                <w:szCs w:val="14"/>
                <w:b w:val="1"/>
                <w:bCs w:val="1"/>
                <w:color w:val="auto"/>
                <w:w w:val="86"/>
              </w:rPr>
              <w:t>Conform to Comcast</w:t>
            </w:r>
          </w:p>
        </w:tc>
        <w:tc>
          <w:tcPr>
            <w:tcW w:w="0" w:type="dxa"/>
            <w:vAlign w:val="bottom"/>
          </w:tcPr>
          <w:p>
            <w:pPr>
              <w:spacing w:after="0"/>
              <w:rPr>
                <w:sz w:val="1"/>
                <w:szCs w:val="1"/>
                <w:color w:val="auto"/>
              </w:rPr>
            </w:pPr>
          </w:p>
        </w:tc>
      </w:tr>
      <w:tr>
        <w:trPr>
          <w:trHeight w:val="161"/>
        </w:trPr>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Financial Statements</w:t>
            </w:r>
          </w:p>
        </w:tc>
        <w:tc>
          <w:tcPr>
            <w:tcW w:w="2100" w:type="dxa"/>
            <w:vAlign w:val="bottom"/>
            <w:gridSpan w:val="3"/>
          </w:tcPr>
          <w:p>
            <w:pPr>
              <w:ind w:left="880"/>
              <w:spacing w:after="0"/>
              <w:rPr>
                <w:sz w:val="20"/>
                <w:szCs w:val="20"/>
                <w:color w:val="auto"/>
              </w:rPr>
            </w:pPr>
            <w:r>
              <w:rPr>
                <w:rFonts w:ascii="Arial" w:cs="Arial" w:eastAsia="Arial" w:hAnsi="Arial"/>
                <w:sz w:val="14"/>
                <w:szCs w:val="14"/>
                <w:b w:val="1"/>
                <w:bCs w:val="1"/>
                <w:color w:val="auto"/>
                <w:w w:val="85"/>
              </w:rPr>
              <w:t>Financial Statements</w:t>
            </w:r>
          </w:p>
        </w:tc>
        <w:tc>
          <w:tcPr>
            <w:tcW w:w="0" w:type="dxa"/>
            <w:vAlign w:val="bottom"/>
          </w:tcPr>
          <w:p>
            <w:pPr>
              <w:spacing w:after="0"/>
              <w:rPr>
                <w:sz w:val="1"/>
                <w:szCs w:val="1"/>
                <w:color w:val="auto"/>
              </w:rPr>
            </w:pPr>
          </w:p>
        </w:tc>
      </w:tr>
      <w:tr>
        <w:trPr>
          <w:trHeight w:val="155"/>
        </w:trPr>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w:t>
            </w:r>
          </w:p>
        </w:tc>
        <w:tc>
          <w:tcPr>
            <w:tcW w:w="880" w:type="dxa"/>
            <w:vAlign w:val="bottom"/>
          </w:tcPr>
          <w:p>
            <w:pPr>
              <w:ind w:left="100"/>
              <w:spacing w:after="0" w:line="155" w:lineRule="exact"/>
              <w:rPr>
                <w:sz w:val="20"/>
                <w:szCs w:val="20"/>
                <w:color w:val="auto"/>
              </w:rPr>
            </w:pPr>
            <w:r>
              <w:rPr>
                <w:rFonts w:ascii="Arial" w:cs="Arial" w:eastAsia="Arial" w:hAnsi="Arial"/>
                <w:sz w:val="14"/>
                <w:szCs w:val="14"/>
                <w:b w:val="1"/>
                <w:bCs w:val="1"/>
                <w:i w:val="1"/>
                <w:iCs w:val="1"/>
                <w:color w:val="auto"/>
                <w:w w:val="96"/>
              </w:rPr>
              <w:t>(in millions)</w:t>
            </w:r>
          </w:p>
        </w:tc>
        <w:tc>
          <w:tcPr>
            <w:tcW w:w="5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10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-289560</wp:posOffset>
            </wp:positionV>
            <wp:extent cx="49225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5460" w:space="720"/>
            <w:col w:w="5160"/>
          </w:cols>
          <w:pgMar w:left="240" w:top="274" w:right="319" w:bottom="1440" w:gutter="0" w:footer="0" w:header="0"/>
          <w:type w:val="continuous"/>
        </w:sectPr>
      </w:pPr>
    </w:p>
    <w:p>
      <w:pPr>
        <w:ind w:left="460" w:right="200"/>
        <w:spacing w:after="0" w:line="268" w:lineRule="auto"/>
        <w:rPr>
          <w:sz w:val="20"/>
          <w:szCs w:val="20"/>
          <w:color w:val="auto"/>
        </w:rPr>
      </w:pPr>
      <w:r>
        <w:rPr>
          <w:rFonts w:ascii="Arial" w:cs="Arial" w:eastAsia="Arial" w:hAnsi="Arial"/>
          <w:sz w:val="18"/>
          <w:szCs w:val="18"/>
          <w:color w:val="auto"/>
        </w:rPr>
        <w:t>We have also added supplemental financial statement captions in the pro forma condensed consolidated financial statements to reflect how we expect to present our consolidated financial statements following the closing of the NBCUniversal transaction.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Reclassification for the condensed consolidated balance sheet</w:t>
      </w:r>
    </w:p>
    <w:p>
      <w:pPr>
        <w:spacing w:after="0" w:line="20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Classification in Historical</w:t>
            </w:r>
          </w:p>
        </w:tc>
        <w:tc>
          <w:tcPr>
            <w:tcW w:w="3120" w:type="dxa"/>
            <w:vAlign w:val="bottom"/>
            <w:gridSpan w:val="2"/>
          </w:tcPr>
          <w:p>
            <w:pPr>
              <w:jc w:val="center"/>
              <w:ind w:left="1260"/>
              <w:spacing w:after="0"/>
              <w:rPr>
                <w:sz w:val="20"/>
                <w:szCs w:val="20"/>
                <w:color w:val="auto"/>
              </w:rPr>
            </w:pPr>
            <w:r>
              <w:rPr>
                <w:rFonts w:ascii="Arial" w:cs="Arial" w:eastAsia="Arial" w:hAnsi="Arial"/>
                <w:sz w:val="14"/>
                <w:szCs w:val="14"/>
                <w:b w:val="1"/>
                <w:bCs w:val="1"/>
                <w:color w:val="auto"/>
                <w:w w:val="85"/>
              </w:rPr>
              <w:t>Reclassification to Conform to</w:t>
            </w:r>
          </w:p>
        </w:tc>
        <w:tc>
          <w:tcPr>
            <w:tcW w:w="0" w:type="dxa"/>
            <w:vAlign w:val="bottom"/>
          </w:tcPr>
          <w:p>
            <w:pPr>
              <w:spacing w:after="0"/>
              <w:rPr>
                <w:sz w:val="1"/>
                <w:szCs w:val="1"/>
                <w:color w:val="auto"/>
              </w:rPr>
            </w:pPr>
          </w:p>
        </w:tc>
      </w:tr>
      <w:tr>
        <w:trPr>
          <w:trHeight w:val="161"/>
        </w:trPr>
        <w:tc>
          <w:tcPr>
            <w:tcW w:w="2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As of December 31, 2010</w:t>
            </w:r>
          </w:p>
        </w:tc>
        <w:tc>
          <w:tcPr>
            <w:tcW w:w="2220" w:type="dxa"/>
            <w:vAlign w:val="bottom"/>
            <w:gridSpan w:val="2"/>
          </w:tcPr>
          <w:p>
            <w:pPr>
              <w:jc w:val="center"/>
              <w:ind w:left="357"/>
              <w:spacing w:after="0"/>
              <w:rPr>
                <w:sz w:val="20"/>
                <w:szCs w:val="20"/>
                <w:color w:val="auto"/>
              </w:rPr>
            </w:pPr>
            <w:r>
              <w:rPr>
                <w:rFonts w:ascii="Arial" w:cs="Arial" w:eastAsia="Arial" w:hAnsi="Arial"/>
                <w:sz w:val="14"/>
                <w:szCs w:val="14"/>
                <w:b w:val="1"/>
                <w:bCs w:val="1"/>
                <w:color w:val="auto"/>
                <w:w w:val="85"/>
              </w:rPr>
              <w:t>Comcast Financial Statements</w:t>
            </w:r>
          </w:p>
        </w:tc>
        <w:tc>
          <w:tcPr>
            <w:tcW w:w="13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7"/>
              </w:rPr>
              <w:t>Future Comcast Presentation</w:t>
            </w:r>
          </w:p>
        </w:tc>
        <w:tc>
          <w:tcPr>
            <w:tcW w:w="0" w:type="dxa"/>
            <w:vAlign w:val="bottom"/>
          </w:tcPr>
          <w:p>
            <w:pPr>
              <w:spacing w:after="0"/>
              <w:rPr>
                <w:sz w:val="1"/>
                <w:szCs w:val="1"/>
                <w:color w:val="auto"/>
              </w:rPr>
            </w:pPr>
          </w:p>
        </w:tc>
      </w:tr>
      <w:tr>
        <w:trPr>
          <w:trHeight w:val="210"/>
        </w:trPr>
        <w:tc>
          <w:tcPr>
            <w:tcW w:w="24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360" w:type="dxa"/>
            <w:vAlign w:val="bottom"/>
          </w:tcPr>
          <w:p>
            <w:pPr>
              <w:ind w:left="340"/>
              <w:spacing w:after="0"/>
              <w:rPr>
                <w:sz w:val="20"/>
                <w:szCs w:val="20"/>
                <w:color w:val="auto"/>
              </w:rPr>
            </w:pPr>
            <w:r>
              <w:rPr>
                <w:rFonts w:ascii="Arial" w:cs="Arial" w:eastAsia="Arial" w:hAnsi="Arial"/>
                <w:sz w:val="14"/>
                <w:szCs w:val="14"/>
                <w:i w:val="1"/>
                <w:iCs w:val="1"/>
                <w:color w:val="auto"/>
              </w:rPr>
              <w:t>(in millions)</w:t>
            </w: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22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84"/>
              </w:rPr>
              <w:t>$122</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Programming rights</w:t>
            </w:r>
          </w:p>
        </w:tc>
        <w:tc>
          <w:tcPr>
            <w:tcW w:w="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120" w:type="dxa"/>
            <w:vAlign w:val="bottom"/>
            <w:gridSpan w:val="2"/>
          </w:tcPr>
          <w:p>
            <w:pPr>
              <w:jc w:val="center"/>
              <w:ind w:left="1260"/>
              <w:spacing w:after="0"/>
              <w:rPr>
                <w:sz w:val="20"/>
                <w:szCs w:val="20"/>
                <w:color w:val="auto"/>
              </w:rPr>
            </w:pPr>
            <w:r>
              <w:rPr>
                <w:rFonts w:ascii="Arial" w:cs="Arial" w:eastAsia="Arial" w:hAnsi="Arial"/>
                <w:sz w:val="18"/>
                <w:szCs w:val="18"/>
                <w:color w:val="auto"/>
                <w:w w:val="84"/>
              </w:rPr>
              <w:t>$122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220" w:type="dxa"/>
            <w:vAlign w:val="bottom"/>
            <w:gridSpan w:val="2"/>
          </w:tcPr>
          <w:p>
            <w:pPr>
              <w:jc w:val="center"/>
              <w:ind w:left="357"/>
              <w:spacing w:after="0"/>
              <w:rPr>
                <w:sz w:val="20"/>
                <w:szCs w:val="20"/>
                <w:color w:val="auto"/>
              </w:rPr>
            </w:pPr>
            <w:r>
              <w:rPr>
                <w:rFonts w:ascii="Arial" w:cs="Arial" w:eastAsia="Arial" w:hAnsi="Arial"/>
                <w:sz w:val="18"/>
                <w:szCs w:val="18"/>
                <w:color w:val="auto"/>
                <w:w w:val="84"/>
              </w:rPr>
              <w:t>$170</w:t>
            </w:r>
          </w:p>
        </w:tc>
        <w:tc>
          <w:tcPr>
            <w:tcW w:w="1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Film and television costs</w:t>
            </w:r>
          </w:p>
        </w:tc>
        <w:tc>
          <w:tcPr>
            <w:tcW w:w="4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center"/>
              <w:ind w:left="1260"/>
              <w:spacing w:after="0"/>
              <w:rPr>
                <w:sz w:val="20"/>
                <w:szCs w:val="20"/>
                <w:color w:val="auto"/>
              </w:rPr>
            </w:pPr>
            <w:r>
              <w:rPr>
                <w:rFonts w:ascii="Arial" w:cs="Arial" w:eastAsia="Arial" w:hAnsi="Arial"/>
                <w:sz w:val="18"/>
                <w:szCs w:val="18"/>
                <w:color w:val="auto"/>
                <w:w w:val="84"/>
              </w:rPr>
              <w:t>$170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net</w:t>
            </w:r>
          </w:p>
        </w:tc>
        <w:tc>
          <w:tcPr>
            <w:tcW w:w="2220" w:type="dxa"/>
            <w:vAlign w:val="bottom"/>
            <w:gridSpan w:val="2"/>
            <w:shd w:val="clear" w:color="auto" w:fill="CCEEFF"/>
          </w:tcPr>
          <w:p>
            <w:pPr>
              <w:jc w:val="center"/>
              <w:ind w:left="357"/>
              <w:spacing w:after="0"/>
              <w:rPr>
                <w:sz w:val="20"/>
                <w:szCs w:val="20"/>
                <w:color w:val="auto"/>
              </w:rPr>
            </w:pPr>
            <w:r>
              <w:rPr>
                <w:rFonts w:ascii="Arial" w:cs="Arial" w:eastAsia="Arial" w:hAnsi="Arial"/>
                <w:sz w:val="18"/>
                <w:szCs w:val="18"/>
                <w:color w:val="auto"/>
                <w:w w:val="84"/>
              </w:rPr>
              <w:t>$290</w:t>
            </w:r>
          </w:p>
        </w:tc>
        <w:tc>
          <w:tcPr>
            <w:tcW w:w="13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120" w:type="dxa"/>
            <w:vAlign w:val="bottom"/>
            <w:gridSpan w:val="2"/>
          </w:tcPr>
          <w:p>
            <w:pPr>
              <w:jc w:val="center"/>
              <w:ind w:left="1260"/>
              <w:spacing w:after="0"/>
              <w:rPr>
                <w:sz w:val="20"/>
                <w:szCs w:val="20"/>
                <w:color w:val="auto"/>
              </w:rPr>
            </w:pPr>
            <w:r>
              <w:rPr>
                <w:rFonts w:ascii="Arial" w:cs="Arial" w:eastAsia="Arial" w:hAnsi="Arial"/>
                <w:sz w:val="18"/>
                <w:szCs w:val="18"/>
                <w:color w:val="auto"/>
                <w:w w:val="84"/>
              </w:rPr>
              <w:t>$290</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760" w:type="dxa"/>
            <w:vAlign w:val="bottom"/>
          </w:tcPr>
          <w:p>
            <w:pPr>
              <w:ind w:left="820"/>
              <w:spacing w:after="0"/>
              <w:rPr>
                <w:sz w:val="20"/>
                <w:szCs w:val="20"/>
                <w:color w:val="auto"/>
              </w:rPr>
            </w:pPr>
            <w:r>
              <w:rPr>
                <w:rFonts w:ascii="Arial" w:cs="Arial" w:eastAsia="Arial" w:hAnsi="Arial"/>
                <w:sz w:val="18"/>
                <w:szCs w:val="18"/>
                <w:color w:val="auto"/>
              </w:rPr>
              <w:t>PF-6</w:t>
            </w:r>
          </w:p>
        </w:tc>
        <w:tc>
          <w:tcPr>
            <w:tcW w:w="1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274" w:right="319" w:bottom="1440" w:gutter="0" w:footer="0" w:header="0"/>
          <w:type w:val="continuous"/>
        </w:sectPr>
      </w:pPr>
    </w:p>
    <w:bookmarkStart w:id="50" w:name="page51"/>
    <w:bookmarkEnd w:id="50"/>
    <w:p>
      <w:pPr>
        <w:ind w:left="252" w:hanging="252"/>
        <w:spacing w:after="0"/>
        <w:tabs>
          <w:tab w:leader="none" w:pos="2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Transaction-Related Adjustments</w:t>
      </w:r>
    </w:p>
    <w:p>
      <w:pPr>
        <w:spacing w:after="0" w:line="96" w:lineRule="exact"/>
        <w:rPr>
          <w:rFonts w:ascii="Arial" w:cs="Arial" w:eastAsia="Arial" w:hAnsi="Arial"/>
          <w:sz w:val="18"/>
          <w:szCs w:val="18"/>
          <w:b w:val="1"/>
          <w:bCs w:val="1"/>
          <w:color w:val="auto"/>
        </w:rPr>
      </w:pPr>
    </w:p>
    <w:p>
      <w:pPr>
        <w:ind w:left="892" w:right="220" w:hanging="446"/>
        <w:spacing w:after="0" w:line="259"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a net decrease in cash and cash equivalents of $5.526 billion consisting of (i) a cash payment made to GE at closing in the amount of $6.176 billion in connection with the NBCUniversal transaction, which includes various transaction-related costs, and (ii) our borrowings of $650 million under our commercial paper program.</w:t>
      </w:r>
    </w:p>
    <w:p>
      <w:pPr>
        <w:spacing w:after="0" w:line="59" w:lineRule="exact"/>
        <w:rPr>
          <w:rFonts w:ascii="Arial" w:cs="Arial" w:eastAsia="Arial" w:hAnsi="Arial"/>
          <w:sz w:val="18"/>
          <w:szCs w:val="18"/>
          <w:color w:val="auto"/>
        </w:rPr>
      </w:pPr>
    </w:p>
    <w:p>
      <w:pPr>
        <w:ind w:left="892" w:right="240" w:hanging="446"/>
        <w:spacing w:after="0" w:line="259"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a $7.365 billion decrease in short-term loans to parent, net consisting primarily of the remaining proceeds from the Notes offered after repayment of existing debt, which were transferred to GE as an intercompany loan, and were repaid to NBCUniversal in order to make the $7.4 billion distribution to GE in connection with the closing of the NBCUniversal transaction.</w:t>
      </w:r>
    </w:p>
    <w:p>
      <w:pPr>
        <w:spacing w:after="0" w:line="59" w:lineRule="exact"/>
        <w:rPr>
          <w:rFonts w:ascii="Arial" w:cs="Arial" w:eastAsia="Arial" w:hAnsi="Arial"/>
          <w:sz w:val="18"/>
          <w:szCs w:val="18"/>
          <w:color w:val="auto"/>
        </w:rPr>
      </w:pPr>
    </w:p>
    <w:p>
      <w:pPr>
        <w:ind w:left="892" w:hanging="446"/>
        <w:spacing w:after="0" w:line="255"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excluded NBCUniversal assets and liabilities that have been retained by GE consisting of (i) cash balances of $884 million, (ii) short-term loan to parent, net, of $707 million, related to NBCUniversal’s cash on deposit and other balances with GE associated with the cash pooling and receivables monetization programs as of December 31, 2010, (iii) receivables from GE and its affiliates of $2 million, (iv) NBCUniversal</w:t>
      </w:r>
      <w:r>
        <w:rPr>
          <w:rFonts w:ascii="Arial" w:cs="Arial" w:eastAsia="Arial" w:hAnsi="Arial"/>
          <w:sz w:val="18"/>
          <w:szCs w:val="18"/>
          <w:b w:val="1"/>
          <w:bCs w:val="1"/>
          <w:color w:val="auto"/>
        </w:rPr>
        <w:t>’</w:t>
      </w:r>
      <w:r>
        <w:rPr>
          <w:rFonts w:ascii="Arial" w:cs="Arial" w:eastAsia="Arial" w:hAnsi="Arial"/>
          <w:sz w:val="18"/>
          <w:szCs w:val="18"/>
          <w:color w:val="auto"/>
        </w:rPr>
        <w:t>s investment of $331 million in a subsidiary of GE that was redeemed prior to the closing of the NBCUniversal transaction and (v) accounts payable and other liabilities to GE and its affiliates of $4 million.</w:t>
      </w:r>
    </w:p>
    <w:p>
      <w:pPr>
        <w:spacing w:after="0" w:line="61" w:lineRule="exact"/>
        <w:rPr>
          <w:rFonts w:ascii="Arial" w:cs="Arial" w:eastAsia="Arial" w:hAnsi="Arial"/>
          <w:sz w:val="18"/>
          <w:szCs w:val="18"/>
          <w:color w:val="auto"/>
        </w:rPr>
      </w:pPr>
    </w:p>
    <w:p>
      <w:pPr>
        <w:ind w:left="892" w:right="80" w:hanging="446"/>
        <w:spacing w:after="0" w:line="256"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estimated fair value adjustments resulting in (i) an increase of $407 million to film and television assets, (ii) an increase of $776 million to other noncurrent liabilities related to contractual obligations, and (iii) a decrease of $29 million to other noncurrent liabilities relating primarily to a deferred gain on a sale and leaseback transaction. These fair value adjustments result in an estimated decrease in amortization of $42 million in operating costs and expenses.</w:t>
      </w:r>
    </w:p>
    <w:p>
      <w:pPr>
        <w:spacing w:after="0" w:line="62" w:lineRule="exact"/>
        <w:rPr>
          <w:rFonts w:ascii="Arial" w:cs="Arial" w:eastAsia="Arial" w:hAnsi="Arial"/>
          <w:sz w:val="18"/>
          <w:szCs w:val="18"/>
          <w:color w:val="auto"/>
        </w:rPr>
      </w:pPr>
    </w:p>
    <w:p>
      <w:pPr>
        <w:ind w:left="892" w:right="20" w:hanging="446"/>
        <w:spacing w:after="0" w:line="259"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a $2.453 billion increase in investments based on the estimate of fair value of certain of NBCUniversal’s equity method investments. The increase results in an estimated decrease of $75 million in equity in net income of affiliates due to the amortization of these basis differences on a straight line basis over the estimated useful lives of the underlying assets of affiliates.</w:t>
      </w:r>
    </w:p>
    <w:p>
      <w:pPr>
        <w:spacing w:after="0" w:line="59" w:lineRule="exact"/>
        <w:rPr>
          <w:rFonts w:ascii="Arial" w:cs="Arial" w:eastAsia="Arial" w:hAnsi="Arial"/>
          <w:sz w:val="18"/>
          <w:szCs w:val="18"/>
          <w:color w:val="auto"/>
        </w:rPr>
      </w:pPr>
    </w:p>
    <w:p>
      <w:pPr>
        <w:ind w:left="892" w:right="440" w:hanging="446"/>
        <w:spacing w:after="0" w:line="332" w:lineRule="auto"/>
        <w:tabs>
          <w:tab w:leader="none" w:pos="892" w:val="left"/>
        </w:tabs>
        <w:numPr>
          <w:ilvl w:val="1"/>
          <w:numId w:val="19"/>
        </w:numPr>
        <w:rPr>
          <w:rFonts w:ascii="Arial" w:cs="Arial" w:eastAsia="Arial" w:hAnsi="Arial"/>
          <w:sz w:val="16"/>
          <w:szCs w:val="16"/>
          <w:color w:val="auto"/>
        </w:rPr>
      </w:pPr>
      <w:r>
        <w:rPr>
          <w:rFonts w:ascii="Arial" w:cs="Arial" w:eastAsia="Arial" w:hAnsi="Arial"/>
          <w:sz w:val="16"/>
          <w:szCs w:val="16"/>
          <w:color w:val="auto"/>
        </w:rPr>
        <w:t>Represents a $29 million decrease in receivables related to our fees and expenses capitalized in connection with the issuance of the Notes. This corresponds with the elimination of NBCUniversal’s related payable included within the net adjustment in note (j).</w:t>
      </w:r>
    </w:p>
    <w:p>
      <w:pPr>
        <w:spacing w:after="0" w:line="4" w:lineRule="exact"/>
        <w:rPr>
          <w:rFonts w:ascii="Arial" w:cs="Arial" w:eastAsia="Arial" w:hAnsi="Arial"/>
          <w:sz w:val="16"/>
          <w:szCs w:val="16"/>
          <w:color w:val="auto"/>
        </w:rPr>
      </w:pPr>
    </w:p>
    <w:p>
      <w:pPr>
        <w:ind w:left="892" w:hanging="446"/>
        <w:spacing w:after="0"/>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a $101 million increase based on the estimate of fair value of NBCUniversal’s non-depreciable property and equipment.</w:t>
      </w:r>
    </w:p>
    <w:p>
      <w:pPr>
        <w:spacing w:after="0" w:line="90" w:lineRule="exact"/>
        <w:rPr>
          <w:rFonts w:ascii="Arial" w:cs="Arial" w:eastAsia="Arial" w:hAnsi="Arial"/>
          <w:sz w:val="18"/>
          <w:szCs w:val="18"/>
          <w:color w:val="auto"/>
        </w:rPr>
      </w:pPr>
    </w:p>
    <w:p>
      <w:pPr>
        <w:ind w:left="892" w:right="320" w:hanging="446"/>
        <w:spacing w:after="0" w:line="256" w:lineRule="auto"/>
        <w:tabs>
          <w:tab w:leader="none" w:pos="892"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Represents a net adjustment to pro forma goodwill resulting from the application of acquisition accounting to the assets and liabilities of the NBCUniversal contributed businesses as of December 31, 2010 and the recognition of the related redeemable noncontrolling interest of GE. The actual amount of goodwill will be determined by applying acquisition accounting to the assets and liabilities of the NBCUniversal businesses acquired as of January 28, 2011.</w:t>
      </w:r>
    </w:p>
    <w:p>
      <w:pPr>
        <w:spacing w:after="0" w:line="13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PF-7</w:t>
      </w:r>
    </w:p>
    <w:p>
      <w:pPr>
        <w:sectPr>
          <w:pgSz w:w="11900" w:h="16838" w:orient="portrait"/>
          <w:cols w:equalWidth="0" w:num="1">
            <w:col w:w="11372"/>
          </w:cols>
          <w:pgMar w:left="248" w:top="274" w:right="279" w:bottom="1440" w:gutter="0" w:footer="0" w:header="0"/>
        </w:sectPr>
      </w:pPr>
    </w:p>
    <w:bookmarkStart w:id="51" w:name="page52"/>
    <w:bookmarkEnd w:id="51"/>
    <w:p>
      <w:pPr>
        <w:ind w:left="446" w:right="60" w:hanging="446"/>
        <w:spacing w:after="0" w:line="256"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a $12.013 billion increase based on the estimate of the fair value of NBCUniversal finite-lived and indefinite-lived intangible assets, including trade names, Federal Communications Commission (“FCC”) licenses and relationships with advertisers and multichannel video providers. Finite-lived intangible assets are amortized on a straight line basis over estimated useful lives, resulting in an estimated increase in amortization of $614 million for the year ended December 31, 2010.</w:t>
      </w:r>
    </w:p>
    <w:p>
      <w:pPr>
        <w:spacing w:after="0" w:line="62" w:lineRule="exact"/>
        <w:rPr>
          <w:rFonts w:ascii="Arial" w:cs="Arial" w:eastAsia="Arial" w:hAnsi="Arial"/>
          <w:sz w:val="18"/>
          <w:szCs w:val="18"/>
          <w:color w:val="auto"/>
        </w:rPr>
      </w:pPr>
    </w:p>
    <w:p>
      <w:pPr>
        <w:ind w:left="446" w:right="40" w:hanging="446"/>
        <w:spacing w:after="0" w:line="306"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an increase in accrued expenses reflecting (i) a net increase of $10 million related to amounts payable to us and GE for fees and expenses related to the Notes and the credit facilities, reflecting the elimination of amounts due to us and an increase in amounts due to GE as a result of the closing, and (ii) an amount payable of $10 million to GE related to executive stock compensation arrangements.</w:t>
      </w:r>
    </w:p>
    <w:p>
      <w:pPr>
        <w:spacing w:after="0" w:line="25" w:lineRule="exact"/>
        <w:rPr>
          <w:rFonts w:ascii="Arial" w:cs="Arial" w:eastAsia="Arial" w:hAnsi="Arial"/>
          <w:sz w:val="16"/>
          <w:szCs w:val="16"/>
          <w:color w:val="auto"/>
        </w:rPr>
      </w:pPr>
    </w:p>
    <w:p>
      <w:pPr>
        <w:ind w:left="446" w:hanging="446"/>
        <w:spacing w:after="0"/>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an increase of $650 million for borrowings raised under our commercial paper program.</w:t>
      </w:r>
    </w:p>
    <w:p>
      <w:pPr>
        <w:spacing w:after="0" w:line="90" w:lineRule="exact"/>
        <w:rPr>
          <w:rFonts w:ascii="Arial" w:cs="Arial" w:eastAsia="Arial" w:hAnsi="Arial"/>
          <w:sz w:val="18"/>
          <w:szCs w:val="18"/>
          <w:color w:val="auto"/>
        </w:rPr>
      </w:pPr>
    </w:p>
    <w:p>
      <w:pPr>
        <w:ind w:left="446" w:right="100" w:hanging="446"/>
        <w:spacing w:after="0" w:line="283"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part of the NBCUniversal transaction, NBC Universal, Inc. converted from a Delaware corporation into a Delaware limited liability company. Accordingly, NBCUniversal will not incur any material current or deferred U.S. federal income taxes. NBCUniversal, however, is expected to incur current and deferred state income taxes in a limited number of states. In addition, foreign subsidiaries are expected to incur current and deferred foreign income taxes. GE has indemnified NBCUniversal with respect to NBCUniversal’s income tax obligations attributable to periods prior to the closing of the NBCUniversal transaction. To give effect to these transactions and arrangements, we have eliminated NBCUniversal’s historical federal and a portion of state and local deferred and current income taxes consisting of (i) current deferred income tax assets of $68 million,</w:t>
      </w:r>
    </w:p>
    <w:p>
      <w:pPr>
        <w:spacing w:after="0" w:line="1" w:lineRule="exact"/>
        <w:rPr>
          <w:rFonts w:ascii="Arial" w:cs="Arial" w:eastAsia="Arial" w:hAnsi="Arial"/>
          <w:sz w:val="16"/>
          <w:szCs w:val="16"/>
          <w:color w:val="auto"/>
        </w:rPr>
      </w:pPr>
    </w:p>
    <w:p>
      <w:pPr>
        <w:ind w:left="446" w:right="20"/>
        <w:spacing w:after="0" w:line="254" w:lineRule="auto"/>
        <w:rPr>
          <w:rFonts w:ascii="Arial" w:cs="Arial" w:eastAsia="Arial" w:hAnsi="Arial"/>
          <w:sz w:val="16"/>
          <w:szCs w:val="16"/>
          <w:color w:val="auto"/>
        </w:rPr>
      </w:pPr>
      <w:r>
        <w:rPr>
          <w:rFonts w:ascii="Arial" w:cs="Arial" w:eastAsia="Arial" w:hAnsi="Arial"/>
          <w:sz w:val="18"/>
          <w:szCs w:val="18"/>
          <w:color w:val="auto"/>
        </w:rPr>
        <w:t>(ii) noncurrent income taxes receivable of $148 million, (iii) current income taxes payable of $12 million, (iv) noncurrent income tax liabilities for uncertain tax positions of $412 million, and (v) noncurrent deferred income tax liabilities of $2.290 billion. In addition, we have recorded an asset of $74 million in other noncurrent assets representing GE’s indemnification of income tax liabilities included in NBCUniversal’s historical consolidated financial statements.</w:t>
      </w:r>
    </w:p>
    <w:p>
      <w:pPr>
        <w:spacing w:after="0" w:line="62" w:lineRule="exact"/>
        <w:rPr>
          <w:rFonts w:ascii="Arial" w:cs="Arial" w:eastAsia="Arial" w:hAnsi="Arial"/>
          <w:sz w:val="16"/>
          <w:szCs w:val="16"/>
          <w:color w:val="auto"/>
        </w:rPr>
      </w:pPr>
    </w:p>
    <w:p>
      <w:pPr>
        <w:ind w:left="446" w:hanging="446"/>
        <w:spacing w:after="0" w:line="294"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net increase in deferred tax liabilities consisting of (i) recognition of state and foreign deferred tax liabilities of $138 million related to the step-up in fair value of NBCUniversal assets and liabilities acquired, (ii) recognition of a deferred tax liability of $10 million related to foreign tax credits for our share of NBCUniversal’s foreign deferred tax asset and (iii) recognition of a net increase in deferred tax liabilities of $895 million attributable to the excess of the fair value of the portion of NBCUniversal assets and liabilities received in excess of the historical carryover value of GE’s 49% redeemable noncontrolling interest in the Comcast Content Business.</w:t>
      </w:r>
    </w:p>
    <w:p>
      <w:pPr>
        <w:spacing w:after="0" w:line="34" w:lineRule="exact"/>
        <w:rPr>
          <w:rFonts w:ascii="Arial" w:cs="Arial" w:eastAsia="Arial" w:hAnsi="Arial"/>
          <w:sz w:val="16"/>
          <w:szCs w:val="16"/>
          <w:color w:val="auto"/>
        </w:rPr>
      </w:pPr>
    </w:p>
    <w:p>
      <w:pPr>
        <w:ind w:left="446" w:right="240" w:hanging="446"/>
        <w:spacing w:after="0" w:line="332"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an increase based on the estimated fair value of the Notes offered in connection with the NBCUniversal transaction of $25 million and reversal of deferred financing fees of $45 million related to the same Notes recorded in the historical consolidated financial statements.</w:t>
      </w:r>
    </w:p>
    <w:p>
      <w:pPr>
        <w:spacing w:after="0" w:line="4" w:lineRule="exact"/>
        <w:rPr>
          <w:rFonts w:ascii="Arial" w:cs="Arial" w:eastAsia="Arial" w:hAnsi="Arial"/>
          <w:sz w:val="16"/>
          <w:szCs w:val="16"/>
          <w:color w:val="auto"/>
        </w:rPr>
      </w:pPr>
    </w:p>
    <w:p>
      <w:pPr>
        <w:ind w:left="446" w:right="20" w:hanging="446"/>
        <w:spacing w:after="0" w:line="289" w:lineRule="auto"/>
        <w:tabs>
          <w:tab w:leader="none" w:pos="446"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Included in the historical consolidated balance sheet of NBCUniversal at December 31, 2010, are the assets and liabilities of a consolidated variable-interest entity, Station Venture Holdings, LLC (“Station Venture”). Effective upon closing of the NBCUniversal transaction, Station Venture has been deconsolidated due to a change in circumstances causing NBCUniversal to no longer be the primary beneficiary of the entity. Following deconsolidation, NBCUniversal’s investment in Station Venture is accounted for as an equity method investment. The deconsolidation adjustments reflect (i) the elimination of an $816 million note and $67 million of interest expense and (ii) the elimination of $137 million of noncontrolling interest deficit and $59 million of net loss attributable to the noncontrolling interest. We recorded a liability of $350 million representing the estimated fair value of a consolidated subsidiary, which serves as collateral for the note and eliminated $19 million of accounts receivable due from Station Venture, which we do not expect to recover.</w:t>
      </w:r>
    </w:p>
    <w:p>
      <w:pPr>
        <w:spacing w:after="0" w:line="37" w:lineRule="exact"/>
        <w:rPr>
          <w:rFonts w:ascii="Arial" w:cs="Arial" w:eastAsia="Arial" w:hAnsi="Arial"/>
          <w:sz w:val="16"/>
          <w:szCs w:val="16"/>
          <w:color w:val="auto"/>
        </w:rPr>
      </w:pPr>
    </w:p>
    <w:p>
      <w:pPr>
        <w:ind w:left="446" w:hanging="446"/>
        <w:spacing w:after="0" w:line="318" w:lineRule="auto"/>
        <w:tabs>
          <w:tab w:leader="none" w:pos="446" w:val="left"/>
        </w:tabs>
        <w:numPr>
          <w:ilvl w:val="0"/>
          <w:numId w:val="20"/>
        </w:numPr>
        <w:rPr>
          <w:rFonts w:ascii="Arial" w:cs="Arial" w:eastAsia="Arial" w:hAnsi="Arial"/>
          <w:sz w:val="15"/>
          <w:szCs w:val="15"/>
          <w:color w:val="auto"/>
        </w:rPr>
      </w:pPr>
      <w:r>
        <w:rPr>
          <w:rFonts w:ascii="Arial" w:cs="Arial" w:eastAsia="Arial" w:hAnsi="Arial"/>
          <w:sz w:val="15"/>
          <w:szCs w:val="15"/>
          <w:color w:val="auto"/>
        </w:rPr>
        <w:t>Represents increases in the estimated liabilities associated with NBCUniversal’s future obligations related to employee benefit matters of $81 million and $480 million to NBCUniversal’s current and noncurrent liabilities, respectively. Under the terms of the NBCUniversal Employee Matters Agreement, NBCUniversal has agreed to reimburse GE for amounts associated with certain of the employee benefit and insurance programs after the closing of the NBCUniversal transaction. Additionally, NBCUniversal will participate in certain of our employee benefit plans and has also adopted and established new employee benefit plans, which include new defined benefit, supplemental pension and defined contribution plans, among others.</w:t>
      </w:r>
    </w:p>
    <w:p>
      <w:pPr>
        <w:spacing w:after="0" w:line="86"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PF-8</w:t>
      </w:r>
    </w:p>
    <w:p>
      <w:pPr>
        <w:sectPr>
          <w:pgSz w:w="11900" w:h="16838" w:orient="portrait"/>
          <w:cols w:equalWidth="0" w:num="1">
            <w:col w:w="10946"/>
          </w:cols>
          <w:pgMar w:left="694" w:top="280" w:right="259" w:bottom="1440" w:gutter="0" w:footer="0" w:header="0"/>
        </w:sectPr>
      </w:pPr>
    </w:p>
    <w:bookmarkStart w:id="52" w:name="page53"/>
    <w:bookmarkEnd w:id="52"/>
    <w:p>
      <w:pPr>
        <w:ind w:left="446" w:right="80" w:hanging="446"/>
        <w:spacing w:after="0" w:line="255"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connection with the NBCUniversal transaction, we agreed to share with GE certain tax benefits, to the extent realized, related to the form and structure of the transaction. These future payments to GE are contingent on us realizing tax benefits in the future and are accounted for as contingent consideration. We have recorded $639 million in other noncurrent liabilities in our acquisition accounting based on the present value of the expected future payments to GE. Additionally, we have reflected an increase of $34 million in other income (expense) related to the estimated accretion of the liability to fair value.</w:t>
      </w:r>
    </w:p>
    <w:p>
      <w:pPr>
        <w:spacing w:after="0" w:line="61" w:lineRule="exact"/>
        <w:rPr>
          <w:rFonts w:ascii="Arial" w:cs="Arial" w:eastAsia="Arial" w:hAnsi="Arial"/>
          <w:sz w:val="18"/>
          <w:szCs w:val="18"/>
          <w:color w:val="auto"/>
        </w:rPr>
      </w:pPr>
    </w:p>
    <w:p>
      <w:pPr>
        <w:ind w:left="446" w:right="280" w:hanging="446"/>
        <w:spacing w:after="0" w:line="291" w:lineRule="auto"/>
        <w:tabs>
          <w:tab w:leader="none" w:pos="446"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Represents the recognition of GE’s redeemable noncontrolling interests of $15.166 billion in NBCUniversal Holdings consisting of (i) $13.032 billion of noncontrolling interest in the NBCUniversal contributed businesses at fair value and (ii) $2.134 billion of noncontrolling interest in the Comcast Content Business at historical book value. Under the terms of the Operating Agreement, GE will have certain rights to require NBCUniversal Holdings or us to purchase some or all of its interests in NBCUniversal Holdings for cash, at specified times and subject to certain limitations. In addition, GE’s redeemable noncontrolling interest was reduced by $88 million to record reimbursement amounts due to GE for the portion of the fees and expenses related to the credit facilities paid by them.</w:t>
      </w:r>
    </w:p>
    <w:p>
      <w:pPr>
        <w:spacing w:after="0" w:line="39" w:lineRule="exact"/>
        <w:rPr>
          <w:rFonts w:ascii="Arial" w:cs="Arial" w:eastAsia="Arial" w:hAnsi="Arial"/>
          <w:sz w:val="16"/>
          <w:szCs w:val="16"/>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elimination of NBCUniversal’s historical equity.</w:t>
      </w:r>
    </w:p>
    <w:p>
      <w:pPr>
        <w:spacing w:after="0" w:line="90" w:lineRule="exact"/>
        <w:rPr>
          <w:rFonts w:ascii="Arial" w:cs="Arial" w:eastAsia="Arial" w:hAnsi="Arial"/>
          <w:sz w:val="18"/>
          <w:szCs w:val="18"/>
          <w:color w:val="auto"/>
        </w:rPr>
      </w:pPr>
    </w:p>
    <w:p>
      <w:pPr>
        <w:jc w:val="both"/>
        <w:ind w:left="446" w:right="340" w:hanging="446"/>
        <w:spacing w:after="0" w:line="259"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recognition in equity of (i) $2.144 billion representing the excess of the fair value of the portion of the NBCUniversal contributed businesses over the book value of 49% of the Comcast Content Business that was exchanged less (ii) the impact of a net increase in deferred tax liabilities of $895 million related to this exchange.</w:t>
      </w:r>
    </w:p>
    <w:p>
      <w:pPr>
        <w:spacing w:after="0" w:line="59" w:lineRule="exact"/>
        <w:rPr>
          <w:rFonts w:ascii="Arial" w:cs="Arial" w:eastAsia="Arial" w:hAnsi="Arial"/>
          <w:sz w:val="18"/>
          <w:szCs w:val="18"/>
          <w:color w:val="auto"/>
        </w:rPr>
      </w:pPr>
    </w:p>
    <w:p>
      <w:pPr>
        <w:ind w:left="446" w:hanging="446"/>
        <w:spacing w:after="0"/>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a $128 million increase based on the estimate of fair value of noncontrolling interests acquired.</w:t>
      </w:r>
    </w:p>
    <w:p>
      <w:pPr>
        <w:spacing w:after="0" w:line="9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Historically, our transactions with NBCUniversal have consisted primarily of the purchase of advertising and of NBCUniversal-owned programming. We have recorded an adjustment in the pro forma condensed consolidated balance sheet and statement of operations to reflect the elimination of the following items as intercompany transactions:</w:t>
      </w:r>
    </w:p>
    <w:p>
      <w:pPr>
        <w:spacing w:after="0" w:line="176" w:lineRule="exact"/>
        <w:rPr>
          <w:sz w:val="20"/>
          <w:szCs w:val="20"/>
          <w:color w:val="auto"/>
        </w:rPr>
      </w:pPr>
    </w:p>
    <w:tbl>
      <w:tblPr>
        <w:tblLayout w:type="fixed"/>
        <w:tblInd w:w="1386"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Debits/(Credits)</w:t>
            </w:r>
          </w:p>
        </w:tc>
      </w:tr>
      <w:tr>
        <w:trPr>
          <w:trHeight w:val="142"/>
        </w:trPr>
        <w:tc>
          <w:tcPr>
            <w:tcW w:w="4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2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As of December 31, 2010</w:t>
            </w:r>
          </w:p>
        </w:tc>
        <w:tc>
          <w:tcPr>
            <w:tcW w:w="120" w:type="dxa"/>
            <w:vAlign w:val="bottom"/>
          </w:tcPr>
          <w:p>
            <w:pPr>
              <w:spacing w:after="0"/>
              <w:rPr>
                <w:sz w:val="12"/>
                <w:szCs w:val="12"/>
                <w:color w:val="auto"/>
              </w:rPr>
            </w:pPr>
          </w:p>
        </w:tc>
      </w:tr>
      <w:tr>
        <w:trPr>
          <w:trHeight w:val="142"/>
        </w:trPr>
        <w:tc>
          <w:tcPr>
            <w:tcW w:w="4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63"/>
              <w:spacing w:after="0" w:line="142" w:lineRule="exact"/>
              <w:rPr>
                <w:sz w:val="20"/>
                <w:szCs w:val="20"/>
                <w:color w:val="auto"/>
              </w:rPr>
            </w:pPr>
            <w:r>
              <w:rPr>
                <w:rFonts w:ascii="Arial" w:cs="Arial" w:eastAsia="Arial" w:hAnsi="Arial"/>
                <w:sz w:val="14"/>
                <w:szCs w:val="14"/>
                <w:b w:val="1"/>
                <w:bCs w:val="1"/>
                <w:i w:val="1"/>
                <w:iCs w:val="1"/>
                <w:color w:val="auto"/>
                <w:w w:val="86"/>
              </w:rPr>
              <w:t>(in millions)</w:t>
            </w:r>
          </w:p>
        </w:tc>
        <w:tc>
          <w:tcPr>
            <w:tcW w:w="12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Accounts payable</w:t>
            </w:r>
          </w:p>
        </w:tc>
        <w:tc>
          <w:tcPr>
            <w:tcW w:w="2200" w:type="dxa"/>
            <w:vAlign w:val="bottom"/>
            <w:gridSpan w:val="2"/>
          </w:tcPr>
          <w:p>
            <w:pPr>
              <w:ind w:left="20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r>
      <w:tr>
        <w:trPr>
          <w:trHeight w:val="346"/>
        </w:trPr>
        <w:tc>
          <w:tcPr>
            <w:tcW w:w="4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Year Ended</w:t>
            </w:r>
          </w:p>
        </w:tc>
      </w:tr>
      <w:tr>
        <w:trPr>
          <w:trHeight w:val="161"/>
        </w:trPr>
        <w:tc>
          <w:tcPr>
            <w:tcW w:w="4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December 31, 2010</w:t>
            </w:r>
          </w:p>
        </w:tc>
      </w:tr>
      <w:tr>
        <w:trPr>
          <w:trHeight w:val="142"/>
        </w:trPr>
        <w:tc>
          <w:tcPr>
            <w:tcW w:w="41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63"/>
              <w:spacing w:after="0" w:line="142" w:lineRule="exact"/>
              <w:rPr>
                <w:sz w:val="20"/>
                <w:szCs w:val="20"/>
                <w:color w:val="auto"/>
              </w:rPr>
            </w:pPr>
            <w:r>
              <w:rPr>
                <w:rFonts w:ascii="Arial" w:cs="Arial" w:eastAsia="Arial" w:hAnsi="Arial"/>
                <w:sz w:val="14"/>
                <w:szCs w:val="14"/>
                <w:b w:val="1"/>
                <w:bCs w:val="1"/>
                <w:i w:val="1"/>
                <w:iCs w:val="1"/>
                <w:color w:val="auto"/>
                <w:w w:val="86"/>
              </w:rPr>
              <w:t>(in millions)</w:t>
            </w:r>
          </w:p>
        </w:tc>
        <w:tc>
          <w:tcPr>
            <w:tcW w:w="12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CEEFF"/>
          </w:tcPr>
          <w:p>
            <w:pPr>
              <w:spacing w:after="0"/>
              <w:rPr>
                <w:sz w:val="18"/>
                <w:szCs w:val="18"/>
                <w:color w:val="auto"/>
              </w:rPr>
            </w:pPr>
          </w:p>
        </w:tc>
      </w:tr>
      <w:tr>
        <w:trPr>
          <w:trHeight w:val="222"/>
        </w:trPr>
        <w:tc>
          <w:tcPr>
            <w:tcW w:w="41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2200" w:type="dxa"/>
            <w:vAlign w:val="bottom"/>
            <w:gridSpan w:val="2"/>
          </w:tcPr>
          <w:p>
            <w:pPr>
              <w:ind w:left="208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(558)</w:t>
            </w:r>
          </w:p>
        </w:tc>
      </w:tr>
    </w:tbl>
    <w:p>
      <w:pPr>
        <w:spacing w:after="0" w:line="188" w:lineRule="exact"/>
        <w:rPr>
          <w:sz w:val="20"/>
          <w:szCs w:val="20"/>
          <w:color w:val="auto"/>
        </w:rPr>
      </w:pPr>
    </w:p>
    <w:p>
      <w:pPr>
        <w:ind w:left="446" w:right="60" w:hanging="446"/>
        <w:spacing w:after="0" w:line="306" w:lineRule="auto"/>
        <w:tabs>
          <w:tab w:leader="none" w:pos="4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an increase in operating costs and expenses of $29 million for the year ended December 31, 2010 consisting of (i) an increase of $17 million related to the reversal of the amortization of deferred gain on sale and lease-back transactions, and (ii) a net increase of $12 million related to estimated incremental expenses associated with NBCUniversal’s newly adopted employee benefit plans.</w:t>
      </w:r>
    </w:p>
    <w:p>
      <w:pPr>
        <w:spacing w:after="0" w:line="25" w:lineRule="exact"/>
        <w:rPr>
          <w:rFonts w:ascii="Arial" w:cs="Arial" w:eastAsia="Arial" w:hAnsi="Arial"/>
          <w:sz w:val="16"/>
          <w:szCs w:val="16"/>
          <w:color w:val="auto"/>
        </w:rPr>
      </w:pPr>
    </w:p>
    <w:p>
      <w:pPr>
        <w:ind w:left="446" w:hanging="446"/>
        <w:spacing w:after="0" w:line="268" w:lineRule="auto"/>
        <w:tabs>
          <w:tab w:leader="none" w:pos="446"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a reclassification of $30 million to operating costs and expenses, which relates to conforming amortization of certain intangible assets that were previously recorded as amortization expense.</w:t>
      </w:r>
    </w:p>
    <w:p>
      <w:pPr>
        <w:spacing w:after="0" w:line="118"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PF-9</w:t>
      </w:r>
    </w:p>
    <w:p>
      <w:pPr>
        <w:sectPr>
          <w:pgSz w:w="11900" w:h="16838" w:orient="portrait"/>
          <w:cols w:equalWidth="0" w:num="1">
            <w:col w:w="10966"/>
          </w:cols>
          <w:pgMar w:left="694" w:top="280" w:right="239" w:bottom="1440" w:gutter="0" w:footer="0" w:header="0"/>
        </w:sectPr>
      </w:pPr>
    </w:p>
    <w:bookmarkStart w:id="53" w:name="page54"/>
    <w:bookmarkEnd w:id="53"/>
    <w:p>
      <w:pPr>
        <w:ind w:left="892" w:right="260" w:hanging="446"/>
        <w:spacing w:after="0" w:line="268" w:lineRule="auto"/>
        <w:tabs>
          <w:tab w:leader="none" w:pos="892"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Represents a net increase in interest expense of $208 million related to the Notes and NBCUniversal’s revolving credit facility for the year ended December 31, 2010, consisting of:</w:t>
      </w:r>
    </w:p>
    <w:p>
      <w:pPr>
        <w:sectPr>
          <w:pgSz w:w="11900" w:h="16838" w:orient="portrait"/>
          <w:cols w:equalWidth="0" w:num="1">
            <w:col w:w="11332"/>
          </w:cols>
          <w:pgMar w:left="248" w:top="280" w:right="319" w:bottom="1440" w:gutter="0" w:footer="0" w:header="0"/>
        </w:sectPr>
      </w:pPr>
    </w:p>
    <w:p>
      <w:pPr>
        <w:spacing w:after="0" w:line="317" w:lineRule="exact"/>
        <w:rPr>
          <w:sz w:val="20"/>
          <w:szCs w:val="20"/>
          <w:color w:val="auto"/>
        </w:rPr>
      </w:pPr>
    </w:p>
    <w:p>
      <w:pPr>
        <w:ind w:left="1832"/>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3" w:lineRule="exact"/>
        <w:rPr>
          <w:sz w:val="20"/>
          <w:szCs w:val="20"/>
          <w:color w:val="auto"/>
        </w:rPr>
      </w:pPr>
    </w:p>
    <w:p>
      <w:pPr>
        <w:ind w:left="2052" w:right="560" w:hanging="215"/>
        <w:spacing w:after="0" w:line="281" w:lineRule="auto"/>
        <w:rPr>
          <w:sz w:val="20"/>
          <w:szCs w:val="20"/>
          <w:color w:val="auto"/>
        </w:rPr>
      </w:pPr>
      <w:r>
        <w:rPr>
          <w:rFonts w:ascii="Arial" w:cs="Arial" w:eastAsia="Arial" w:hAnsi="Arial"/>
          <w:sz w:val="16"/>
          <w:szCs w:val="16"/>
          <w:color w:val="auto"/>
        </w:rPr>
        <w:t>$9.1 billion aggregate principal amount (fair value of $9.115 billion) of the Notes with varying maturities at a weighted average interest rate of 4.51% (4.48% net of amortization of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-409575</wp:posOffset>
            </wp:positionV>
            <wp:extent cx="4922520" cy="411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22520" cy="411480"/>
                    </a:xfrm>
                    <a:prstGeom prst="rect">
                      <a:avLst/>
                    </a:prstGeom>
                    <a:noFill/>
                  </pic:spPr>
                </pic:pic>
              </a:graphicData>
            </a:graphic>
          </wp:anchor>
        </w:drawing>
      </w:r>
    </w:p>
    <w:p>
      <w:pPr>
        <w:ind w:left="2052" w:right="620" w:hanging="215"/>
        <w:spacing w:after="0" w:line="291" w:lineRule="auto"/>
        <w:rPr>
          <w:sz w:val="20"/>
          <w:szCs w:val="20"/>
          <w:color w:val="auto"/>
        </w:rPr>
      </w:pPr>
      <w:r>
        <w:rPr>
          <w:rFonts w:ascii="Arial" w:cs="Arial" w:eastAsia="Arial" w:hAnsi="Arial"/>
          <w:sz w:val="16"/>
          <w:szCs w:val="16"/>
          <w:color w:val="auto"/>
        </w:rPr>
        <w:t>Commitment fees on the revolving credit facility of the Three-Year Credit Agreement at 0.375% on the undrawn balance of $750 million</w:t>
      </w:r>
    </w:p>
    <w:p>
      <w:pPr>
        <w:spacing w:after="0" w:line="1" w:lineRule="exact"/>
        <w:rPr>
          <w:sz w:val="20"/>
          <w:szCs w:val="20"/>
          <w:color w:val="auto"/>
        </w:rPr>
      </w:pPr>
    </w:p>
    <w:p>
      <w:pPr>
        <w:ind w:left="1832"/>
        <w:spacing w:after="0"/>
        <w:rPr>
          <w:sz w:val="20"/>
          <w:szCs w:val="20"/>
          <w:color w:val="auto"/>
        </w:rPr>
      </w:pPr>
      <w:r>
        <w:rPr>
          <w:rFonts w:ascii="Arial" w:cs="Arial" w:eastAsia="Arial" w:hAnsi="Arial"/>
          <w:sz w:val="18"/>
          <w:szCs w:val="18"/>
          <w:b w:val="1"/>
          <w:bCs w:val="1"/>
          <w:color w:val="auto"/>
        </w:rPr>
        <w:t>Subtotal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-121920</wp:posOffset>
            </wp:positionV>
            <wp:extent cx="49225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 w:lineRule="exact"/>
        <w:rPr>
          <w:sz w:val="20"/>
          <w:szCs w:val="20"/>
          <w:color w:val="auto"/>
        </w:rPr>
      </w:pPr>
    </w:p>
    <w:p>
      <w:pPr>
        <w:ind w:left="2052" w:right="1120" w:hanging="215"/>
        <w:spacing w:after="0" w:line="250" w:lineRule="auto"/>
        <w:rPr>
          <w:sz w:val="20"/>
          <w:szCs w:val="20"/>
          <w:color w:val="auto"/>
        </w:rPr>
      </w:pPr>
      <w:r>
        <w:rPr>
          <w:rFonts w:ascii="Arial" w:cs="Arial" w:eastAsia="Arial" w:hAnsi="Arial"/>
          <w:sz w:val="18"/>
          <w:szCs w:val="18"/>
          <w:color w:val="auto"/>
        </w:rPr>
        <w:t>Less: Amounts included in NBCUniversal’s historical statement of operations</w:t>
      </w:r>
    </w:p>
    <w:p>
      <w:pPr>
        <w:spacing w:after="0" w:line="1" w:lineRule="exact"/>
        <w:rPr>
          <w:sz w:val="20"/>
          <w:szCs w:val="20"/>
          <w:color w:val="auto"/>
        </w:rPr>
      </w:pPr>
    </w:p>
    <w:p>
      <w:pPr>
        <w:ind w:left="2052" w:right="680" w:hanging="215"/>
        <w:spacing w:after="0" w:line="250" w:lineRule="auto"/>
        <w:rPr>
          <w:sz w:val="20"/>
          <w:szCs w:val="20"/>
          <w:color w:val="auto"/>
        </w:rPr>
      </w:pPr>
      <w:r>
        <w:rPr>
          <w:rFonts w:ascii="Arial" w:cs="Arial" w:eastAsia="Arial" w:hAnsi="Arial"/>
          <w:sz w:val="18"/>
          <w:szCs w:val="18"/>
          <w:color w:val="auto"/>
        </w:rPr>
        <w:t>Interest and amortized financing costs on NBCUniversal’s historical long 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-271780</wp:posOffset>
            </wp:positionV>
            <wp:extent cx="4922520" cy="2743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22520" cy="274320"/>
                    </a:xfrm>
                    <a:prstGeom prst="rect">
                      <a:avLst/>
                    </a:prstGeom>
                    <a:noFill/>
                  </pic:spPr>
                </pic:pic>
              </a:graphicData>
            </a:graphic>
          </wp:anchor>
        </w:drawing>
      </w:r>
    </w:p>
    <w:p>
      <w:pPr>
        <w:ind w:left="1832" w:right="1600"/>
        <w:spacing w:after="0" w:line="292" w:lineRule="auto"/>
        <w:rPr>
          <w:sz w:val="20"/>
          <w:szCs w:val="20"/>
          <w:color w:val="auto"/>
        </w:rPr>
      </w:pPr>
      <w:r>
        <w:rPr>
          <w:rFonts w:ascii="Arial" w:cs="Arial" w:eastAsia="Arial" w:hAnsi="Arial"/>
          <w:sz w:val="18"/>
          <w:szCs w:val="18"/>
          <w:color w:val="auto"/>
        </w:rPr>
        <w:t xml:space="preserve">Interest expense and amortized financing costs on the Notes </w:t>
      </w: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-163830</wp:posOffset>
            </wp:positionV>
            <wp:extent cx="49225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1860"/>
        <w:spacing w:after="0"/>
        <w:rPr>
          <w:sz w:val="20"/>
          <w:szCs w:val="20"/>
          <w:color w:val="auto"/>
        </w:rPr>
      </w:pPr>
      <w:r>
        <w:rPr>
          <w:rFonts w:ascii="Arial" w:cs="Arial" w:eastAsia="Arial" w:hAnsi="Arial"/>
          <w:sz w:val="14"/>
          <w:szCs w:val="14"/>
          <w:b w:val="1"/>
          <w:bCs w:val="1"/>
          <w:color w:val="auto"/>
        </w:rPr>
        <w:t>Year Ended</w:t>
      </w:r>
    </w:p>
    <w:p>
      <w:pPr>
        <w:spacing w:after="0" w:line="2" w:lineRule="exact"/>
        <w:rPr>
          <w:sz w:val="20"/>
          <w:szCs w:val="20"/>
          <w:color w:val="auto"/>
        </w:rPr>
      </w:pPr>
    </w:p>
    <w:p>
      <w:pPr>
        <w:jc w:val="center"/>
        <w:ind w:right="1860"/>
        <w:spacing w:after="0"/>
        <w:rPr>
          <w:sz w:val="20"/>
          <w:szCs w:val="20"/>
          <w:color w:val="auto"/>
        </w:rPr>
      </w:pPr>
      <w:r>
        <w:rPr>
          <w:rFonts w:ascii="Arial" w:cs="Arial" w:eastAsia="Arial" w:hAnsi="Arial"/>
          <w:sz w:val="12"/>
          <w:szCs w:val="12"/>
          <w:b w:val="1"/>
          <w:bCs w:val="1"/>
          <w:u w:val="single" w:color="auto"/>
          <w:color w:val="auto"/>
        </w:rPr>
        <w:t>December 31, 2010</w:t>
      </w:r>
    </w:p>
    <w:p>
      <w:pPr>
        <w:spacing w:after="0" w:line="200" w:lineRule="exact"/>
        <w:rPr>
          <w:sz w:val="20"/>
          <w:szCs w:val="20"/>
          <w:color w:val="auto"/>
        </w:rPr>
      </w:pPr>
    </w:p>
    <w:p>
      <w:pPr>
        <w:spacing w:after="0" w:line="247" w:lineRule="exact"/>
        <w:rPr>
          <w:sz w:val="20"/>
          <w:szCs w:val="20"/>
          <w:color w:val="auto"/>
        </w:rPr>
      </w:pPr>
    </w:p>
    <w:p>
      <w:pPr>
        <w:ind w:left="840" w:hanging="832"/>
        <w:spacing w:after="0"/>
        <w:tabs>
          <w:tab w:leader="none" w:pos="8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408</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10795</wp:posOffset>
            </wp:positionV>
            <wp:extent cx="6946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0" w:lineRule="exact"/>
        <w:rPr>
          <w:sz w:val="20"/>
          <w:szCs w:val="20"/>
          <w:color w:val="auto"/>
        </w:rPr>
      </w:pPr>
    </w:p>
    <w:p>
      <w:pPr>
        <w:ind w:left="840" w:hanging="832"/>
        <w:spacing w:after="0"/>
        <w:tabs>
          <w:tab w:leader="none" w:pos="8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411</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63" w:lineRule="exact"/>
        <w:rPr>
          <w:rFonts w:ascii="Arial" w:cs="Arial" w:eastAsia="Arial" w:hAnsi="Arial"/>
          <w:sz w:val="18"/>
          <w:szCs w:val="18"/>
          <w:b w:val="1"/>
          <w:bCs w:val="1"/>
          <w:color w:val="auto"/>
        </w:rPr>
      </w:pPr>
    </w:p>
    <w:p>
      <w:pPr>
        <w:ind w:left="860"/>
        <w:spacing w:after="0"/>
        <w:rPr>
          <w:rFonts w:ascii="Arial" w:cs="Arial" w:eastAsia="Arial" w:hAnsi="Arial"/>
          <w:sz w:val="18"/>
          <w:szCs w:val="18"/>
          <w:b w:val="1"/>
          <w:bCs w:val="1"/>
          <w:color w:val="auto"/>
        </w:rPr>
      </w:pPr>
      <w:r>
        <w:rPr>
          <w:rFonts w:ascii="Arial" w:cs="Arial" w:eastAsia="Arial" w:hAnsi="Arial"/>
          <w:sz w:val="16"/>
          <w:szCs w:val="16"/>
          <w:color w:val="auto"/>
        </w:rPr>
        <w:t>(14)</w:t>
      </w:r>
    </w:p>
    <w:p>
      <w:pPr>
        <w:spacing w:after="0" w:line="38"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6946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4" w:lineRule="exact"/>
        <w:rPr>
          <w:sz w:val="20"/>
          <w:szCs w:val="20"/>
          <w:color w:val="auto"/>
        </w:rPr>
      </w:pPr>
    </w:p>
    <w:p>
      <w:pPr>
        <w:ind w:left="840" w:hanging="832"/>
        <w:spacing w:after="0"/>
        <w:tabs>
          <w:tab w:leader="none" w:pos="8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14605</wp:posOffset>
            </wp:positionV>
            <wp:extent cx="69469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4690" cy="889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31750</wp:posOffset>
            </wp:positionV>
            <wp:extent cx="69469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65" w:lineRule="exact"/>
        <w:rPr>
          <w:sz w:val="20"/>
          <w:szCs w:val="20"/>
          <w:color w:val="auto"/>
        </w:rPr>
      </w:pPr>
    </w:p>
    <w:p>
      <w:pPr>
        <w:sectPr>
          <w:pgSz w:w="11900" w:h="16838" w:orient="portrait"/>
          <w:cols w:equalWidth="0" w:num="2">
            <w:col w:w="7652" w:space="720"/>
            <w:col w:w="2960"/>
          </w:cols>
          <w:pgMar w:left="248" w:top="280" w:right="319" w:bottom="1440" w:gutter="0" w:footer="0" w:header="0"/>
          <w:type w:val="continuous"/>
        </w:sectPr>
      </w:pPr>
    </w:p>
    <w:p>
      <w:pPr>
        <w:spacing w:after="0" w:line="6" w:lineRule="exact"/>
        <w:rPr>
          <w:sz w:val="20"/>
          <w:szCs w:val="20"/>
          <w:color w:val="auto"/>
        </w:rPr>
      </w:pPr>
    </w:p>
    <w:p>
      <w:pPr>
        <w:ind w:left="892" w:right="40" w:hanging="446"/>
        <w:spacing w:after="0" w:line="332" w:lineRule="auto"/>
        <w:tabs>
          <w:tab w:leader="none" w:pos="89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an elimination of investment income of $38 million and interest expense of $31 million for the year ended December 31, 2010 related to NBCUniversal’s cash pooling programs with GE that were settled in connection with the NBCUniversal transaction.</w:t>
      </w:r>
    </w:p>
    <w:p>
      <w:pPr>
        <w:spacing w:after="0" w:line="4" w:lineRule="exact"/>
        <w:rPr>
          <w:sz w:val="20"/>
          <w:szCs w:val="20"/>
          <w:color w:val="auto"/>
        </w:rPr>
      </w:pPr>
    </w:p>
    <w:p>
      <w:pPr>
        <w:ind w:left="892" w:right="120" w:hanging="446"/>
        <w:spacing w:after="0" w:line="268"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Represents an elimination of equity in net income of affiliates of $8 million for the year ended December 31, 2010 related the reclassification of an equity method investment to a cost method investment as a result of the NBCUniversal transaction.</w:t>
      </w:r>
    </w:p>
    <w:p>
      <w:pPr>
        <w:spacing w:after="0" w:line="50" w:lineRule="exact"/>
        <w:rPr>
          <w:rFonts w:ascii="Arial" w:cs="Arial" w:eastAsia="Arial" w:hAnsi="Arial"/>
          <w:sz w:val="18"/>
          <w:szCs w:val="18"/>
          <w:color w:val="auto"/>
        </w:rPr>
      </w:pPr>
    </w:p>
    <w:p>
      <w:pPr>
        <w:ind w:left="892" w:right="180" w:hanging="446"/>
        <w:spacing w:after="0" w:line="259"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Represents a decrease in other income reflecting (i) the elimination of dividends of $21 million received from an investment in a subsidiary of GE that was redeemed prior to the closing of the NBCUniversal Transaction, and (ii) a reclassification of costs of $25 million related to a long-term contractual obligation.</w:t>
      </w:r>
    </w:p>
    <w:p>
      <w:pPr>
        <w:spacing w:after="0" w:line="59" w:lineRule="exact"/>
        <w:rPr>
          <w:rFonts w:ascii="Arial" w:cs="Arial" w:eastAsia="Arial" w:hAnsi="Arial"/>
          <w:sz w:val="18"/>
          <w:szCs w:val="18"/>
          <w:color w:val="auto"/>
        </w:rPr>
      </w:pPr>
    </w:p>
    <w:p>
      <w:pPr>
        <w:ind w:left="892" w:hanging="446"/>
        <w:spacing w:after="0" w:line="288" w:lineRule="auto"/>
        <w:tabs>
          <w:tab w:leader="none" w:pos="8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Represents (i) the elimination of NBCUniversal’s historical U.S. income tax expense of $520 million as a result of the conversion to a Delaware limited liability company and GE’s indemnity with respect to their income tax obligations attributable to periods prior to the closing of the NBCUniversal transaction, (ii) the elimination of the historical U.S. income tax expense of $165 million of the Comcast Content Business as a result of it being contributed into NBCUniversal and our indemnification with respect to their income tax obligations attributable to periods prior to the closing of the NBCUniversal transaction, (iii) the recognition of a federal foreign tax credit of $111 million for our share of NBCUniversal’s foreign taxes, (iv) the recognition of U.S. income tax expense of $363 million for our share of NBCUniversal’s pre-tax income at a tax rate of 39%, (v) the state income tax benefits on the NBCUniversal pro forma adjustments of $4 million using a tax rate of 0.5%, and (vi) the income tax expense of $84 million related to our pro forma adjustments using a tax rate of 39%. In addition, we have eliminated NBCUniversal’s interest expense on unrecognized tax obligations of $9 million. No pro forma adjustment has been made to NBCUniversal foreign taxes.</w:t>
      </w:r>
    </w:p>
    <w:p>
      <w:pPr>
        <w:spacing w:after="0" w:line="38" w:lineRule="exact"/>
        <w:rPr>
          <w:rFonts w:ascii="Arial" w:cs="Arial" w:eastAsia="Arial" w:hAnsi="Arial"/>
          <w:sz w:val="16"/>
          <w:szCs w:val="16"/>
          <w:color w:val="auto"/>
        </w:rPr>
      </w:pPr>
    </w:p>
    <w:p>
      <w:pPr>
        <w:ind w:left="892" w:right="60" w:hanging="446"/>
        <w:spacing w:after="0" w:line="306" w:lineRule="auto"/>
        <w:tabs>
          <w:tab w:leader="none" w:pos="892" w:val="left"/>
        </w:tabs>
        <w:numPr>
          <w:ilvl w:val="1"/>
          <w:numId w:val="28"/>
        </w:numPr>
        <w:rPr>
          <w:rFonts w:ascii="Arial" w:cs="Arial" w:eastAsia="Arial" w:hAnsi="Arial"/>
          <w:sz w:val="16"/>
          <w:szCs w:val="16"/>
          <w:color w:val="auto"/>
        </w:rPr>
      </w:pPr>
      <w:r>
        <w:rPr>
          <w:rFonts w:ascii="Arial" w:cs="Arial" w:eastAsia="Arial" w:hAnsi="Arial"/>
          <w:sz w:val="16"/>
          <w:szCs w:val="16"/>
          <w:color w:val="auto"/>
        </w:rPr>
        <w:t>Represents the elimination of transaction costs incurred by us directly related to the NBCUniversal transaction of $216 million for the year ended December 31, 2010 consisting of (i) $80 million in operating costs and expenses, (ii) $129 million in other income (expense), and (iii) $7 million in interest expense, respectively, which were recorded in our historical condensed consolidated financial statements.</w:t>
      </w:r>
    </w:p>
    <w:p>
      <w:pPr>
        <w:spacing w:after="0" w:line="25" w:lineRule="exact"/>
        <w:rPr>
          <w:rFonts w:ascii="Arial" w:cs="Arial" w:eastAsia="Arial" w:hAnsi="Arial"/>
          <w:sz w:val="16"/>
          <w:szCs w:val="16"/>
          <w:color w:val="auto"/>
        </w:rPr>
      </w:pPr>
    </w:p>
    <w:p>
      <w:pPr>
        <w:ind w:left="892" w:right="220" w:hanging="446"/>
        <w:spacing w:after="0" w:line="268" w:lineRule="auto"/>
        <w:tabs>
          <w:tab w:leader="none" w:pos="892"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Represents the allocation of $704 million of our net income from consolidated operations attributable to NBCUniversal to GE’s 49 % redeemable noncontrolling interest in NBCUniversal Holdings.</w:t>
      </w:r>
    </w:p>
    <w:p>
      <w:pPr>
        <w:spacing w:after="0" w:line="206" w:lineRule="exact"/>
        <w:rPr>
          <w:rFonts w:ascii="Arial" w:cs="Arial" w:eastAsia="Arial" w:hAnsi="Arial"/>
          <w:sz w:val="18"/>
          <w:szCs w:val="18"/>
          <w:color w:val="auto"/>
        </w:rPr>
      </w:pPr>
    </w:p>
    <w:p>
      <w:pPr>
        <w:ind w:left="252" w:hanging="252"/>
        <w:spacing w:after="0"/>
        <w:tabs>
          <w:tab w:leader="none" w:pos="2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Items Not Adjusted in Unaudited Pro Forma Financial Information</w:t>
      </w:r>
    </w:p>
    <w:p>
      <w:pPr>
        <w:spacing w:after="0" w:line="96" w:lineRule="exact"/>
        <w:rPr>
          <w:rFonts w:ascii="Arial" w:cs="Arial" w:eastAsia="Arial" w:hAnsi="Arial"/>
          <w:sz w:val="18"/>
          <w:szCs w:val="18"/>
          <w:b w:val="1"/>
          <w:bCs w:val="1"/>
          <w:color w:val="auto"/>
        </w:rPr>
      </w:pPr>
    </w:p>
    <w:p>
      <w:pPr>
        <w:ind w:left="892" w:right="160" w:hanging="446"/>
        <w:spacing w:after="0" w:line="294" w:lineRule="auto"/>
        <w:tabs>
          <w:tab w:leader="none" w:pos="892" w:val="left"/>
        </w:tabs>
        <w:numPr>
          <w:ilvl w:val="1"/>
          <w:numId w:val="29"/>
        </w:numPr>
        <w:rPr>
          <w:rFonts w:ascii="Arial" w:cs="Arial" w:eastAsia="Arial" w:hAnsi="Arial"/>
          <w:sz w:val="16"/>
          <w:szCs w:val="16"/>
          <w:color w:val="auto"/>
        </w:rPr>
      </w:pPr>
      <w:r>
        <w:rPr>
          <w:rFonts w:ascii="Arial" w:cs="Arial" w:eastAsia="Arial" w:hAnsi="Arial"/>
          <w:sz w:val="16"/>
          <w:szCs w:val="16"/>
          <w:color w:val="auto"/>
        </w:rPr>
        <w:t>As a result of the NBCUniversal transaction, GE will no longer provide a number of corporate services to NBCUniversal, the cost of which was previously allocated to NBCUniversal in its historical consolidated financial statements. In the future, these services will be provided to NBCUniversal under new arrangements with us, GE and third parties. No adjustment has been reflected in the pro forma statement of earnings for any differences between the amount of estimated costs that will be incurred as part of these new arrangements and the amounts of historically allocated corporate services costs from GE, as the differences have not been deemed material.</w:t>
      </w:r>
    </w:p>
    <w:p>
      <w:pPr>
        <w:spacing w:after="0" w:line="10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PF-10</w:t>
      </w:r>
    </w:p>
    <w:p>
      <w:pPr>
        <w:sectPr>
          <w:pgSz w:w="11900" w:h="16838" w:orient="portrait"/>
          <w:cols w:equalWidth="0" w:num="1">
            <w:col w:w="11332"/>
          </w:cols>
          <w:pgMar w:left="248" w:top="280" w:right="319" w:bottom="1440" w:gutter="0" w:footer="0" w:header="0"/>
          <w:type w:val="continuous"/>
        </w:sectPr>
      </w:pPr>
    </w:p>
    <w:bookmarkStart w:id="54" w:name="page55"/>
    <w:bookmarkEnd w:id="54"/>
    <w:p>
      <w:pPr>
        <w:ind w:left="446" w:right="240" w:hanging="446"/>
        <w:spacing w:after="0" w:line="268"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not reflected any additional interest expense for potential borrowings of up to $750 million available under the NBCUniversal revolving credit facility, as this facility was not drawn upon at the closing of the NBCUniversal transaction.</w:t>
      </w:r>
    </w:p>
    <w:p>
      <w:pPr>
        <w:spacing w:after="0" w:line="50" w:lineRule="exact"/>
        <w:rPr>
          <w:rFonts w:ascii="Arial" w:cs="Arial" w:eastAsia="Arial" w:hAnsi="Arial"/>
          <w:sz w:val="18"/>
          <w:szCs w:val="18"/>
          <w:color w:val="auto"/>
        </w:rPr>
      </w:pPr>
    </w:p>
    <w:p>
      <w:pPr>
        <w:ind w:left="446" w:hanging="446"/>
        <w:spacing w:after="0" w:line="259" w:lineRule="auto"/>
        <w:tabs>
          <w:tab w:leader="none" w:pos="4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have not reflected any interest expense related to borrowings under our commercial paper program to finance the cash payment to GE in connection with the closing of the NBCUniversal transaction. This outstanding amount under the commercial paper program is expected to be repaid in 2011 and therefore related interest was considered to be non-recurring in nature.</w:t>
      </w:r>
    </w:p>
    <w:p>
      <w:pPr>
        <w:spacing w:after="0" w:line="127" w:lineRule="exact"/>
        <w:rPr>
          <w:sz w:val="20"/>
          <w:szCs w:val="20"/>
          <w:color w:val="auto"/>
        </w:rPr>
      </w:pPr>
    </w:p>
    <w:p>
      <w:pPr>
        <w:jc w:val="center"/>
        <w:ind w:right="374"/>
        <w:spacing w:after="0"/>
        <w:rPr>
          <w:sz w:val="20"/>
          <w:szCs w:val="20"/>
          <w:color w:val="auto"/>
        </w:rPr>
      </w:pPr>
      <w:r>
        <w:rPr>
          <w:rFonts w:ascii="Arial" w:cs="Arial" w:eastAsia="Arial" w:hAnsi="Arial"/>
          <w:sz w:val="18"/>
          <w:szCs w:val="18"/>
          <w:color w:val="auto"/>
        </w:rPr>
        <w:t>PF-11</w:t>
      </w:r>
    </w:p>
    <w:sectPr>
      <w:pgSz w:w="11900" w:h="16838" w:orient="portrait"/>
      <w:cols w:equalWidth="0" w:num="1">
        <w:col w:w="10906"/>
      </w:cols>
      <w:pgMar w:left="694" w:top="28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2"/>
    </w:lvl>
  </w:abstractNum>
  <w:abstractNum w:abstractNumId="4">
    <w:nsid w:val="519B500D"/>
    <w:multiLevelType w:val="hybridMultilevel"/>
    <w:lvl w:ilvl="0">
      <w:lvlJc w:val="left"/>
      <w:lvlText w:val="(%1)"/>
      <w:numFmt w:val="decimal"/>
      <w:start w:val="4"/>
    </w:lvl>
  </w:abstractNum>
  <w:abstractNum w:abstractNumId="5">
    <w:nsid w:val="431BD7B7"/>
    <w:multiLevelType w:val="hybridMultilevel"/>
    <w:lvl w:ilvl="0">
      <w:lvlJc w:val="left"/>
      <w:lvlText w:val="(%1)"/>
      <w:numFmt w:val="lowerLetter"/>
      <w:start w:val="1"/>
    </w:lvl>
  </w:abstractNum>
  <w:abstractNum w:abstractNumId="6">
    <w:nsid w:val="3F2DBA31"/>
    <w:multiLevelType w:val="hybridMultilevel"/>
    <w:lvl w:ilvl="0">
      <w:lvlJc w:val="left"/>
      <w:lvlText w:val="(%1)"/>
      <w:numFmt w:val="lowerLetter"/>
      <w:start w:val="2"/>
    </w:lvl>
  </w:abstractNum>
  <w:abstractNum w:abstractNumId="7">
    <w:nsid w:val="7C83E458"/>
    <w:multiLevelType w:val="hybridMultilevel"/>
    <w:lvl w:ilvl="0">
      <w:lvlJc w:val="left"/>
      <w:lvlText w:val="(%1)"/>
      <w:numFmt w:val="lowerLetter"/>
      <w:start w:val="2"/>
    </w:lvl>
  </w:abstractNum>
  <w:abstractNum w:abstractNumId="8">
    <w:nsid w:val="257130A3"/>
    <w:multiLevelType w:val="hybridMultilevel"/>
    <w:lvl w:ilvl="0">
      <w:lvlJc w:val="left"/>
      <w:lvlText w:val="(%1)"/>
      <w:numFmt w:val="lowerLetter"/>
      <w:start w:val="1"/>
    </w:lvl>
  </w:abstractNum>
  <w:abstractNum w:abstractNumId="9">
    <w:nsid w:val="62BBD95A"/>
    <w:multiLevelType w:val="hybridMultilevel"/>
    <w:lvl w:ilvl="0">
      <w:lvlJc w:val="left"/>
      <w:lvlText w:val="(%1)"/>
      <w:numFmt w:val="lowerLetter"/>
      <w:start w:val="2"/>
    </w:lvl>
  </w:abstractNum>
  <w:abstractNum w:abstractNumId="10">
    <w:nsid w:val="436C6125"/>
    <w:multiLevelType w:val="hybridMultilevel"/>
    <w:lvl w:ilvl="0">
      <w:lvlJc w:val="left"/>
      <w:lvlText w:val="(%1)"/>
      <w:numFmt w:val="lowerLetter"/>
      <w:start w:val="1"/>
    </w:lvl>
  </w:abstractNum>
  <w:abstractNum w:abstractNumId="11">
    <w:nsid w:val="628C895D"/>
    <w:multiLevelType w:val="hybridMultilevel"/>
    <w:lvl w:ilvl="0">
      <w:lvlJc w:val="left"/>
      <w:lvlText w:val="(%1)"/>
      <w:numFmt w:val="lowerLetter"/>
      <w:start w:val="1"/>
    </w:lvl>
  </w:abstractNum>
  <w:abstractNum w:abstractNumId="12">
    <w:nsid w:val="333AB105"/>
    <w:multiLevelType w:val="hybridMultilevel"/>
    <w:lvl w:ilvl="0">
      <w:lvlJc w:val="left"/>
      <w:lvlText w:val="(%1)"/>
      <w:numFmt w:val="lowerLetter"/>
      <w:start w:val="1"/>
    </w:lvl>
  </w:abstractNum>
  <w:abstractNum w:abstractNumId="13">
    <w:nsid w:val="721DA317"/>
    <w:multiLevelType w:val="hybridMultilevel"/>
    <w:lvl w:ilvl="0">
      <w:lvlJc w:val="left"/>
      <w:lvlText w:val="(%1)"/>
      <w:numFmt w:val="lowerRoman"/>
      <w:start w:val="3"/>
    </w:lvl>
  </w:abstractNum>
  <w:abstractNum w:abstractNumId="14">
    <w:nsid w:val="2443A858"/>
    <w:multiLevelType w:val="hybridMultilevel"/>
    <w:lvl w:ilvl="0">
      <w:lvlJc w:val="left"/>
      <w:lvlText w:val="(%1)"/>
      <w:numFmt w:val="decimal"/>
      <w:start w:val="18"/>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3"/>
    </w:lvl>
    <w:lvl w:ilvl="1">
      <w:lvlJc w:val="left"/>
      <w:lvlText w:val="(%2)"/>
      <w:numFmt w:val="lowerLetter"/>
      <w:start w:val="1"/>
    </w:lvl>
  </w:abstractNum>
  <w:abstractNum w:abstractNumId="19">
    <w:nsid w:val="79838CB2"/>
    <w:multiLevelType w:val="hybridMultilevel"/>
    <w:lvl w:ilvl="0">
      <w:lvlJc w:val="left"/>
      <w:lvlText w:val="(%1)"/>
      <w:numFmt w:val="lowerLetter"/>
      <w:start w:val="9"/>
    </w:lvl>
  </w:abstractNum>
  <w:abstractNum w:abstractNumId="20">
    <w:nsid w:val="4353D0CD"/>
    <w:multiLevelType w:val="hybridMultilevel"/>
    <w:lvl w:ilvl="0">
      <w:lvlJc w:val="left"/>
      <w:lvlText w:val="(%1)"/>
      <w:numFmt w:val="lowerLetter"/>
      <w:start w:val="17"/>
    </w:lvl>
  </w:abstractNum>
  <w:abstractNum w:abstractNumId="21">
    <w:nsid w:val="B03E0C6"/>
    <w:multiLevelType w:val="hybridMultilevel"/>
    <w:lvl w:ilvl="0">
      <w:lvlJc w:val="left"/>
      <w:lvlText w:val="(%1)"/>
      <w:numFmt w:val="lowerLetter"/>
      <w:start w:val="23"/>
    </w:lvl>
  </w:abstractNum>
  <w:abstractNum w:abstractNumId="22">
    <w:nsid w:val="189A769B"/>
    <w:multiLevelType w:val="hybridMultilevel"/>
    <w:lvl w:ilvl="0">
      <w:lvlJc w:val="left"/>
      <w:lvlText w:val="(%1)"/>
      <w:numFmt w:val="lowerLetter"/>
      <w:start w:val="25"/>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lowerLetter"/>
      <w:start w:val="26"/>
    </w:lvl>
  </w:abstractNum>
  <w:abstractNum w:abstractNumId="27">
    <w:nsid w:val="2901D82"/>
    <w:multiLevelType w:val="hybridMultilevel"/>
    <w:lvl w:ilvl="0">
      <w:lvlJc w:val="left"/>
      <w:lvlText w:val="%1"/>
      <w:numFmt w:val="decimal"/>
      <w:start w:val="1"/>
    </w:lvl>
    <w:lvl w:ilvl="1">
      <w:lvlJc w:val="left"/>
      <w:lvlText w:val="(%2)"/>
      <w:numFmt w:val="lowerLetter"/>
      <w:start w:val="27"/>
    </w:lvl>
  </w:abstractNum>
  <w:abstractNum w:abstractNumId="28">
    <w:nsid w:val="3A95F874"/>
    <w:multiLevelType w:val="hybridMultilevel"/>
    <w:lvl w:ilvl="0">
      <w:lvlJc w:val="left"/>
      <w:lvlText w:val="(%1)"/>
      <w:numFmt w:val="decimal"/>
      <w:start w:val="4"/>
    </w:lvl>
    <w:lvl w:ilvl="1">
      <w:lvlJc w:val="left"/>
      <w:lvlText w:val="(%2)"/>
      <w:numFmt w:val="lowerLetter"/>
      <w:start w:val="1"/>
    </w:lvl>
  </w:abstractNum>
  <w:abstractNum w:abstractNumId="29">
    <w:nsid w:val="8138641"/>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2019-12-10T22:02:02Z</dcterms:created>
  <dcterms:modified xsi:type="dcterms:W3CDTF">2019-12-10T22:02:02Z</dcterms:modified>
</cp:coreProperties>
</file>