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5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FOR ANNUAL REPORTS OF EMPLOYEE STOCK</w:t>
      </w:r>
    </w:p>
    <w:p>
      <w:pPr>
        <w:spacing w:after="0" w:line="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PURCHASE, SAVINGS AND SIMILAR PLANS</w:t>
      </w:r>
    </w:p>
    <w:p>
      <w:pPr>
        <w:spacing w:after="0" w:line="71"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PURSUANT TO SECTION 15(d) OF THE</w:t>
      </w:r>
    </w:p>
    <w:p>
      <w:pPr>
        <w:spacing w:after="0" w:line="7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302895</wp:posOffset>
            </wp:positionV>
            <wp:extent cx="2538730" cy="651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3873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2920"/>
        <w:spacing w:after="0"/>
        <w:rPr>
          <w:sz w:val="20"/>
          <w:szCs w:val="20"/>
          <w:color w:val="auto"/>
        </w:rPr>
      </w:pPr>
      <w:r>
        <w:rPr>
          <w:rFonts w:ascii="Arial" w:cs="Arial" w:eastAsia="Arial" w:hAnsi="Arial"/>
          <w:sz w:val="43"/>
          <w:szCs w:val="43"/>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15(d) OF THE SECURITIES EXCHANGE ACT OF 1934.</w:t>
      </w:r>
    </w:p>
    <w:p>
      <w:pPr>
        <w:spacing w:after="0" w:line="74"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77"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7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15(d) OF THE SECURITIES EXCHANGE ACT OF 1934.</w:t>
      </w:r>
    </w:p>
    <w:p>
      <w:pPr>
        <w:spacing w:after="0" w:line="109" w:lineRule="exact"/>
        <w:rPr>
          <w:sz w:val="24"/>
          <w:szCs w:val="24"/>
          <w:color w:val="auto"/>
        </w:rPr>
      </w:pPr>
    </w:p>
    <w:p>
      <w:pPr>
        <w:ind w:left="460"/>
        <w:spacing w:after="0"/>
        <w:tabs>
          <w:tab w:leader="none" w:pos="3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-10160</wp:posOffset>
            </wp:positionV>
            <wp:extent cx="1263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57"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Full title of the plan and the address of the plan, if different from that of the issuer named below:</w:t>
      </w:r>
    </w:p>
    <w:p>
      <w:pPr>
        <w:spacing w:after="0" w:line="63" w:lineRule="exact"/>
        <w:rPr>
          <w:sz w:val="24"/>
          <w:szCs w:val="24"/>
          <w:color w:val="auto"/>
        </w:rPr>
      </w:pPr>
    </w:p>
    <w:p>
      <w:pPr>
        <w:ind w:left="860"/>
        <w:spacing w:after="0"/>
        <w:rPr>
          <w:sz w:val="20"/>
          <w:szCs w:val="20"/>
          <w:color w:val="auto"/>
        </w:rPr>
      </w:pPr>
      <w:r>
        <w:rPr>
          <w:rFonts w:ascii="Arial" w:cs="Arial" w:eastAsia="Arial" w:hAnsi="Arial"/>
          <w:sz w:val="32"/>
          <w:szCs w:val="32"/>
          <w:b w:val="1"/>
          <w:bCs w:val="1"/>
          <w:color w:val="auto"/>
        </w:rPr>
        <w:t>COMCAST CORPORATION RETIREMENT-INVESTMENT PLAN</w:t>
      </w:r>
    </w:p>
    <w:p>
      <w:pPr>
        <w:spacing w:after="0" w:line="105" w:lineRule="exact"/>
        <w:rPr>
          <w:sz w:val="24"/>
          <w:szCs w:val="24"/>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 of the securities held pursuant to the plan and the address of its principal executive office:</w:t>
      </w:r>
    </w:p>
    <w:p>
      <w:pPr>
        <w:spacing w:after="0" w:line="90"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Philadelphia, PA 19103-2838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230" w:right="7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COMCAST CORPORATION RETIREMENT-INVESTMENT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and 2008 and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Year Ended December 31,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Supplemental Schedule as of December 31,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Reports of Independent Registered 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Firms</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gridSpan w:val="3"/>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REPORTS OF INDEPENDENT REGISTERED PUBLIC ACCOUNTING FIRMS</w:t>
              </w:r>
            </w:hyperlink>
          </w:p>
        </w:tc>
        <w:tc>
          <w:tcPr>
            <w:tcW w:w="5080" w:type="dxa"/>
            <w:vAlign w:val="bottom"/>
            <w:gridSpan w:val="6"/>
            <w:vMerge w:val="restart"/>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5860" w:type="dxa"/>
            <w:vAlign w:val="bottom"/>
            <w:tcBorders>
              <w:bottom w:val="single" w:sz="8" w:color="0000EE"/>
            </w:tcBorders>
            <w:gridSpan w:val="3"/>
            <w:vMerge w:val="continue"/>
          </w:tcPr>
          <w:p>
            <w:pPr>
              <w:spacing w:after="0"/>
              <w:rPr>
                <w:sz w:val="14"/>
                <w:szCs w:val="14"/>
                <w:color w:val="auto"/>
              </w:rPr>
            </w:pPr>
          </w:p>
        </w:tc>
        <w:tc>
          <w:tcPr>
            <w:tcW w:w="5080" w:type="dxa"/>
            <w:vAlign w:val="bottom"/>
            <w:gridSpan w:val="6"/>
            <w:vMerge w:val="continue"/>
          </w:tcPr>
          <w:p>
            <w:pPr>
              <w:spacing w:after="0"/>
              <w:rPr>
                <w:sz w:val="14"/>
                <w:szCs w:val="14"/>
                <w:color w:val="auto"/>
              </w:rPr>
            </w:pPr>
          </w:p>
        </w:tc>
        <w:tc>
          <w:tcPr>
            <w:tcW w:w="4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3"/>
        </w:trPr>
        <w:tc>
          <w:tcPr>
            <w:tcW w:w="1094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50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Statements of Net Assets Available for Benefits as of December 31, 2009 and 2008</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500" w:type="dxa"/>
            <w:vAlign w:val="bottom"/>
            <w:gridSpan w:val="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Statement of Changes in Net Assets Available for Benefits for the Year Ended December 31, 2009</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500" w:type="dxa"/>
            <w:vAlign w:val="bottom"/>
            <w:gridSpan w:val="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 as of December 31, 2009 and 2008 and for the Year Ended December 31, 2009</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20" w:type="dxa"/>
            <w:vAlign w:val="bottom"/>
            <w:gridSpan w:val="2"/>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0940" w:type="dxa"/>
            <w:vAlign w:val="bottom"/>
            <w:gridSpan w:val="9"/>
          </w:tcPr>
          <w:p>
            <w:pPr>
              <w:spacing w:after="0"/>
              <w:rPr>
                <w:sz w:val="20"/>
                <w:szCs w:val="20"/>
                <w:color w:val="auto"/>
              </w:rPr>
            </w:pPr>
            <w:r>
              <w:rPr>
                <w:rFonts w:ascii="Arial" w:cs="Arial" w:eastAsia="Arial" w:hAnsi="Arial"/>
                <w:sz w:val="18"/>
                <w:szCs w:val="18"/>
                <w:color w:val="auto"/>
              </w:rPr>
              <w:t>SUPPLEMENTAL SCHEDULE: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78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Form 5500, Schedule H - Part IV, Line 4i - Schedule of Assets (Held at End of Year) as of December 31, 2009</w:t>
              </w:r>
            </w:hyperlink>
          </w:p>
        </w:tc>
        <w:tc>
          <w:tcPr>
            <w:tcW w:w="270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14-20</w:t>
            </w:r>
          </w:p>
        </w:tc>
        <w:tc>
          <w:tcPr>
            <w:tcW w:w="0" w:type="dxa"/>
            <w:vAlign w:val="bottom"/>
          </w:tcPr>
          <w:p>
            <w:pPr>
              <w:spacing w:after="0"/>
              <w:rPr>
                <w:sz w:val="1"/>
                <w:szCs w:val="1"/>
                <w:color w:val="auto"/>
              </w:rPr>
            </w:pPr>
          </w:p>
        </w:tc>
      </w:tr>
      <w:tr>
        <w:trPr>
          <w:trHeight w:val="304"/>
        </w:trPr>
        <w:tc>
          <w:tcPr>
            <w:tcW w:w="10940" w:type="dxa"/>
            <w:vAlign w:val="bottom"/>
            <w:gridSpan w:val="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CONSENTS OF INDEPENDENT REGISTERED PUBLIC ACCOUNTING FIRMS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21-22</w:t>
            </w:r>
          </w:p>
        </w:tc>
        <w:tc>
          <w:tcPr>
            <w:tcW w:w="0" w:type="dxa"/>
            <w:vAlign w:val="bottom"/>
          </w:tcPr>
          <w:p>
            <w:pPr>
              <w:spacing w:after="0"/>
              <w:rPr>
                <w:sz w:val="1"/>
                <w:szCs w:val="1"/>
                <w:color w:val="auto"/>
              </w:rPr>
            </w:pPr>
          </w:p>
        </w:tc>
      </w:tr>
      <w:tr>
        <w:trPr>
          <w:trHeight w:val="304"/>
        </w:trPr>
        <w:tc>
          <w:tcPr>
            <w:tcW w:w="6000" w:type="dxa"/>
            <w:vAlign w:val="bottom"/>
            <w:tcBorders>
              <w:top w:val="single" w:sz="8" w:color="0000EE"/>
            </w:tcBorders>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w:t>
              </w:r>
            </w:hyperlink>
          </w:p>
        </w:tc>
        <w:tc>
          <w:tcPr>
            <w:tcW w:w="4940" w:type="dxa"/>
            <w:vAlign w:val="bottom"/>
            <w:gridSpan w:val="5"/>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20" w:right="1220"/>
        <w:spacing w:after="0" w:line="332" w:lineRule="auto"/>
        <w:rPr>
          <w:sz w:val="20"/>
          <w:szCs w:val="20"/>
          <w:color w:val="auto"/>
        </w:rPr>
      </w:pPr>
      <w:r>
        <w:rPr>
          <w:rFonts w:ascii="Arial" w:cs="Arial" w:eastAsia="Arial" w:hAnsi="Arial"/>
          <w:sz w:val="16"/>
          <w:szCs w:val="16"/>
          <w:color w:val="auto"/>
        </w:rPr>
        <w:t>NOTE: All other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Retirement-Investment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6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audited the accompanying statement of net assets available for benefits of the Comcast Corporation Retirement-Investment Plan (the “Plan”) as of December 31, 2009, and the related statement of changes in net assets available for benefits for the year then ended. These financial statements are the responsibility of the Plan’s management. Our responsibility is to express an opinion on these financial statements based on our audit. The financial statements of the Plan for the year ended December 31, 2008 were audited by other auditors whose report, dated June 26, 2009, expressed an unqualified opinion on those statements.</w:t>
      </w:r>
    </w:p>
    <w:p>
      <w:pPr>
        <w:spacing w:after="0" w:line="14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our opinion, such 2009 financial statements present fairly, in all material respects, the net assets available for benefits of the Plan as of December 31, 2009, and the changes in net assets available for benefits for the year then ended in conformity with accounting principles generally accepted in the United States of America</w:t>
      </w:r>
      <w:r>
        <w:rPr>
          <w:rFonts w:ascii="Arial" w:cs="Arial" w:eastAsia="Arial" w:hAnsi="Arial"/>
          <w:sz w:val="18"/>
          <w:szCs w:val="18"/>
          <w:i w:val="1"/>
          <w:iCs w:val="1"/>
          <w:color w:val="auto"/>
        </w:rPr>
        <w:t>.</w:t>
      </w:r>
    </w:p>
    <w:p>
      <w:pPr>
        <w:spacing w:after="0" w:line="1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audit was conducted for the purpose of forming an opinion on the basic financial statements taken as a whole. The supplemental schedule of assets (held at year end) as of December 31, 2009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schedule is the responsibility of the Plan's management. The schedule has been subjected to the auditing procedures applied in our audit of the basic 2009 financial statements and, in our opinion, is fairly stated in all material respects when considered in relation to the basic financial statements taken as a whole.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28,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Retirement-Investment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6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audited the accompanying statement of net assets available for benefits of the Comcast Corporation Retirement-Investment Plan (the “Plan”) as of December 31, 2008, and the related statement of changes in net assets available for benefits for the year ended December 31, 2008. These financial statements are the responsibility of the Plan’s management. Our responsibility is to express an opinion on these financial statements based on our audit.</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our audit provides a reasonable basis for our opinion.</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2008, and the changes in net assets available for benefits for the year ended December 31, 2008 in conformity with accounting principles generally accepted in the United States.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 Mitchell &amp; Titus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2009 AND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Cash</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Participant-directed investments, at fair value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2,670,145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1,995,491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Contributions receivable from participants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Contributions receivable from employer</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Loans receivable from participants</w:t>
            </w:r>
          </w:p>
        </w:tc>
        <w:tc>
          <w:tcPr>
            <w:tcW w:w="1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96,048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87,930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AT FAIR VALUE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2,785,248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2,084,118</w:t>
            </w:r>
          </w:p>
        </w:tc>
        <w:tc>
          <w:tcPr>
            <w:tcW w:w="20" w:type="dxa"/>
            <w:vAlign w:val="bottom"/>
          </w:tcPr>
          <w:p>
            <w:pPr>
              <w:spacing w:after="0"/>
              <w:rPr>
                <w:sz w:val="18"/>
                <w:szCs w:val="18"/>
                <w:color w:val="auto"/>
              </w:rPr>
            </w:pPr>
          </w:p>
        </w:tc>
      </w:tr>
      <w:tr>
        <w:trPr>
          <w:trHeight w:val="331"/>
        </w:trPr>
        <w:tc>
          <w:tcPr>
            <w:tcW w:w="20" w:type="dxa"/>
            <w:vAlign w:val="bottom"/>
          </w:tcPr>
          <w:p>
            <w:pPr>
              <w:spacing w:after="0"/>
              <w:rPr>
                <w:sz w:val="24"/>
                <w:szCs w:val="24"/>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(4,235)</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9,618</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2,781,013</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2,093,736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ATTRIBUTED TO:</w:t>
            </w:r>
          </w:p>
        </w:tc>
        <w:tc>
          <w:tcPr>
            <w:tcW w:w="5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Investment income:</w:t>
            </w: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appreciation in fair value of investments</w:t>
            </w:r>
          </w:p>
        </w:tc>
        <w:tc>
          <w:tcPr>
            <w:tcW w:w="5780" w:type="dxa"/>
            <w:vAlign w:val="bottom"/>
            <w:gridSpan w:val="2"/>
            <w:shd w:val="clear" w:color="auto" w:fill="CCEEFF"/>
          </w:tcPr>
          <w:p>
            <w:pPr>
              <w:ind w:left="56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Dividends</w:t>
            </w: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5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1280"/>
              <w:spacing w:after="0"/>
              <w:rPr>
                <w:sz w:val="20"/>
                <w:szCs w:val="20"/>
                <w:color w:val="auto"/>
              </w:rPr>
            </w:pPr>
            <w:r>
              <w:rPr>
                <w:rFonts w:ascii="Arial" w:cs="Arial" w:eastAsia="Arial" w:hAnsi="Arial"/>
                <w:sz w:val="18"/>
                <w:szCs w:val="18"/>
                <w:color w:val="auto"/>
              </w:rPr>
              <w:t>Net investment income</w:t>
            </w:r>
          </w:p>
        </w:tc>
        <w:tc>
          <w:tcPr>
            <w:tcW w:w="5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453,058</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Contributions:</w:t>
            </w:r>
          </w:p>
        </w:tc>
        <w:tc>
          <w:tcPr>
            <w:tcW w:w="5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Participant</w:t>
            </w: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Employer</w:t>
            </w:r>
          </w:p>
        </w:tc>
        <w:tc>
          <w:tcPr>
            <w:tcW w:w="5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Rollover</w:t>
            </w:r>
          </w:p>
        </w:tc>
        <w:tc>
          <w:tcPr>
            <w:tcW w:w="5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contributions</w:t>
            </w:r>
          </w:p>
        </w:tc>
        <w:tc>
          <w:tcPr>
            <w:tcW w:w="5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Total additions</w:t>
            </w:r>
          </w:p>
        </w:tc>
        <w:tc>
          <w:tcPr>
            <w:tcW w:w="5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886,697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90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NET ASSETS ATTRIBUTED TO:</w:t>
            </w:r>
          </w:p>
        </w:tc>
        <w:tc>
          <w:tcPr>
            <w:tcW w:w="5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Benefits paid to participants</w:t>
            </w:r>
          </w:p>
        </w:tc>
        <w:tc>
          <w:tcPr>
            <w:tcW w:w="5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90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increase</w:t>
            </w:r>
          </w:p>
        </w:tc>
        <w:tc>
          <w:tcPr>
            <w:tcW w:w="5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92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5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year</w:t>
            </w:r>
          </w:p>
        </w:tc>
        <w:tc>
          <w:tcPr>
            <w:tcW w:w="5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2,093,736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End of year</w:t>
            </w:r>
          </w:p>
        </w:tc>
        <w:tc>
          <w:tcPr>
            <w:tcW w:w="5780" w:type="dxa"/>
            <w:vAlign w:val="bottom"/>
            <w:gridSpan w:val="2"/>
          </w:tcPr>
          <w:p>
            <w:pPr>
              <w:ind w:left="5680"/>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2,781,013</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See notes to financial statements.</w:t>
            </w:r>
          </w:p>
        </w:tc>
        <w:tc>
          <w:tcPr>
            <w:tcW w:w="5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920" w:type="dxa"/>
            <w:vAlign w:val="bottom"/>
            <w:gridSpan w:val="2"/>
            <w:vMerge w:val="continue"/>
          </w:tcPr>
          <w:p>
            <w:pPr>
              <w:spacing w:after="0"/>
              <w:rPr>
                <w:sz w:val="24"/>
                <w:szCs w:val="24"/>
                <w:color w:val="auto"/>
              </w:rPr>
            </w:pPr>
          </w:p>
        </w:tc>
        <w:tc>
          <w:tcPr>
            <w:tcW w:w="5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5680" w:type="dxa"/>
            <w:vAlign w:val="bottom"/>
          </w:tcPr>
          <w:p>
            <w:pPr>
              <w:jc w:val="right"/>
              <w:ind w:right="475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2009 and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460" w:right="9220" w:hanging="452"/>
        <w:spacing w:after="0" w:line="391" w:lineRule="auto"/>
        <w:tabs>
          <w:tab w:leader="none" w:pos="449"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DESCRIPTION </w:t>
      </w:r>
      <w:r>
        <w:rPr>
          <w:rFonts w:ascii="Arial" w:cs="Arial" w:eastAsia="Arial" w:hAnsi="Arial"/>
          <w:sz w:val="16"/>
          <w:szCs w:val="16"/>
          <w:u w:val="single" w:color="auto"/>
          <w:color w:val="auto"/>
        </w:rPr>
        <w:t>General</w:t>
      </w:r>
    </w:p>
    <w:p>
      <w:pPr>
        <w:ind w:left="460" w:right="20"/>
        <w:spacing w:after="0" w:line="256" w:lineRule="auto"/>
        <w:rPr>
          <w:rFonts w:ascii="Arial" w:cs="Arial" w:eastAsia="Arial" w:hAnsi="Arial"/>
          <w:sz w:val="16"/>
          <w:szCs w:val="16"/>
          <w:b w:val="1"/>
          <w:bCs w:val="1"/>
          <w:color w:val="auto"/>
        </w:rPr>
      </w:pPr>
      <w:r>
        <w:rPr>
          <w:rFonts w:ascii="Arial" w:cs="Arial" w:eastAsia="Arial" w:hAnsi="Arial"/>
          <w:sz w:val="18"/>
          <w:szCs w:val="18"/>
          <w:color w:val="auto"/>
        </w:rPr>
        <w:t>The following description of the Comcast Corporation Retirement-Investment Plan (the “Plan”) provides only general information. Plan participants should refer to the Plan document and applicable amendments for a more complete description of the Plan’s provisions. Copies of these documents are available from the Plan Administrator, Comcast Corporation (“Comcast”, the “Company” or the “Plan Administrator”). Generally, all costs associated with administering the Plan are paid by the Plan Administrator.</w:t>
      </w:r>
    </w:p>
    <w:p>
      <w:pPr>
        <w:spacing w:after="0" w:line="62" w:lineRule="exact"/>
        <w:rPr>
          <w:rFonts w:ascii="Arial" w:cs="Arial" w:eastAsia="Arial" w:hAnsi="Arial"/>
          <w:sz w:val="16"/>
          <w:szCs w:val="16"/>
          <w:b w:val="1"/>
          <w:bCs w:val="1"/>
          <w:color w:val="auto"/>
        </w:rPr>
      </w:pPr>
    </w:p>
    <w:p>
      <w:pPr>
        <w:ind w:left="460" w:right="20"/>
        <w:spacing w:after="0" w:line="306" w:lineRule="auto"/>
        <w:rPr>
          <w:rFonts w:ascii="Arial" w:cs="Arial" w:eastAsia="Arial" w:hAnsi="Arial"/>
          <w:sz w:val="16"/>
          <w:szCs w:val="16"/>
          <w:b w:val="1"/>
          <w:bCs w:val="1"/>
          <w:color w:val="auto"/>
        </w:rPr>
      </w:pPr>
      <w:r>
        <w:rPr>
          <w:rFonts w:ascii="Arial" w:cs="Arial" w:eastAsia="Arial" w:hAnsi="Arial"/>
          <w:sz w:val="16"/>
          <w:szCs w:val="16"/>
          <w:color w:val="auto"/>
        </w:rPr>
        <w:t>The Plan is a defined contribution plan qualified under Internal Revenue Code (the “Code”) Sections 401(a), 401(k) and 401(m). The original Plan has been amended and restated to reflect mergers of other plans with and into the Plan and to make certain other technical, compliance and design changes. The Plan is subject to the provisions of the Employee Retirement Income Security Act of 1974 (“ERISA”).</w:t>
      </w:r>
    </w:p>
    <w:p>
      <w:pPr>
        <w:spacing w:after="0" w:line="25" w:lineRule="exact"/>
        <w:rPr>
          <w:rFonts w:ascii="Arial" w:cs="Arial" w:eastAsia="Arial" w:hAnsi="Arial"/>
          <w:sz w:val="16"/>
          <w:szCs w:val="16"/>
          <w:b w:val="1"/>
          <w:bCs w:val="1"/>
          <w:color w:val="auto"/>
        </w:rPr>
      </w:pPr>
    </w:p>
    <w:p>
      <w:pPr>
        <w:ind w:left="460" w:right="10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Employees become eligible to participate in the Plan in the first month after completion of three months of service and shall be automatically enrolled in the Plan at a contribution rate equal to two percent of eligible compensation on a pre-tax basis unless they opt out of participation. Automatically-enrolled participants may thereafter increase or decrease their contribution. The maximum amount of eligible compensation that may be deferred is 50%, subject to certain limits imposed by the Code. For 2009, the Company matches 100% of the participant’s contribution up to 6% of the participant’s eligible compensation for such payroll period. See Note 10. Rollover contributions represent participant assets transferred to the Plan from other qualified retirement plans.</w:t>
      </w:r>
    </w:p>
    <w:p>
      <w:pPr>
        <w:spacing w:after="0" w:line="63" w:lineRule="exact"/>
        <w:rPr>
          <w:rFonts w:ascii="Arial" w:cs="Arial" w:eastAsia="Arial" w:hAnsi="Arial"/>
          <w:sz w:val="16"/>
          <w:szCs w:val="16"/>
          <w:b w:val="1"/>
          <w:bCs w:val="1"/>
          <w:color w:val="auto"/>
        </w:rPr>
      </w:pPr>
    </w:p>
    <w:p>
      <w:pPr>
        <w:ind w:left="460" w:right="20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Each participant has at all times a 100% nonforfeitable interest in the participant’s contributions and earnings attributable thereto. Company matching contributions for Plan years beginning after December 31, 2000 are fully and immediately vested. Company matching contributions for Plan years ended on or prior to December 31, 2000 vested according to years of service.</w:t>
      </w:r>
    </w:p>
    <w:p>
      <w:pPr>
        <w:spacing w:after="0" w:line="59" w:lineRule="exact"/>
        <w:rPr>
          <w:rFonts w:ascii="Arial" w:cs="Arial" w:eastAsia="Arial" w:hAnsi="Arial"/>
          <w:sz w:val="16"/>
          <w:szCs w:val="16"/>
          <w:b w:val="1"/>
          <w:bCs w:val="1"/>
          <w:color w:val="auto"/>
        </w:rPr>
      </w:pPr>
    </w:p>
    <w:p>
      <w:pPr>
        <w:ind w:left="4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Each participant has the right, in accordance with the provisions of the Plan, to direct the investment by the Trustee of the Plan of all amounts allocated to the separate accounts of the participant under the Plan among any one or more of the investment fund options. The Trustee pays benefits and expenses upon the written direction of the Plan Administrator.</w:t>
      </w:r>
    </w:p>
    <w:p>
      <w:pPr>
        <w:spacing w:after="0" w:line="59" w:lineRule="exact"/>
        <w:rPr>
          <w:rFonts w:ascii="Arial" w:cs="Arial" w:eastAsia="Arial" w:hAnsi="Arial"/>
          <w:sz w:val="16"/>
          <w:szCs w:val="16"/>
          <w:b w:val="1"/>
          <w:bCs w:val="1"/>
          <w:color w:val="auto"/>
        </w:rPr>
      </w:pPr>
    </w:p>
    <w:p>
      <w:pPr>
        <w:ind w:left="460" w:right="20"/>
        <w:spacing w:after="0" w:line="291" w:lineRule="auto"/>
        <w:rPr>
          <w:rFonts w:ascii="Arial" w:cs="Arial" w:eastAsia="Arial" w:hAnsi="Arial"/>
          <w:sz w:val="16"/>
          <w:szCs w:val="16"/>
          <w:b w:val="1"/>
          <w:bCs w:val="1"/>
          <w:color w:val="auto"/>
        </w:rPr>
      </w:pPr>
      <w:r>
        <w:rPr>
          <w:rFonts w:ascii="Arial" w:cs="Arial" w:eastAsia="Arial" w:hAnsi="Arial"/>
          <w:sz w:val="16"/>
          <w:szCs w:val="16"/>
          <w:color w:val="auto"/>
        </w:rPr>
        <w:t>Amounts contributed by the Company which are forfeited by participants as a result of the participants’ separation from service prior to becoming 100% vested shall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then current participants in the proportion that each participant’s eligible compensation for that Plan year bears to the eligible compensation for all such participants for the Plan year. Forfeitures used for the year ended December 31, 2009 amounted to $557,072. Outstanding forfeitures not yet applied against Company contributions at December 31, 2009 were $46,862.</w:t>
      </w:r>
    </w:p>
    <w:p>
      <w:pPr>
        <w:spacing w:after="0" w:line="39" w:lineRule="exact"/>
        <w:rPr>
          <w:rFonts w:ascii="Arial" w:cs="Arial" w:eastAsia="Arial" w:hAnsi="Arial"/>
          <w:sz w:val="16"/>
          <w:szCs w:val="16"/>
          <w:b w:val="1"/>
          <w:bCs w:val="1"/>
          <w:color w:val="auto"/>
        </w:rPr>
      </w:pPr>
    </w:p>
    <w:p>
      <w:pPr>
        <w:ind w:left="460" w:right="16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Any participant who has a separation from service for any reason shall be entitled to receive his/her vested account balance. Upon death, disability or attainment of age 65, a participant’s account becomes fully vested in all Company contributions regardless of the participant’s years of service. Generally, distribution will start no later than 60 days after the close of the Plan year in which the participant’s separation from service occurs, subject to certain deferral rights under the Plan. The distribution alternatives permitted are a lump sum payment, annual or quarterly installments, a rollover into another qualified plan, or any combination of the foregoing.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Fidelity Management Trust Company is the appointed Trustee of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6" w:lineRule="exact"/>
        <w:rPr>
          <w:rFonts w:ascii="Arial" w:cs="Arial" w:eastAsia="Arial" w:hAnsi="Arial"/>
          <w:sz w:val="18"/>
          <w:szCs w:val="18"/>
          <w:b w:val="1"/>
          <w:bCs w:val="1"/>
          <w:color w:val="auto"/>
        </w:rPr>
      </w:pPr>
    </w:p>
    <w:p>
      <w:pPr>
        <w:ind w:left="460" w:right="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financial statements of the Plan are presented using the accrual basis of accounting. The Plan’s investments are stated at fair value. Fair value of a financial instrument is the price that would be received to sell an asset or paid to transfer a liability in an orderly transaction between market participants at the measurement date. The Company’s common stock is valued at the closing price reported on the NASDAQ Global Select Market on the last business day of the Plan year. Money market funds are stated at amortized cost, which approximates fair value. Shares of mutual funds are valued at the net asset value of shares held by the Plan at year-end. The stable value fund is stated at fair value and then adjusted to contract value as described below. Fair value of the stable value fund is the net asset value of its underlying investments and contract value is principal plus accrued interest. Participant loans are valued at the outstanding loan balances which approximate fair value.</w:t>
      </w:r>
    </w:p>
    <w:p>
      <w:pPr>
        <w:spacing w:after="0" w:line="37" w:lineRule="exact"/>
        <w:rPr>
          <w:rFonts w:ascii="Arial" w:cs="Arial" w:eastAsia="Arial" w:hAnsi="Arial"/>
          <w:sz w:val="18"/>
          <w:szCs w:val="18"/>
          <w:b w:val="1"/>
          <w:bCs w:val="1"/>
          <w:color w:val="auto"/>
        </w:rPr>
      </w:pPr>
    </w:p>
    <w:p>
      <w:pPr>
        <w:ind w:left="460" w:right="2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Investment contracts, such as those included in the Comcast Stable Value Fund, are required to be reported at fair value. However, contract value is the relevant measure of fully benefit-responsive investment contracts since that is the amount participants would receive if they were to initiate permitted transactions under the terms of the Plan. As required by accounting principles generally accepted in the United States (“U.S. GAAP”), the Statements of Net Assets Available for Benefits present investments at fair value as well as an additional line item showing the adjustment of fully benefit-responsive investment contracts from fair value to contract value. The Statement of Changes in Net Assets Available for Benefits is presented on a contract value basis.</w:t>
      </w:r>
    </w:p>
    <w:p>
      <w:pPr>
        <w:spacing w:after="0" w:line="63" w:lineRule="exact"/>
        <w:rPr>
          <w:rFonts w:ascii="Arial" w:cs="Arial" w:eastAsia="Arial" w:hAnsi="Arial"/>
          <w:sz w:val="18"/>
          <w:szCs w:val="18"/>
          <w:b w:val="1"/>
          <w:bCs w:val="1"/>
          <w:color w:val="auto"/>
        </w:rPr>
      </w:pPr>
    </w:p>
    <w:p>
      <w:pPr>
        <w:ind w:left="460" w:right="4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Net unrealized appreciation or depreciation in the financial statements reflects changes in fair value of investments held at year end, while net realized gains and losses associated with the disposition of investments are recorded as of the trade date and calculated based on fair value as of such date. Dividends are recorded on the ex-dividend date. Interest income is recorded on the accrual basis. Benefits are recorded when paid.</w:t>
      </w:r>
    </w:p>
    <w:p>
      <w:pPr>
        <w:spacing w:after="0" w:line="25" w:lineRule="exact"/>
        <w:rPr>
          <w:rFonts w:ascii="Arial" w:cs="Arial" w:eastAsia="Arial" w:hAnsi="Arial"/>
          <w:sz w:val="18"/>
          <w:szCs w:val="18"/>
          <w:b w:val="1"/>
          <w:bCs w:val="1"/>
          <w:color w:val="auto"/>
        </w:rPr>
      </w:pPr>
    </w:p>
    <w:p>
      <w:pPr>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the amounts reported in the Statement of Net Assets Available for Benefits.</w:t>
      </w:r>
    </w:p>
    <w:p>
      <w:pPr>
        <w:spacing w:after="0" w:line="59" w:lineRule="exact"/>
        <w:rPr>
          <w:rFonts w:ascii="Arial" w:cs="Arial" w:eastAsia="Arial" w:hAnsi="Arial"/>
          <w:sz w:val="18"/>
          <w:szCs w:val="18"/>
          <w:b w:val="1"/>
          <w:bCs w:val="1"/>
          <w:color w:val="auto"/>
        </w:rPr>
      </w:pPr>
    </w:p>
    <w:p>
      <w:pPr>
        <w:ind w:left="460" w:right="280"/>
        <w:spacing w:after="0" w:line="357" w:lineRule="auto"/>
        <w:rPr>
          <w:rFonts w:ascii="Arial" w:cs="Arial" w:eastAsia="Arial" w:hAnsi="Arial"/>
          <w:sz w:val="18"/>
          <w:szCs w:val="18"/>
          <w:b w:val="1"/>
          <w:bCs w:val="1"/>
          <w:color w:val="auto"/>
        </w:rPr>
      </w:pPr>
      <w:r>
        <w:rPr>
          <w:rFonts w:ascii="Arial" w:cs="Arial" w:eastAsia="Arial" w:hAnsi="Arial"/>
          <w:sz w:val="15"/>
          <w:szCs w:val="15"/>
          <w:color w:val="auto"/>
        </w:rPr>
        <w:t>The preparation of financial statements in conformity with U.S. GAAP requires management to make estimates and assumptions that affect the reported amounts of assets, liabilities, and changes therein, and disclosure of contingent assets and liabilities. Actual results could differ from those estimates.</w:t>
      </w:r>
    </w:p>
    <w:p>
      <w:pPr>
        <w:ind w:left="460" w:right="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Financial Accounting Standards Board’s (FASB) Accounting Standards Codification (ASC) became effective on July 1, 2009. At that date, the ASC became FASB’s official source of authoritative U.S. GAAP applicable to all public and nonpublic nongovernmental entities, superseding existing guidance issued by the FASB, the American Institute of Certified Public Accountants (AICPA), the Emerging Issues Task Force (EITF) and other related literature. The FASB also issues Accounting Standards Updates (ASU). An ASU communicates amendments to the ASC. An ASU also provides information to help a user of U.S. GAAP understand how and why U.S. GAAP is changing and when the changes will be effective.</w:t>
      </w:r>
    </w:p>
    <w:p>
      <w:pPr>
        <w:spacing w:after="0" w:line="34" w:lineRule="exact"/>
        <w:rPr>
          <w:rFonts w:ascii="Arial" w:cs="Arial" w:eastAsia="Arial" w:hAnsi="Arial"/>
          <w:sz w:val="18"/>
          <w:szCs w:val="18"/>
          <w:b w:val="1"/>
          <w:bCs w:val="1"/>
          <w:color w:val="auto"/>
        </w:rPr>
      </w:pPr>
    </w:p>
    <w:p>
      <w:pPr>
        <w:ind w:left="460" w:right="1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In April 2009, FASB Staff Position 157-4, </w:t>
      </w:r>
      <w:r>
        <w:rPr>
          <w:rFonts w:ascii="Arial" w:cs="Arial" w:eastAsia="Arial" w:hAnsi="Arial"/>
          <w:sz w:val="18"/>
          <w:szCs w:val="18"/>
          <w:i w:val="1"/>
          <w:iCs w:val="1"/>
          <w:color w:val="auto"/>
        </w:rPr>
        <w:t>Disclosures Determining Fair Value When the Volume and Level of Activity for the Asset or Liability Have</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Significantly Decreased and Identifying Transactions That Are Not Orderly</w:t>
      </w:r>
      <w:r>
        <w:rPr>
          <w:rFonts w:ascii="Arial" w:cs="Arial" w:eastAsia="Arial" w:hAnsi="Arial"/>
          <w:sz w:val="18"/>
          <w:szCs w:val="18"/>
          <w:color w:val="auto"/>
        </w:rPr>
        <w:t>, was issued and later codified into ASC 820, which expanded disclosures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that major categories for debt and equity securities in the fair value hierarchy table be determined on the basis of the nature and risks of the investments. See Note 4.</w:t>
      </w:r>
    </w:p>
    <w:p>
      <w:pPr>
        <w:spacing w:after="0" w:line="62" w:lineRule="exact"/>
        <w:rPr>
          <w:rFonts w:ascii="Arial" w:cs="Arial" w:eastAsia="Arial" w:hAnsi="Arial"/>
          <w:sz w:val="18"/>
          <w:szCs w:val="18"/>
          <w:b w:val="1"/>
          <w:bCs w:val="1"/>
          <w:color w:val="auto"/>
        </w:rPr>
      </w:pPr>
    </w:p>
    <w:p>
      <w:pPr>
        <w:ind w:left="460" w:right="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 xml:space="preserve">In September 2009, the FASB issued ASU No. 2009-12, </w:t>
      </w:r>
      <w:r>
        <w:rPr>
          <w:rFonts w:ascii="Arial" w:cs="Arial" w:eastAsia="Arial" w:hAnsi="Arial"/>
          <w:sz w:val="16"/>
          <w:szCs w:val="16"/>
          <w:i w:val="1"/>
          <w:iCs w:val="1"/>
          <w:color w:val="auto"/>
        </w:rPr>
        <w:t>Fair Value Measurements and Disclosures: Investments in Certain Entities That Calculate Net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 per Share (or Its Equivalent) </w:t>
      </w:r>
      <w:r>
        <w:rPr>
          <w:rFonts w:ascii="Arial" w:cs="Arial" w:eastAsia="Arial" w:hAnsi="Arial"/>
          <w:sz w:val="16"/>
          <w:szCs w:val="16"/>
          <w:color w:val="auto"/>
        </w:rPr>
        <w:t>(“ASU 2009-12”), which amended ASC Subtopic 820-10,</w:t>
      </w:r>
      <w:r>
        <w:rPr>
          <w:rFonts w:ascii="Arial" w:cs="Arial" w:eastAsia="Arial" w:hAnsi="Arial"/>
          <w:sz w:val="16"/>
          <w:szCs w:val="16"/>
          <w:i w:val="1"/>
          <w:iCs w:val="1"/>
          <w:color w:val="auto"/>
        </w:rPr>
        <w:t xml:space="preserve"> Fair Value Measurements and Disclosures – Overall</w:t>
      </w:r>
      <w:r>
        <w:rPr>
          <w:rFonts w:ascii="Arial" w:cs="Arial" w:eastAsia="Arial" w:hAnsi="Arial"/>
          <w:sz w:val="16"/>
          <w:szCs w:val="16"/>
          <w:color w:val="auto"/>
        </w:rPr>
        <w:t>. ASU</w:t>
      </w:r>
      <w:r>
        <w:rPr>
          <w:rFonts w:ascii="Arial" w:cs="Arial" w:eastAsia="Arial" w:hAnsi="Arial"/>
          <w:sz w:val="16"/>
          <w:szCs w:val="16"/>
          <w:i w:val="1"/>
          <w:iCs w:val="1"/>
          <w:color w:val="auto"/>
        </w:rPr>
        <w:t xml:space="preserve"> </w:t>
      </w:r>
      <w:r>
        <w:rPr>
          <w:rFonts w:ascii="Arial" w:cs="Arial" w:eastAsia="Arial" w:hAnsi="Arial"/>
          <w:sz w:val="16"/>
          <w:szCs w:val="16"/>
          <w:color w:val="auto"/>
        </w:rPr>
        <w:t>No. 2009-12 is effective for the first reporting period ending after December 15, 2009. ASU No. 2009-12 expands the required disclosures for certain investments with a reported net asset value (NAV). ASU No. 2009-12 permits, as a practical expedient, an entity holding investments in certain entities that calculate net asset value per share or its equivalent for which the fair value is not readily determinable, to measure the fair value of such investments on the basis of that net asset value per share or its equivalent without adjustment. The ASU requires enhanced disclosures about the nature and risks of investments within its scope. Such disclosures include the nature of any restrictions on an investor’s ability to redeem its investments at the measurement date, any unfunded commitments, and the investment strategies of the investee. The Plan has adopted ASU No. 2009-12 on a prospective basis for the year ended December 31, 2009. Adoption did not have a material impact on the fair value determination and disclosure of applicable investments.</w:t>
      </w:r>
    </w:p>
    <w:p>
      <w:pPr>
        <w:spacing w:after="0" w:line="38"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 xml:space="preserve">In May 2009, the FASB issued ASC 855 (originally issued as FASB Statement No. 165, </w:t>
      </w:r>
      <w:r>
        <w:rPr>
          <w:rFonts w:ascii="Arial" w:cs="Arial" w:eastAsia="Arial" w:hAnsi="Arial"/>
          <w:sz w:val="16"/>
          <w:szCs w:val="16"/>
          <w:i w:val="1"/>
          <w:iCs w:val="1"/>
          <w:color w:val="auto"/>
        </w:rPr>
        <w:t>Subsequent Events</w:t>
      </w:r>
      <w:r>
        <w:rPr>
          <w:rFonts w:ascii="Arial" w:cs="Arial" w:eastAsia="Arial" w:hAnsi="Arial"/>
          <w:sz w:val="16"/>
          <w:szCs w:val="16"/>
          <w:color w:val="auto"/>
        </w:rPr>
        <w:t>) to establish general standards of accounting for and disclosing events that occur after the balance sheet date, but prior to the issuance of financial statements. ASC 855 provides guidance on when financial statements should be adjusted for subsequent events and requires companies to disclose subsequent events and the date through which subsequent events have been evaluated. ASC 855 is effective for periods ending after June 15, 2009.</w:t>
      </w:r>
    </w:p>
    <w:p>
      <w:pPr>
        <w:spacing w:after="0" w:line="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For the year ended December 31, 2009 subsequent events were evaluated through the date the financial statements were issued. See Note 10.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fair market value of investments held by the Plan representing 5% or more of the Plan’s assets are identified below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6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68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9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5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Dodge and Cox Balanced Fund</w:t>
            </w:r>
          </w:p>
        </w:tc>
        <w:tc>
          <w:tcPr>
            <w:tcW w:w="5880" w:type="dxa"/>
            <w:vAlign w:val="bottom"/>
            <w:gridSpan w:val="2"/>
          </w:tcPr>
          <w:p>
            <w:pPr>
              <w:jc w:val="right"/>
              <w:spacing w:after="0"/>
              <w:rPr>
                <w:sz w:val="20"/>
                <w:szCs w:val="20"/>
                <w:color w:val="auto"/>
              </w:rPr>
            </w:pPr>
            <w:r>
              <w:rPr>
                <w:rFonts w:ascii="Arial" w:cs="Arial" w:eastAsia="Arial" w:hAnsi="Arial"/>
                <w:sz w:val="18"/>
                <w:szCs w:val="18"/>
                <w:color w:val="auto"/>
              </w:rPr>
              <w:t>$ 169,295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$ 126,358</w:t>
            </w: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Fidelity Diversified International Fund</w:t>
            </w:r>
          </w:p>
        </w:tc>
        <w:tc>
          <w:tcPr>
            <w:tcW w:w="5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180,598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125,127</w:t>
            </w: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Fidelity Spartan 500 Index Advantage Fund</w:t>
            </w:r>
          </w:p>
        </w:tc>
        <w:tc>
          <w:tcPr>
            <w:tcW w:w="5880" w:type="dxa"/>
            <w:vAlign w:val="bottom"/>
            <w:gridSpan w:val="2"/>
          </w:tcPr>
          <w:p>
            <w:pPr>
              <w:jc w:val="right"/>
              <w:spacing w:after="0"/>
              <w:rPr>
                <w:sz w:val="20"/>
                <w:szCs w:val="20"/>
                <w:color w:val="auto"/>
              </w:rPr>
            </w:pPr>
            <w:r>
              <w:rPr>
                <w:rFonts w:ascii="Arial" w:cs="Arial" w:eastAsia="Arial" w:hAnsi="Arial"/>
                <w:sz w:val="18"/>
                <w:szCs w:val="18"/>
                <w:color w:val="auto"/>
              </w:rPr>
              <w:t>146,341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113,454</w:t>
            </w: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 Rowe Price Blue Chip Growth Fund</w:t>
            </w:r>
          </w:p>
        </w:tc>
        <w:tc>
          <w:tcPr>
            <w:tcW w:w="5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122,964</w:t>
            </w:r>
          </w:p>
        </w:tc>
      </w:tr>
      <w:tr>
        <w:trPr>
          <w:trHeight w:val="323"/>
        </w:trPr>
        <w:tc>
          <w:tcPr>
            <w:tcW w:w="4600" w:type="dxa"/>
            <w:vAlign w:val="bottom"/>
          </w:tcPr>
          <w:p>
            <w:pPr>
              <w:spacing w:after="0"/>
              <w:rPr>
                <w:sz w:val="20"/>
                <w:szCs w:val="20"/>
                <w:color w:val="auto"/>
              </w:rPr>
            </w:pPr>
            <w:r>
              <w:rPr>
                <w:rFonts w:ascii="Arial" w:cs="Arial" w:eastAsia="Arial" w:hAnsi="Arial"/>
                <w:sz w:val="18"/>
                <w:szCs w:val="18"/>
                <w:color w:val="auto"/>
              </w:rPr>
              <w:t>Separate account</w:t>
            </w:r>
          </w:p>
        </w:tc>
        <w:tc>
          <w:tcPr>
            <w:tcW w:w="5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7"/>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 Rowe Price Blue Chip Growth Fund</w:t>
            </w:r>
          </w:p>
        </w:tc>
        <w:tc>
          <w:tcPr>
            <w:tcW w:w="5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184,759</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363"/>
        </w:trPr>
        <w:tc>
          <w:tcPr>
            <w:tcW w:w="4600" w:type="dxa"/>
            <w:vAlign w:val="bottom"/>
          </w:tcPr>
          <w:p>
            <w:pPr>
              <w:spacing w:after="0"/>
              <w:rPr>
                <w:sz w:val="24"/>
                <w:szCs w:val="24"/>
                <w:color w:val="auto"/>
              </w:rPr>
            </w:pPr>
          </w:p>
        </w:tc>
        <w:tc>
          <w:tcPr>
            <w:tcW w:w="5200" w:type="dxa"/>
            <w:vAlign w:val="bottom"/>
          </w:tcPr>
          <w:p>
            <w:pPr>
              <w:jc w:val="right"/>
              <w:ind w:right="3952"/>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0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90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82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Comcast Corporation Stock</w:t>
            </w: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900" w:type="dxa"/>
            <w:vAlign w:val="bottom"/>
          </w:tcPr>
          <w:p>
            <w:pPr>
              <w:ind w:left="420"/>
              <w:spacing w:after="0"/>
              <w:rPr>
                <w:sz w:val="20"/>
                <w:szCs w:val="20"/>
                <w:color w:val="auto"/>
              </w:rPr>
            </w:pPr>
            <w:r>
              <w:rPr>
                <w:rFonts w:ascii="Arial" w:cs="Arial" w:eastAsia="Arial" w:hAnsi="Arial"/>
                <w:sz w:val="18"/>
                <w:szCs w:val="18"/>
                <w:color w:val="auto"/>
              </w:rPr>
              <w:t>Class A Common Stock</w:t>
            </w:r>
          </w:p>
        </w:tc>
        <w:tc>
          <w:tcPr>
            <w:tcW w:w="680" w:type="dxa"/>
            <w:vAlign w:val="bottom"/>
          </w:tcPr>
          <w:p>
            <w:pPr>
              <w:jc w:val="right"/>
              <w:spacing w:after="0"/>
              <w:rPr>
                <w:sz w:val="20"/>
                <w:szCs w:val="20"/>
                <w:color w:val="auto"/>
              </w:rPr>
            </w:pPr>
            <w:r>
              <w:rPr>
                <w:rFonts w:ascii="Arial" w:cs="Arial" w:eastAsia="Arial" w:hAnsi="Arial"/>
                <w:sz w:val="18"/>
                <w:szCs w:val="18"/>
                <w:color w:val="auto"/>
              </w:rPr>
              <w:t>167,894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152,709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Comcast Stable Value Fund</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tcPr>
          <w:p>
            <w:pPr>
              <w:ind w:left="420"/>
              <w:spacing w:after="0"/>
              <w:rPr>
                <w:sz w:val="20"/>
                <w:szCs w:val="20"/>
                <w:color w:val="auto"/>
              </w:rPr>
            </w:pPr>
            <w:r>
              <w:rPr>
                <w:rFonts w:ascii="Arial" w:cs="Arial" w:eastAsia="Arial" w:hAnsi="Arial"/>
                <w:sz w:val="18"/>
                <w:szCs w:val="18"/>
                <w:color w:val="auto"/>
              </w:rPr>
              <w:t>State Street Bank and Trust Company Boston</w:t>
            </w:r>
          </w:p>
        </w:tc>
        <w:tc>
          <w:tcPr>
            <w:tcW w:w="680" w:type="dxa"/>
            <w:vAlign w:val="bottom"/>
          </w:tcPr>
          <w:p>
            <w:pPr>
              <w:jc w:val="right"/>
              <w:spacing w:after="0"/>
              <w:rPr>
                <w:sz w:val="20"/>
                <w:szCs w:val="20"/>
                <w:color w:val="auto"/>
              </w:rPr>
            </w:pPr>
            <w:r>
              <w:rPr>
                <w:rFonts w:ascii="Arial" w:cs="Arial" w:eastAsia="Arial" w:hAnsi="Arial"/>
                <w:sz w:val="18"/>
                <w:szCs w:val="18"/>
                <w:color w:val="auto"/>
              </w:rPr>
              <w:t>142,309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130,149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JP Morgan Chase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192,684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tcPr>
          <w:p>
            <w:pPr>
              <w:ind w:left="420"/>
              <w:spacing w:after="0"/>
              <w:rPr>
                <w:sz w:val="20"/>
                <w:szCs w:val="20"/>
                <w:color w:val="auto"/>
              </w:rPr>
            </w:pPr>
            <w:r>
              <w:rPr>
                <w:rFonts w:ascii="Arial" w:cs="Arial" w:eastAsia="Arial" w:hAnsi="Arial"/>
                <w:sz w:val="18"/>
                <w:szCs w:val="18"/>
                <w:color w:val="auto"/>
              </w:rPr>
              <w:t>Natixis</w:t>
            </w:r>
          </w:p>
        </w:tc>
        <w:tc>
          <w:tcPr>
            <w:tcW w:w="680" w:type="dxa"/>
            <w:vAlign w:val="bottom"/>
          </w:tcPr>
          <w:p>
            <w:pPr>
              <w:jc w:val="right"/>
              <w:spacing w:after="0"/>
              <w:rPr>
                <w:sz w:val="20"/>
                <w:szCs w:val="20"/>
                <w:color w:val="auto"/>
              </w:rPr>
            </w:pPr>
            <w:r>
              <w:rPr>
                <w:rFonts w:ascii="Arial" w:cs="Arial" w:eastAsia="Arial" w:hAnsi="Arial"/>
                <w:sz w:val="18"/>
                <w:szCs w:val="18"/>
                <w:color w:val="auto"/>
              </w:rPr>
              <w:t>142,299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130,135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AIG Financial Products Corp.</w:t>
            </w:r>
          </w:p>
        </w:tc>
        <w:tc>
          <w:tcPr>
            <w:tcW w:w="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130,136</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left="460" w:right="220"/>
        <w:spacing w:after="0" w:line="268" w:lineRule="auto"/>
        <w:rPr>
          <w:sz w:val="20"/>
          <w:szCs w:val="20"/>
          <w:color w:val="auto"/>
        </w:rPr>
      </w:pPr>
      <w:r>
        <w:rPr>
          <w:rFonts w:ascii="Arial" w:cs="Arial" w:eastAsia="Arial" w:hAnsi="Arial"/>
          <w:sz w:val="18"/>
          <w:szCs w:val="18"/>
          <w:color w:val="auto"/>
        </w:rPr>
        <w:t>During 2009, the Plan’s investments, including investments purchased and sold, as well as held during the year, appreciated (depreciated) in fair value as follows (in thousands):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Comcast Class 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Comcast Class A Special</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700" w:type="dxa"/>
            <w:vAlign w:val="bottom"/>
          </w:tcPr>
          <w:p>
            <w:pPr>
              <w:ind w:left="860"/>
              <w:spacing w:after="0"/>
              <w:rPr>
                <w:sz w:val="20"/>
                <w:szCs w:val="20"/>
                <w:color w:val="auto"/>
              </w:rPr>
            </w:pPr>
            <w:r>
              <w:rPr>
                <w:rFonts w:ascii="Arial" w:cs="Arial" w:eastAsia="Arial" w:hAnsi="Arial"/>
                <w:sz w:val="18"/>
                <w:szCs w:val="18"/>
                <w:color w:val="auto"/>
              </w:rPr>
              <w:t>Total common stock</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Domestic stock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180,846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Balanced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Target date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tcPr>
          <w:p>
            <w:pPr>
              <w:ind w:left="420"/>
              <w:spacing w:after="0"/>
              <w:rPr>
                <w:sz w:val="20"/>
                <w:szCs w:val="20"/>
                <w:color w:val="auto"/>
              </w:rPr>
            </w:pPr>
            <w:r>
              <w:rPr>
                <w:rFonts w:ascii="Arial" w:cs="Arial" w:eastAsia="Arial" w:hAnsi="Arial"/>
                <w:sz w:val="18"/>
                <w:szCs w:val="18"/>
                <w:color w:val="auto"/>
              </w:rPr>
              <w:t>Fixed income funds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mutual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353,626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720" w:type="dxa"/>
            <w:vAlign w:val="bottom"/>
            <w:gridSpan w:val="2"/>
          </w:tcPr>
          <w:p>
            <w:pPr>
              <w:spacing w:after="0"/>
              <w:rPr>
                <w:sz w:val="20"/>
                <w:szCs w:val="20"/>
                <w:color w:val="auto"/>
              </w:rPr>
            </w:pPr>
            <w:r>
              <w:rPr>
                <w:rFonts w:ascii="Arial" w:cs="Arial" w:eastAsia="Arial" w:hAnsi="Arial"/>
                <w:sz w:val="18"/>
                <w:szCs w:val="18"/>
                <w:color w:val="auto"/>
              </w:rPr>
              <w:t>Separate account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402,722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460" w:right="200"/>
        <w:spacing w:after="0" w:line="306" w:lineRule="auto"/>
        <w:rPr>
          <w:sz w:val="20"/>
          <w:szCs w:val="20"/>
          <w:color w:val="auto"/>
        </w:rPr>
      </w:pPr>
      <w:r>
        <w:rPr>
          <w:rFonts w:ascii="Arial" w:cs="Arial" w:eastAsia="Arial" w:hAnsi="Arial"/>
          <w:sz w:val="16"/>
          <w:szCs w:val="16"/>
          <w:color w:val="auto"/>
        </w:rPr>
        <w:t>As described in Note 2, included in the Comcast Stable Value Fund are fully benefit-responsive investment contracts, which are carried at contract value. The rate at which interest is credited to the Plan is that determined under the contract, consistent with reflecting participant balances at contract value as opposed to the market value of the underlying assets. Interest rates are reset quarterly by the issuers of the investment contracts.</w:t>
      </w:r>
    </w:p>
    <w:p>
      <w:pPr>
        <w:spacing w:after="0" w:line="26" w:lineRule="exact"/>
        <w:rPr>
          <w:sz w:val="20"/>
          <w:szCs w:val="20"/>
          <w:color w:val="auto"/>
        </w:rPr>
      </w:pPr>
    </w:p>
    <w:p>
      <w:pPr>
        <w:ind w:left="460" w:right="100"/>
        <w:spacing w:after="0" w:line="357" w:lineRule="auto"/>
        <w:rPr>
          <w:sz w:val="20"/>
          <w:szCs w:val="20"/>
          <w:color w:val="auto"/>
        </w:rPr>
      </w:pPr>
      <w:r>
        <w:rPr>
          <w:rFonts w:ascii="Arial" w:cs="Arial" w:eastAsia="Arial" w:hAnsi="Arial"/>
          <w:sz w:val="15"/>
          <w:szCs w:val="15"/>
          <w:color w:val="auto"/>
        </w:rPr>
        <w:t>The average yield of investment contracts held as of December 31, 2009 and 2008 was 2.42% and 3.75%, respectively. When adjusted to reflect the actual interest credited to the Plan, the average yield of investment contracts held as of December 31, 2009 and 2008 was 2.12% and 3.74%, respectively.</w:t>
      </w:r>
    </w:p>
    <w:p>
      <w:pPr>
        <w:ind w:left="460" w:right="240"/>
        <w:spacing w:after="0" w:line="268" w:lineRule="auto"/>
        <w:rPr>
          <w:sz w:val="20"/>
          <w:szCs w:val="20"/>
          <w:color w:val="auto"/>
        </w:rPr>
      </w:pPr>
      <w:r>
        <w:rPr>
          <w:rFonts w:ascii="Arial" w:cs="Arial" w:eastAsia="Arial" w:hAnsi="Arial"/>
          <w:sz w:val="18"/>
          <w:szCs w:val="18"/>
          <w:color w:val="auto"/>
        </w:rPr>
        <w:t>The following table summarizes the adjustments from fair value to contract value related to the fully benefit-responsive investment contracts included in the Comcast Stable Value Fund:</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5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Credit Rating</w:t>
            </w:r>
          </w:p>
        </w:tc>
        <w:tc>
          <w:tcPr>
            <w:tcW w:w="500" w:type="dxa"/>
            <w:vAlign w:val="bottom"/>
          </w:tcPr>
          <w:p>
            <w:pPr>
              <w:spacing w:after="0"/>
              <w:rPr>
                <w:sz w:val="14"/>
                <w:szCs w:val="14"/>
                <w:color w:val="auto"/>
              </w:rPr>
            </w:pPr>
          </w:p>
        </w:tc>
        <w:tc>
          <w:tcPr>
            <w:tcW w:w="5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State Street Bank and Trust Company Boston</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AA-</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$(1,059)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JP Morgan Chase</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AA-</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(1,059)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Natixis</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(1,059)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AIG Financial Products Corp</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5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(1,058)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(4,235)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There are certain events, such as the Plan’s failure to qualify under Section 401(a) or 401(k) of the Code, which can limit the fund’s ability to transact at contract value. At this time, the occurrence of any such limiting event is not probable.</w:t>
      </w:r>
    </w:p>
    <w:p>
      <w:pPr>
        <w:spacing w:after="0" w:line="51"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A contract issuer may terminate a contract at any time. Settlement upon termination will be at contract value unless the terms of the contract were not met or the Trustee’s authority over the Plan is limited or terminated.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ASC 820 establishes a hierarchy that prioritizes fair value measurements based on the types of inputs used for the various valuation techniques. The levels of the hierarchy are described below:</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Level 1</w:t>
      </w:r>
      <w:r>
        <w:rPr>
          <w:rFonts w:ascii="Arial" w:cs="Arial" w:eastAsia="Arial" w:hAnsi="Arial"/>
          <w:sz w:val="15"/>
          <w:szCs w:val="15"/>
          <w:color w:val="auto"/>
        </w:rPr>
        <w:t>Consists of financial instruments whose value is based on quoted market prices for identical financial instruments in an active market.</w:t>
      </w:r>
    </w:p>
    <w:p>
      <w:pPr>
        <w:spacing w:after="0" w:line="117" w:lineRule="exact"/>
        <w:rPr>
          <w:rFonts w:ascii="Arial" w:cs="Arial" w:eastAsia="Arial" w:hAnsi="Arial"/>
          <w:sz w:val="18"/>
          <w:szCs w:val="18"/>
          <w:b w:val="1"/>
          <w:bCs w:val="1"/>
          <w:color w:val="auto"/>
        </w:rPr>
      </w:pPr>
    </w:p>
    <w:p>
      <w:pPr>
        <w:ind w:left="1420" w:right="780" w:hanging="94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Level 2Consists of financial instruments that are valued using models or other valuation methodologies. These models use inputs that are observable either directly or indirectly and include:</w:t>
      </w:r>
    </w:p>
    <w:p>
      <w:pPr>
        <w:spacing w:after="0" w:line="50" w:lineRule="exact"/>
        <w:rPr>
          <w:rFonts w:ascii="Arial" w:cs="Arial" w:eastAsia="Arial" w:hAnsi="Arial"/>
          <w:sz w:val="18"/>
          <w:szCs w:val="18"/>
          <w:b w:val="1"/>
          <w:bCs w:val="1"/>
          <w:color w:val="auto"/>
        </w:rPr>
      </w:pPr>
    </w:p>
    <w:p>
      <w:pPr>
        <w:ind w:left="1920" w:hanging="318"/>
        <w:spacing w:after="0"/>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financial instrument;</w:t>
      </w:r>
    </w:p>
    <w:p>
      <w:pPr>
        <w:spacing w:after="0" w:line="90" w:lineRule="exact"/>
        <w:rPr>
          <w:rFonts w:ascii="Arial" w:cs="Arial" w:eastAsia="Arial" w:hAnsi="Arial"/>
          <w:sz w:val="18"/>
          <w:szCs w:val="18"/>
          <w:color w:val="auto"/>
        </w:rPr>
      </w:pPr>
    </w:p>
    <w:p>
      <w:pPr>
        <w:ind w:left="1920" w:right="320" w:hanging="318"/>
        <w:spacing w:after="0" w:line="268" w:lineRule="auto"/>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financial instrument.</w:t>
      </w:r>
    </w:p>
    <w:p>
      <w:pPr>
        <w:spacing w:after="0" w:line="51" w:lineRule="exact"/>
        <w:rPr>
          <w:sz w:val="20"/>
          <w:szCs w:val="20"/>
          <w:color w:val="auto"/>
        </w:rPr>
      </w:pPr>
    </w:p>
    <w:p>
      <w:pPr>
        <w:ind w:left="1420" w:right="680" w:hanging="944"/>
        <w:spacing w:after="0" w:line="268" w:lineRule="auto"/>
        <w:tabs>
          <w:tab w:leader="none" w:pos="14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Consists of financial instruments whose values are determined using pricing models that utilize significant inputs that are primarily unobservable and significant to the fair value measurement.</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valuation methodologies used for assets measured at fair value are as follows: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Mutual funds, separate account and common collective trusts: Valued at the net asset value of shares held by the Plan at year end.</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Common stocks: Valued at the closing price reported on the active market on which the individual securities are traded.</w:t>
      </w:r>
    </w:p>
    <w:p>
      <w:pPr>
        <w:spacing w:after="0" w:line="90" w:lineRule="exact"/>
        <w:rPr>
          <w:sz w:val="20"/>
          <w:szCs w:val="20"/>
          <w:color w:val="auto"/>
        </w:rPr>
      </w:pPr>
    </w:p>
    <w:p>
      <w:pPr>
        <w:ind w:left="920" w:right="360"/>
        <w:spacing w:after="0" w:line="268" w:lineRule="auto"/>
        <w:rPr>
          <w:sz w:val="20"/>
          <w:szCs w:val="20"/>
          <w:color w:val="auto"/>
        </w:rPr>
      </w:pPr>
      <w:r>
        <w:rPr>
          <w:rFonts w:ascii="Arial" w:cs="Arial" w:eastAsia="Arial" w:hAnsi="Arial"/>
          <w:sz w:val="18"/>
          <w:szCs w:val="18"/>
          <w:color w:val="auto"/>
        </w:rPr>
        <w:t>Guaranteed investment contracts: Valued at fair value by discounting the related cash flows based on current yields of similar instruments with comparable durations considering the credit-worthiness of the issuer.</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Participant loans: Valued at the outstanding loan balances which approximate fair value.</w:t>
      </w:r>
    </w:p>
    <w:p>
      <w:pPr>
        <w:spacing w:after="0" w:line="17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by level, within the fair value hierarchy, the Plan’s assets at fair value as of December 31, 2009 and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780" w:type="dxa"/>
            <w:vAlign w:val="bottom"/>
            <w:gridSpan w:val="4"/>
          </w:tcPr>
          <w:p>
            <w:pPr>
              <w:jc w:val="center"/>
              <w:ind w:right="1120"/>
              <w:spacing w:after="0"/>
              <w:rPr>
                <w:sz w:val="20"/>
                <w:szCs w:val="20"/>
                <w:color w:val="auto"/>
              </w:rPr>
            </w:pPr>
            <w:r>
              <w:rPr>
                <w:rFonts w:ascii="Arial" w:cs="Arial" w:eastAsia="Arial" w:hAnsi="Arial"/>
                <w:sz w:val="14"/>
                <w:szCs w:val="14"/>
                <w:b w:val="1"/>
                <w:bCs w:val="1"/>
                <w:color w:val="auto"/>
                <w:w w:val="85"/>
              </w:rPr>
              <w:t>Assets at Fair Value as of December 31, 2009 (in thousands)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9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60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8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Comcast Class A</w:t>
            </w:r>
          </w:p>
        </w:tc>
        <w:tc>
          <w:tcPr>
            <w:tcW w:w="4780" w:type="dxa"/>
            <w:vAlign w:val="bottom"/>
            <w:gridSpan w:val="4"/>
          </w:tcPr>
          <w:p>
            <w:pPr>
              <w:jc w:val="right"/>
              <w:ind w:right="120"/>
              <w:spacing w:after="0"/>
              <w:rPr>
                <w:sz w:val="20"/>
                <w:szCs w:val="20"/>
                <w:color w:val="auto"/>
              </w:rPr>
            </w:pPr>
            <w:r>
              <w:rPr>
                <w:rFonts w:ascii="Arial" w:cs="Arial" w:eastAsia="Arial" w:hAnsi="Arial"/>
                <w:sz w:val="18"/>
                <w:szCs w:val="18"/>
                <w:color w:val="auto"/>
              </w:rPr>
              <w:t>167,894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167,894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Comcast Class A Special</w:t>
            </w:r>
          </w:p>
        </w:tc>
        <w:tc>
          <w:tcPr>
            <w:tcW w:w="4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29,759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ind w:left="860"/>
              <w:spacing w:after="0"/>
              <w:rPr>
                <w:sz w:val="20"/>
                <w:szCs w:val="20"/>
                <w:color w:val="auto"/>
              </w:rPr>
            </w:pPr>
            <w:r>
              <w:rPr>
                <w:rFonts w:ascii="Arial" w:cs="Arial" w:eastAsia="Arial" w:hAnsi="Arial"/>
                <w:sz w:val="18"/>
                <w:szCs w:val="18"/>
                <w:color w:val="auto"/>
              </w:rPr>
              <w:t>Total common stock</w:t>
            </w:r>
          </w:p>
        </w:tc>
        <w:tc>
          <w:tcPr>
            <w:tcW w:w="4780" w:type="dxa"/>
            <w:vAlign w:val="bottom"/>
            <w:gridSpan w:val="4"/>
          </w:tcPr>
          <w:p>
            <w:pPr>
              <w:jc w:val="right"/>
              <w:ind w:right="120"/>
              <w:spacing w:after="0"/>
              <w:rPr>
                <w:sz w:val="20"/>
                <w:szCs w:val="20"/>
                <w:color w:val="auto"/>
              </w:rPr>
            </w:pPr>
            <w:r>
              <w:rPr>
                <w:rFonts w:ascii="Arial" w:cs="Arial" w:eastAsia="Arial" w:hAnsi="Arial"/>
                <w:sz w:val="18"/>
                <w:szCs w:val="18"/>
                <w:color w:val="auto"/>
              </w:rPr>
              <w:t>197,653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197,653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Domestic stock funds</w:t>
            </w:r>
          </w:p>
        </w:tc>
        <w:tc>
          <w:tcPr>
            <w:tcW w:w="4780" w:type="dxa"/>
            <w:vAlign w:val="bottom"/>
            <w:gridSpan w:val="4"/>
          </w:tcPr>
          <w:p>
            <w:pPr>
              <w:jc w:val="right"/>
              <w:ind w:right="120"/>
              <w:spacing w:after="0"/>
              <w:rPr>
                <w:sz w:val="20"/>
                <w:szCs w:val="20"/>
                <w:color w:val="auto"/>
              </w:rPr>
            </w:pPr>
            <w:r>
              <w:rPr>
                <w:rFonts w:ascii="Arial" w:cs="Arial" w:eastAsia="Arial" w:hAnsi="Arial"/>
                <w:sz w:val="18"/>
                <w:szCs w:val="18"/>
                <w:color w:val="auto"/>
              </w:rPr>
              <w:t>525,329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525,329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funds</w:t>
            </w:r>
          </w:p>
        </w:tc>
        <w:tc>
          <w:tcPr>
            <w:tcW w:w="4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279,602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Balanced funds</w:t>
            </w:r>
          </w:p>
        </w:tc>
        <w:tc>
          <w:tcPr>
            <w:tcW w:w="4780" w:type="dxa"/>
            <w:vAlign w:val="bottom"/>
            <w:gridSpan w:val="4"/>
          </w:tcPr>
          <w:p>
            <w:pPr>
              <w:jc w:val="right"/>
              <w:ind w:right="120"/>
              <w:spacing w:after="0"/>
              <w:rPr>
                <w:sz w:val="20"/>
                <w:szCs w:val="20"/>
                <w:color w:val="auto"/>
              </w:rPr>
            </w:pPr>
            <w:r>
              <w:rPr>
                <w:rFonts w:ascii="Arial" w:cs="Arial" w:eastAsia="Arial" w:hAnsi="Arial"/>
                <w:sz w:val="18"/>
                <w:szCs w:val="18"/>
                <w:color w:val="auto"/>
              </w:rPr>
              <w:t>169,295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169,295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4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Fixed income funds</w:t>
            </w:r>
          </w:p>
        </w:tc>
        <w:tc>
          <w:tcPr>
            <w:tcW w:w="4780" w:type="dxa"/>
            <w:vAlign w:val="bottom"/>
            <w:gridSpan w:val="4"/>
          </w:tcPr>
          <w:p>
            <w:pPr>
              <w:jc w:val="right"/>
              <w:ind w:right="120"/>
              <w:spacing w:after="0"/>
              <w:rPr>
                <w:sz w:val="20"/>
                <w:szCs w:val="20"/>
                <w:color w:val="auto"/>
              </w:rPr>
            </w:pPr>
            <w:r>
              <w:rPr>
                <w:rFonts w:ascii="Arial" w:cs="Arial" w:eastAsia="Arial" w:hAnsi="Arial"/>
                <w:sz w:val="18"/>
                <w:szCs w:val="18"/>
                <w:color w:val="auto"/>
              </w:rPr>
              <w:t>137,314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137,314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mutual funds</w:t>
            </w:r>
          </w:p>
        </w:tc>
        <w:tc>
          <w:tcPr>
            <w:tcW w:w="4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1,111,545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80" w:type="dxa"/>
            <w:vAlign w:val="bottom"/>
            <w:gridSpan w:val="2"/>
          </w:tcPr>
          <w:p>
            <w:pPr>
              <w:spacing w:after="0"/>
              <w:rPr>
                <w:sz w:val="20"/>
                <w:szCs w:val="20"/>
                <w:color w:val="auto"/>
              </w:rPr>
            </w:pPr>
            <w:r>
              <w:rPr>
                <w:rFonts w:ascii="Arial" w:cs="Arial" w:eastAsia="Arial" w:hAnsi="Arial"/>
                <w:sz w:val="18"/>
                <w:szCs w:val="18"/>
                <w:color w:val="auto"/>
              </w:rPr>
              <w:t>Separate account</w:t>
            </w:r>
          </w:p>
        </w:tc>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184,759</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184,759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3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584,266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584,266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80" w:type="dxa"/>
            <w:vAlign w:val="bottom"/>
            <w:gridSpan w:val="2"/>
          </w:tcPr>
          <w:p>
            <w:pPr>
              <w:spacing w:after="0"/>
              <w:rPr>
                <w:sz w:val="20"/>
                <w:szCs w:val="20"/>
                <w:color w:val="auto"/>
              </w:rPr>
            </w:pPr>
            <w:r>
              <w:rPr>
                <w:rFonts w:ascii="Arial" w:cs="Arial" w:eastAsia="Arial" w:hAnsi="Arial"/>
                <w:sz w:val="18"/>
                <w:szCs w:val="18"/>
                <w:color w:val="auto"/>
              </w:rPr>
              <w:t>Comcast Stable Value Fund</w:t>
            </w:r>
          </w:p>
        </w:tc>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 term investments</w:t>
            </w:r>
          </w:p>
        </w:tc>
        <w:tc>
          <w:tcPr>
            <w:tcW w:w="4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22,705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Guaranteed investment contracts</w:t>
            </w:r>
          </w:p>
        </w:tc>
        <w:tc>
          <w:tcPr>
            <w:tcW w:w="3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569,217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569,217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Comcast Stable Value Fund</w:t>
            </w:r>
          </w:p>
        </w:tc>
        <w:tc>
          <w:tcPr>
            <w:tcW w:w="4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22,705</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569,217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880" w:type="dxa"/>
            <w:vAlign w:val="bottom"/>
            <w:gridSpan w:val="2"/>
          </w:tcPr>
          <w:p>
            <w:pPr>
              <w:spacing w:after="0"/>
              <w:rPr>
                <w:sz w:val="20"/>
                <w:szCs w:val="20"/>
                <w:color w:val="auto"/>
              </w:rPr>
            </w:pPr>
            <w:r>
              <w:rPr>
                <w:rFonts w:ascii="Arial" w:cs="Arial" w:eastAsia="Arial" w:hAnsi="Arial"/>
                <w:sz w:val="18"/>
                <w:szCs w:val="18"/>
                <w:color w:val="auto"/>
              </w:rPr>
              <w:t>Participant loans</w:t>
            </w:r>
          </w:p>
        </w:tc>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96,048</w:t>
            </w:r>
          </w:p>
        </w:tc>
        <w:tc>
          <w:tcPr>
            <w:tcW w:w="22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47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1,331,903</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1,338,242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$ 96,048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$ 2,766,193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660" w:type="dxa"/>
            <w:vAlign w:val="bottom"/>
            <w:vMerge w:val="restart"/>
          </w:tcPr>
          <w:p>
            <w:pPr>
              <w:jc w:val="right"/>
              <w:ind w:right="1654"/>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900" w:type="dxa"/>
            <w:vAlign w:val="bottom"/>
            <w:gridSpan w:val="4"/>
          </w:tcPr>
          <w:p>
            <w:pPr>
              <w:jc w:val="center"/>
              <w:ind w:right="1240"/>
              <w:spacing w:after="0"/>
              <w:rPr>
                <w:sz w:val="20"/>
                <w:szCs w:val="20"/>
                <w:color w:val="auto"/>
              </w:rPr>
            </w:pPr>
            <w:r>
              <w:rPr>
                <w:rFonts w:ascii="Arial" w:cs="Arial" w:eastAsia="Arial" w:hAnsi="Arial"/>
                <w:sz w:val="14"/>
                <w:szCs w:val="14"/>
                <w:b w:val="1"/>
                <w:bCs w:val="1"/>
                <w:color w:val="auto"/>
                <w:w w:val="85"/>
              </w:rPr>
              <w:t>Assets at Fair Value as of December 31, 2008 (in thousands)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3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60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8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Comcast Class A</w:t>
            </w:r>
          </w:p>
        </w:tc>
        <w:tc>
          <w:tcPr>
            <w:tcW w:w="4900" w:type="dxa"/>
            <w:vAlign w:val="bottom"/>
            <w:gridSpan w:val="4"/>
          </w:tcPr>
          <w:p>
            <w:pPr>
              <w:jc w:val="right"/>
              <w:ind w:right="100"/>
              <w:spacing w:after="0"/>
              <w:rPr>
                <w:sz w:val="20"/>
                <w:szCs w:val="20"/>
                <w:color w:val="auto"/>
              </w:rPr>
            </w:pPr>
            <w:r>
              <w:rPr>
                <w:rFonts w:ascii="Arial" w:cs="Arial" w:eastAsia="Arial" w:hAnsi="Arial"/>
                <w:sz w:val="18"/>
                <w:szCs w:val="18"/>
                <w:color w:val="auto"/>
              </w:rPr>
              <w:t>152,710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152,710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Comcast Class A Special</w:t>
            </w:r>
          </w:p>
        </w:tc>
        <w:tc>
          <w:tcPr>
            <w:tcW w:w="4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33,103</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ind w:left="860"/>
              <w:spacing w:after="0"/>
              <w:rPr>
                <w:sz w:val="20"/>
                <w:szCs w:val="20"/>
                <w:color w:val="auto"/>
              </w:rPr>
            </w:pPr>
            <w:r>
              <w:rPr>
                <w:rFonts w:ascii="Arial" w:cs="Arial" w:eastAsia="Arial" w:hAnsi="Arial"/>
                <w:sz w:val="18"/>
                <w:szCs w:val="18"/>
                <w:color w:val="auto"/>
              </w:rPr>
              <w:t>Total common stock</w:t>
            </w:r>
          </w:p>
        </w:tc>
        <w:tc>
          <w:tcPr>
            <w:tcW w:w="4900" w:type="dxa"/>
            <w:vAlign w:val="bottom"/>
            <w:gridSpan w:val="4"/>
          </w:tcPr>
          <w:p>
            <w:pPr>
              <w:jc w:val="right"/>
              <w:ind w:right="100"/>
              <w:spacing w:after="0"/>
              <w:rPr>
                <w:sz w:val="20"/>
                <w:szCs w:val="20"/>
                <w:color w:val="auto"/>
              </w:rPr>
            </w:pPr>
            <w:r>
              <w:rPr>
                <w:rFonts w:ascii="Arial" w:cs="Arial" w:eastAsia="Arial" w:hAnsi="Arial"/>
                <w:sz w:val="18"/>
                <w:szCs w:val="18"/>
                <w:color w:val="auto"/>
              </w:rPr>
              <w:t>185,813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185,813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3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Domestic stock funds</w:t>
            </w:r>
          </w:p>
        </w:tc>
        <w:tc>
          <w:tcPr>
            <w:tcW w:w="4900" w:type="dxa"/>
            <w:vAlign w:val="bottom"/>
            <w:gridSpan w:val="4"/>
          </w:tcPr>
          <w:p>
            <w:pPr>
              <w:jc w:val="right"/>
              <w:ind w:right="100"/>
              <w:spacing w:after="0"/>
              <w:rPr>
                <w:sz w:val="20"/>
                <w:szCs w:val="20"/>
                <w:color w:val="auto"/>
              </w:rPr>
            </w:pPr>
            <w:r>
              <w:rPr>
                <w:rFonts w:ascii="Arial" w:cs="Arial" w:eastAsia="Arial" w:hAnsi="Arial"/>
                <w:sz w:val="18"/>
                <w:szCs w:val="18"/>
                <w:color w:val="auto"/>
              </w:rPr>
              <w:t>506,984</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506,984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funds</w:t>
            </w:r>
          </w:p>
        </w:tc>
        <w:tc>
          <w:tcPr>
            <w:tcW w:w="4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189,461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Balanced funds</w:t>
            </w:r>
          </w:p>
        </w:tc>
        <w:tc>
          <w:tcPr>
            <w:tcW w:w="4900" w:type="dxa"/>
            <w:vAlign w:val="bottom"/>
            <w:gridSpan w:val="4"/>
          </w:tcPr>
          <w:p>
            <w:pPr>
              <w:jc w:val="right"/>
              <w:ind w:right="100"/>
              <w:spacing w:after="0"/>
              <w:rPr>
                <w:sz w:val="20"/>
                <w:szCs w:val="20"/>
                <w:color w:val="auto"/>
              </w:rPr>
            </w:pPr>
            <w:r>
              <w:rPr>
                <w:rFonts w:ascii="Arial" w:cs="Arial" w:eastAsia="Arial" w:hAnsi="Arial"/>
                <w:sz w:val="18"/>
                <w:szCs w:val="18"/>
                <w:color w:val="auto"/>
              </w:rPr>
              <w:t>126,358</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126,358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Target date funds</w:t>
            </w:r>
          </w:p>
        </w:tc>
        <w:tc>
          <w:tcPr>
            <w:tcW w:w="4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268,429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268,429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Money market funds</w:t>
            </w:r>
          </w:p>
        </w:tc>
        <w:tc>
          <w:tcPr>
            <w:tcW w:w="4900" w:type="dxa"/>
            <w:vAlign w:val="bottom"/>
            <w:gridSpan w:val="4"/>
          </w:tcPr>
          <w:p>
            <w:pPr>
              <w:jc w:val="right"/>
              <w:ind w:right="1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4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151,043</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ind w:left="860"/>
              <w:spacing w:after="0"/>
              <w:rPr>
                <w:sz w:val="20"/>
                <w:szCs w:val="20"/>
                <w:color w:val="auto"/>
              </w:rPr>
            </w:pPr>
            <w:r>
              <w:rPr>
                <w:rFonts w:ascii="Arial" w:cs="Arial" w:eastAsia="Arial" w:hAnsi="Arial"/>
                <w:sz w:val="18"/>
                <w:szCs w:val="18"/>
                <w:color w:val="auto"/>
              </w:rPr>
              <w:t>Total mutual funds</w:t>
            </w:r>
          </w:p>
        </w:tc>
        <w:tc>
          <w:tcPr>
            <w:tcW w:w="4900" w:type="dxa"/>
            <w:vAlign w:val="bottom"/>
            <w:gridSpan w:val="4"/>
          </w:tcPr>
          <w:p>
            <w:pPr>
              <w:jc w:val="right"/>
              <w:ind w:right="100"/>
              <w:spacing w:after="0"/>
              <w:rPr>
                <w:sz w:val="20"/>
                <w:szCs w:val="20"/>
                <w:color w:val="auto"/>
              </w:rPr>
            </w:pPr>
            <w:r>
              <w:rPr>
                <w:rFonts w:ascii="Arial" w:cs="Arial" w:eastAsia="Arial" w:hAnsi="Arial"/>
                <w:sz w:val="18"/>
                <w:szCs w:val="18"/>
                <w:color w:val="auto"/>
              </w:rPr>
              <w:t>1,242,324</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1,242,324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Comcast Stable Value Fund</w:t>
            </w:r>
          </w:p>
        </w:tc>
        <w:tc>
          <w:tcPr>
            <w:tcW w:w="3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420"/>
              <w:spacing w:after="0"/>
              <w:rPr>
                <w:sz w:val="20"/>
                <w:szCs w:val="20"/>
                <w:color w:val="auto"/>
              </w:rPr>
            </w:pPr>
            <w:r>
              <w:rPr>
                <w:rFonts w:ascii="Arial" w:cs="Arial" w:eastAsia="Arial" w:hAnsi="Arial"/>
                <w:sz w:val="18"/>
                <w:szCs w:val="18"/>
                <w:color w:val="auto"/>
              </w:rPr>
              <w:t>Short term investments</w:t>
            </w:r>
          </w:p>
        </w:tc>
        <w:tc>
          <w:tcPr>
            <w:tcW w:w="4900" w:type="dxa"/>
            <w:vAlign w:val="bottom"/>
            <w:gridSpan w:val="4"/>
          </w:tcPr>
          <w:p>
            <w:pPr>
              <w:jc w:val="right"/>
              <w:ind w:right="100"/>
              <w:spacing w:after="0"/>
              <w:rPr>
                <w:sz w:val="20"/>
                <w:szCs w:val="20"/>
                <w:color w:val="auto"/>
              </w:rPr>
            </w:pPr>
            <w:r>
              <w:rPr>
                <w:rFonts w:ascii="Arial" w:cs="Arial" w:eastAsia="Arial" w:hAnsi="Arial"/>
                <w:sz w:val="18"/>
                <w:szCs w:val="18"/>
                <w:color w:val="auto"/>
              </w:rPr>
              <w:t>46,785</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Guaranteed investment contracts</w:t>
            </w:r>
          </w:p>
        </w:tc>
        <w:tc>
          <w:tcPr>
            <w:tcW w:w="3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520,569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ind w:left="860"/>
              <w:spacing w:after="0"/>
              <w:rPr>
                <w:sz w:val="20"/>
                <w:szCs w:val="20"/>
                <w:color w:val="auto"/>
              </w:rPr>
            </w:pPr>
            <w:r>
              <w:rPr>
                <w:rFonts w:ascii="Arial" w:cs="Arial" w:eastAsia="Arial" w:hAnsi="Arial"/>
                <w:sz w:val="18"/>
                <w:szCs w:val="18"/>
                <w:color w:val="auto"/>
              </w:rPr>
              <w:t>Total Comcast Stable Value Fund</w:t>
            </w:r>
          </w:p>
        </w:tc>
        <w:tc>
          <w:tcPr>
            <w:tcW w:w="4900" w:type="dxa"/>
            <w:vAlign w:val="bottom"/>
            <w:gridSpan w:val="4"/>
          </w:tcPr>
          <w:p>
            <w:pPr>
              <w:jc w:val="right"/>
              <w:ind w:right="100"/>
              <w:spacing w:after="0"/>
              <w:rPr>
                <w:sz w:val="20"/>
                <w:szCs w:val="20"/>
                <w:color w:val="auto"/>
              </w:rPr>
            </w:pPr>
            <w:r>
              <w:rPr>
                <w:rFonts w:ascii="Arial" w:cs="Arial" w:eastAsia="Arial" w:hAnsi="Arial"/>
                <w:sz w:val="18"/>
                <w:szCs w:val="18"/>
                <w:color w:val="auto"/>
              </w:rPr>
              <w:t>46,785</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520,569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567,354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3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Participant loans</w:t>
            </w:r>
          </w:p>
        </w:tc>
        <w:tc>
          <w:tcPr>
            <w:tcW w:w="3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87,930</w:t>
            </w:r>
          </w:p>
        </w:tc>
        <w:tc>
          <w:tcPr>
            <w:tcW w:w="2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80" w:type="dxa"/>
            <w:vAlign w:val="bottom"/>
            <w:gridSpan w:val="2"/>
          </w:tcPr>
          <w:p>
            <w:pPr>
              <w:spacing w:after="0"/>
              <w:rPr>
                <w:sz w:val="20"/>
                <w:szCs w:val="20"/>
                <w:color w:val="auto"/>
              </w:rPr>
            </w:pPr>
            <w:r>
              <w:rPr>
                <w:rFonts w:ascii="Arial" w:cs="Arial" w:eastAsia="Arial" w:hAnsi="Arial"/>
                <w:sz w:val="18"/>
                <w:szCs w:val="18"/>
                <w:color w:val="auto"/>
              </w:rPr>
              <w:t>Total assets at fair value</w:t>
            </w:r>
          </w:p>
        </w:tc>
        <w:tc>
          <w:tcPr>
            <w:tcW w:w="490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1,474,922</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520,569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6"/>
              </w:rPr>
              <w:t>$ 87,930</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$ 2,083,421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660" w:type="dxa"/>
            <w:vAlign w:val="bottom"/>
            <w:vMerge w:val="restart"/>
          </w:tcPr>
          <w:p>
            <w:pPr>
              <w:jc w:val="right"/>
              <w:ind w:right="1654"/>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a summary of changes in the fair value of the Plan’s Level 3 assets for the year ended December 31, 2009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Level 3 Assets</w:t>
            </w:r>
          </w:p>
        </w:tc>
      </w:tr>
      <w:tr>
        <w:trPr>
          <w:trHeight w:val="142"/>
        </w:trPr>
        <w:tc>
          <w:tcPr>
            <w:tcW w:w="7780" w:type="dxa"/>
            <w:vAlign w:val="bottom"/>
          </w:tcPr>
          <w:p>
            <w:pPr>
              <w:spacing w:after="0"/>
              <w:rPr>
                <w:sz w:val="12"/>
                <w:szCs w:val="12"/>
                <w:color w:val="auto"/>
              </w:rPr>
            </w:pPr>
          </w:p>
        </w:tc>
        <w:tc>
          <w:tcPr>
            <w:tcW w:w="1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Year Ended December 31, 2009</w:t>
            </w:r>
          </w:p>
        </w:tc>
      </w:tr>
      <w:tr>
        <w:trPr>
          <w:trHeight w:val="142"/>
        </w:trPr>
        <w:tc>
          <w:tcPr>
            <w:tcW w:w="77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Participant loans</w:t>
            </w: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87,930</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Realized gains/(losses)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Purchases, sales, issuances and settlements (net)</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8,118</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year</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96,048</w:t>
            </w: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PARTICIPANT LOANS AND HARDSHIP WITHDRAWALS</w:t>
      </w:r>
    </w:p>
    <w:p>
      <w:pPr>
        <w:spacing w:after="0" w:line="96"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 participant may borrow from his/her Plan account subject to the approval of the Plan Administrator in accordance with applicable regulations issued by the Internal Revenue Service (“IRS”) and the Department of Labor. In general, a participant may borrow a minimum of $500 up to a maximum of the lesser of $50,000 or 50% of the participant’s nonforfeitable accrued benefit on the valuation date (as defined by the Plan) last preceding the date on which the loan request is processed by the Plan Administrator. The maximum term of a loan made pursuant to the Plan is five years (loans with terms of greater than five years exist under the Plan as a result of rollovers from merged plans). Interest accrues at the prime rate plus 1% of the month the loan application is approved. Principal and interest are paid through payroll deductions or participant initiated payments. Interest rates ranged from 4.25% to 10.5% for the year ended December 31, 2009. Maturities on active outstanding loans ranged from 2010 to 2018 for the year ended December 31, 2009. Loan transactions are treated as a transfer from (to) the investment fund to (from) the participant loan fund.</w:t>
      </w:r>
    </w:p>
    <w:p>
      <w:pPr>
        <w:spacing w:after="0" w:line="37" w:lineRule="exact"/>
        <w:rPr>
          <w:rFonts w:ascii="Arial" w:cs="Arial" w:eastAsia="Arial" w:hAnsi="Arial"/>
          <w:sz w:val="18"/>
          <w:szCs w:val="18"/>
          <w:b w:val="1"/>
          <w:bCs w:val="1"/>
          <w:color w:val="auto"/>
        </w:rPr>
      </w:pPr>
    </w:p>
    <w:p>
      <w:pPr>
        <w:ind w:left="460"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Effective after a calendar quarter of non-repayment, a loan is considered to be in default. Defaulted loans are treated as distributions for tax purposes and become taxable income to the participant in the year in which the default occurs.</w:t>
      </w:r>
    </w:p>
    <w:p>
      <w:pPr>
        <w:spacing w:after="0" w:line="50" w:lineRule="exact"/>
        <w:rPr>
          <w:rFonts w:ascii="Arial" w:cs="Arial" w:eastAsia="Arial" w:hAnsi="Arial"/>
          <w:sz w:val="18"/>
          <w:szCs w:val="18"/>
          <w:b w:val="1"/>
          <w:bCs w:val="1"/>
          <w:color w:val="auto"/>
        </w:rPr>
      </w:pPr>
    </w:p>
    <w:p>
      <w:pPr>
        <w:ind w:left="46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 participant may withdraw all or a portion of his/her benefits derived from salary reduction, rollovers or the vested portion of employer contributions, and earnings thereon,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six calendar months.</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FINANCIAL STATEMENTS TO FORM 5500</w:t>
      </w:r>
    </w:p>
    <w:p>
      <w:pPr>
        <w:spacing w:after="0" w:line="96" w:lineRule="exact"/>
        <w:rPr>
          <w:rFonts w:ascii="Arial" w:cs="Arial" w:eastAsia="Arial" w:hAnsi="Arial"/>
          <w:sz w:val="18"/>
          <w:szCs w:val="18"/>
          <w:b w:val="1"/>
          <w:bCs w:val="1"/>
          <w:color w:val="auto"/>
        </w:rPr>
      </w:pPr>
    </w:p>
    <w:p>
      <w:pPr>
        <w:ind w:left="46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 reconciliation of net assets available for benefits per the financial statements to the total net assets per the Form 5500 as of December 31, 2009 and the increase in net assets available for benefits per the financial statements to the net income per the Form 5500 for the year ended December 31, 2009 is as follows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December 31, 2009</w:t>
            </w: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1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2,781,013</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 per the Form 5500</w:t>
            </w:r>
          </w:p>
        </w:tc>
        <w:tc>
          <w:tcPr>
            <w:tcW w:w="11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2,785,248</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2"/>
        </w:trPr>
        <w:tc>
          <w:tcPr>
            <w:tcW w:w="7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December 31, 2009</w:t>
            </w: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available for benefits per the financial statements</w:t>
            </w:r>
          </w:p>
        </w:tc>
        <w:tc>
          <w:tcPr>
            <w:tcW w:w="11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687,277</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Form 5500</w:t>
            </w:r>
          </w:p>
        </w:tc>
        <w:tc>
          <w:tcPr>
            <w:tcW w:w="11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691,512</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4700"/>
              <w:spacing w:after="0"/>
              <w:rPr>
                <w:sz w:val="20"/>
                <w:szCs w:val="20"/>
                <w:color w:val="auto"/>
              </w:rPr>
            </w:pPr>
            <w:r>
              <w:rPr>
                <w:rFonts w:ascii="Arial" w:cs="Arial" w:eastAsia="Arial" w:hAnsi="Arial"/>
                <w:sz w:val="18"/>
                <w:szCs w:val="18"/>
                <w:color w:val="auto"/>
              </w:rPr>
              <w:t>12</w:t>
            </w: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5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96" w:lineRule="exact"/>
        <w:rPr>
          <w:rFonts w:ascii="Arial" w:cs="Arial" w:eastAsia="Arial" w:hAnsi="Arial"/>
          <w:sz w:val="18"/>
          <w:szCs w:val="18"/>
          <w:b w:val="1"/>
          <w:bCs w:val="1"/>
          <w:color w:val="auto"/>
        </w:rPr>
      </w:pPr>
    </w:p>
    <w:p>
      <w:pPr>
        <w:ind w:left="4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Company, as Plan Administrator, has the authority to control and manage the operation and administration of the Plan and may delegate all or a portion of the responsibilities of controlling and managing the operation and administration of the Plan to one or more persons.</w:t>
      </w:r>
    </w:p>
    <w:p>
      <w:pPr>
        <w:spacing w:after="0" w:line="200"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177" w:lineRule="exact"/>
        <w:rPr>
          <w:rFonts w:ascii="Arial" w:cs="Arial" w:eastAsia="Arial" w:hAnsi="Arial"/>
          <w:sz w:val="18"/>
          <w:szCs w:val="18"/>
          <w:b w:val="1"/>
          <w:bCs w:val="1"/>
          <w:color w:val="auto"/>
        </w:rPr>
      </w:pPr>
    </w:p>
    <w:p>
      <w:pPr>
        <w:ind w:left="460" w:right="4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Plan termination, each affected participant’s account balance will become fully vested.</w:t>
      </w:r>
    </w:p>
    <w:p>
      <w:pPr>
        <w:spacing w:after="0" w:line="200"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FEDERAL TAX CONSIDERATIONS</w:t>
      </w:r>
    </w:p>
    <w:p>
      <w:pPr>
        <w:spacing w:after="0" w:line="96" w:lineRule="exact"/>
        <w:rPr>
          <w:rFonts w:ascii="Arial" w:cs="Arial" w:eastAsia="Arial" w:hAnsi="Arial"/>
          <w:sz w:val="18"/>
          <w:szCs w:val="18"/>
          <w:b w:val="1"/>
          <w:bCs w:val="1"/>
          <w:color w:val="auto"/>
        </w:rPr>
      </w:pPr>
    </w:p>
    <w:p>
      <w:pPr>
        <w:jc w:val="both"/>
        <w:ind w:left="1480" w:right="20" w:hanging="567"/>
        <w:spacing w:after="0" w:line="259"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 Status of the Plan</w:t>
      </w:r>
      <w:r>
        <w:rPr>
          <w:rFonts w:ascii="Arial" w:cs="Arial" w:eastAsia="Arial" w:hAnsi="Arial"/>
          <w:sz w:val="18"/>
          <w:szCs w:val="18"/>
          <w:color w:val="auto"/>
        </w:rPr>
        <w:t>—On May 8, 2009, the Plan received an updated determination letter in which the IRS stated that the Plan,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and restated December 12, 2007, is qualified and that the trust established under the Plan is tax-exempt. Therefore, no provision for income taxes has been included in the Plan’s financial statements.</w:t>
      </w:r>
    </w:p>
    <w:p>
      <w:pPr>
        <w:spacing w:after="0" w:line="59" w:lineRule="exact"/>
        <w:rPr>
          <w:rFonts w:ascii="Arial" w:cs="Arial" w:eastAsia="Arial" w:hAnsi="Arial"/>
          <w:sz w:val="18"/>
          <w:szCs w:val="18"/>
          <w:color w:val="auto"/>
        </w:rPr>
      </w:pPr>
    </w:p>
    <w:p>
      <w:pPr>
        <w:ind w:left="1480" w:right="40" w:hanging="567"/>
        <w:spacing w:after="0" w:line="259"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Impact on Plan Participants</w:t>
      </w:r>
      <w:r>
        <w:rPr>
          <w:rFonts w:ascii="Arial" w:cs="Arial" w:eastAsia="Arial" w:hAnsi="Arial"/>
          <w:sz w:val="18"/>
          <w:szCs w:val="18"/>
          <w:color w:val="auto"/>
        </w:rPr>
        <w:t>—Matching contributions and salary reduction contributions, as well as earnings on Plan assets, are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subject to federal income tax until distributed from a qualified plan that meets the requirements of Sections 401(a), 401(k) and 401(m) of the Code.</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rFonts w:ascii="Arial" w:cs="Arial" w:eastAsia="Arial" w:hAnsi="Arial"/>
          <w:sz w:val="18"/>
          <w:szCs w:val="18"/>
          <w:b w:val="1"/>
          <w:bCs w:val="1"/>
          <w:color w:val="auto"/>
        </w:rPr>
      </w:pPr>
    </w:p>
    <w:p>
      <w:pPr>
        <w:jc w:val="both"/>
        <w:ind w:left="460" w:righ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Effective January 1, 2010, Company matching contribution changed from 100% of the first 6% of eligible compensation to 100% of the first 4.5% of eligible compensation. In addition, effective January 1, 2010 participants in the Plan are being assessed a $19 per year administrative fee per account. Previously, these administrative fees were paid directly by the Plan.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H - PART IV, LINE 4i - SCHEDULE OF ASSETS (HELD AT END OF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FEIN #27-0000798</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PLAN #001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(c) Description of</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Investment,</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0"/>
              </w:rPr>
              <w:t>Including Maturity Date,</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Rate of Interest,</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Collateral,</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Par, or</w:t>
            </w: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(e) Current</w:t>
            </w:r>
          </w:p>
        </w:tc>
      </w:tr>
      <w:tr>
        <w:trPr>
          <w:trHeight w:val="161"/>
        </w:trPr>
        <w:tc>
          <w:tcPr>
            <w:tcW w:w="180" w:type="dxa"/>
            <w:vAlign w:val="bottom"/>
          </w:tcPr>
          <w:p>
            <w:pPr>
              <w:spacing w:after="0"/>
              <w:rPr>
                <w:sz w:val="20"/>
                <w:szCs w:val="20"/>
                <w:color w:val="auto"/>
              </w:rPr>
            </w:pPr>
            <w:r>
              <w:rPr>
                <w:rFonts w:ascii="Arial" w:cs="Arial" w:eastAsia="Arial" w:hAnsi="Arial"/>
                <w:sz w:val="14"/>
                <w:szCs w:val="14"/>
                <w:b w:val="1"/>
                <w:bCs w:val="1"/>
                <w:color w:val="auto"/>
                <w:w w:val="93"/>
              </w:rPr>
              <w:t>(a)</w:t>
            </w:r>
          </w:p>
        </w:tc>
        <w:tc>
          <w:tcPr>
            <w:tcW w:w="400" w:type="dxa"/>
            <w:vAlign w:val="bottom"/>
          </w:tcPr>
          <w:p>
            <w:pPr>
              <w:spacing w:after="0"/>
              <w:rPr>
                <w:sz w:val="14"/>
                <w:szCs w:val="14"/>
                <w:color w:val="auto"/>
              </w:rPr>
            </w:pPr>
          </w:p>
        </w:tc>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3240" w:type="dxa"/>
            <w:vAlign w:val="bottom"/>
          </w:tcPr>
          <w:p>
            <w:pPr>
              <w:spacing w:after="0"/>
              <w:rPr>
                <w:sz w:val="14"/>
                <w:szCs w:val="14"/>
                <w:color w:val="auto"/>
              </w:rPr>
            </w:pPr>
          </w:p>
        </w:tc>
        <w:tc>
          <w:tcPr>
            <w:tcW w:w="1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Maturity Value</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Value</w:t>
            </w:r>
          </w:p>
        </w:tc>
      </w:tr>
      <w:tr>
        <w:trPr>
          <w:trHeight w:val="142"/>
        </w:trPr>
        <w:tc>
          <w:tcPr>
            <w:tcW w:w="1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20" w:type="dxa"/>
            <w:vAlign w:val="bottom"/>
          </w:tcPr>
          <w:p>
            <w:pPr>
              <w:spacing w:after="0"/>
              <w:rPr>
                <w:sz w:val="12"/>
                <w:szCs w:val="12"/>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 (at fair value)</w:t>
            </w:r>
          </w:p>
        </w:tc>
        <w:tc>
          <w:tcPr>
            <w:tcW w:w="3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Dodge and Cox Balanced Fund</w:t>
            </w:r>
          </w:p>
        </w:tc>
        <w:tc>
          <w:tcPr>
            <w:tcW w:w="3240" w:type="dxa"/>
            <w:vAlign w:val="bottom"/>
          </w:tcPr>
          <w:p>
            <w:pPr>
              <w:spacing w:after="0"/>
              <w:rPr>
                <w:sz w:val="18"/>
                <w:szCs w:val="18"/>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2,644,001 units</w:t>
            </w:r>
          </w:p>
        </w:tc>
        <w:tc>
          <w:tcPr>
            <w:tcW w:w="940" w:type="dxa"/>
            <w:vAlign w:val="bottom"/>
          </w:tcPr>
          <w:p>
            <w:pPr>
              <w:jc w:val="right"/>
              <w:spacing w:after="0"/>
              <w:rPr>
                <w:sz w:val="20"/>
                <w:szCs w:val="20"/>
                <w:color w:val="auto"/>
              </w:rPr>
            </w:pPr>
            <w:r>
              <w:rPr>
                <w:rFonts w:ascii="Arial" w:cs="Arial" w:eastAsia="Arial" w:hAnsi="Arial"/>
                <w:sz w:val="18"/>
                <w:szCs w:val="18"/>
                <w:color w:val="auto"/>
              </w:rPr>
              <w:t>169,295</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Fidelity Diversified International Fund</w:t>
            </w:r>
          </w:p>
        </w:tc>
        <w:tc>
          <w:tcPr>
            <w:tcW w:w="3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6,449,932 units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180,598</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Fidelity Growth Company</w:t>
            </w:r>
          </w:p>
        </w:tc>
        <w:tc>
          <w:tcPr>
            <w:tcW w:w="3240" w:type="dxa"/>
            <w:vAlign w:val="bottom"/>
          </w:tcPr>
          <w:p>
            <w:pPr>
              <w:spacing w:after="0"/>
              <w:rPr>
                <w:sz w:val="18"/>
                <w:szCs w:val="18"/>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1,184,652 units</w:t>
            </w:r>
          </w:p>
        </w:tc>
        <w:tc>
          <w:tcPr>
            <w:tcW w:w="940" w:type="dxa"/>
            <w:vAlign w:val="bottom"/>
          </w:tcPr>
          <w:p>
            <w:pPr>
              <w:jc w:val="right"/>
              <w:spacing w:after="0"/>
              <w:rPr>
                <w:sz w:val="20"/>
                <w:szCs w:val="20"/>
                <w:color w:val="auto"/>
              </w:rPr>
            </w:pPr>
            <w:r>
              <w:rPr>
                <w:rFonts w:ascii="Arial" w:cs="Arial" w:eastAsia="Arial" w:hAnsi="Arial"/>
                <w:sz w:val="18"/>
                <w:szCs w:val="18"/>
                <w:color w:val="auto"/>
              </w:rPr>
              <w:t>81,717</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Fidelity Ret Govt MM</w:t>
            </w:r>
          </w:p>
        </w:tc>
        <w:tc>
          <w:tcPr>
            <w:tcW w:w="3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5,442 units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Fidelity Small Cap Stock Fund</w:t>
            </w:r>
          </w:p>
        </w:tc>
        <w:tc>
          <w:tcPr>
            <w:tcW w:w="3240" w:type="dxa"/>
            <w:vAlign w:val="bottom"/>
          </w:tcPr>
          <w:p>
            <w:pPr>
              <w:spacing w:after="0"/>
              <w:rPr>
                <w:sz w:val="18"/>
                <w:szCs w:val="18"/>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7,352,840 units</w:t>
            </w:r>
          </w:p>
        </w:tc>
        <w:tc>
          <w:tcPr>
            <w:tcW w:w="940" w:type="dxa"/>
            <w:vAlign w:val="bottom"/>
          </w:tcPr>
          <w:p>
            <w:pPr>
              <w:jc w:val="right"/>
              <w:spacing w:after="0"/>
              <w:rPr>
                <w:sz w:val="20"/>
                <w:szCs w:val="20"/>
                <w:color w:val="auto"/>
              </w:rPr>
            </w:pPr>
            <w:r>
              <w:rPr>
                <w:rFonts w:ascii="Arial" w:cs="Arial" w:eastAsia="Arial" w:hAnsi="Arial"/>
                <w:sz w:val="18"/>
                <w:szCs w:val="18"/>
                <w:color w:val="auto"/>
              </w:rPr>
              <w:t>117,204</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Pimco Total Return Institutional Fund</w:t>
            </w:r>
          </w:p>
        </w:tc>
        <w:tc>
          <w:tcPr>
            <w:tcW w:w="3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12,714,302 units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137,314</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Fidelity Spartan International Index Fund</w:t>
            </w:r>
          </w:p>
        </w:tc>
        <w:tc>
          <w:tcPr>
            <w:tcW w:w="3240" w:type="dxa"/>
            <w:vAlign w:val="bottom"/>
          </w:tcPr>
          <w:p>
            <w:pPr>
              <w:spacing w:after="0"/>
              <w:rPr>
                <w:sz w:val="18"/>
                <w:szCs w:val="18"/>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1,248,586 units</w:t>
            </w:r>
          </w:p>
        </w:tc>
        <w:tc>
          <w:tcPr>
            <w:tcW w:w="940" w:type="dxa"/>
            <w:vAlign w:val="bottom"/>
          </w:tcPr>
          <w:p>
            <w:pPr>
              <w:jc w:val="right"/>
              <w:spacing w:after="0"/>
              <w:rPr>
                <w:sz w:val="20"/>
                <w:szCs w:val="20"/>
                <w:color w:val="auto"/>
              </w:rPr>
            </w:pPr>
            <w:r>
              <w:rPr>
                <w:rFonts w:ascii="Arial" w:cs="Arial" w:eastAsia="Arial" w:hAnsi="Arial"/>
                <w:sz w:val="18"/>
                <w:szCs w:val="18"/>
                <w:color w:val="auto"/>
              </w:rPr>
              <w:t>41,765</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Fidelity Spartan 500 Index Advantage Fund</w:t>
            </w:r>
          </w:p>
        </w:tc>
        <w:tc>
          <w:tcPr>
            <w:tcW w:w="3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3,711,412 units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146,341</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Templeton World Fund, Class A</w:t>
            </w:r>
          </w:p>
        </w:tc>
        <w:tc>
          <w:tcPr>
            <w:tcW w:w="3240" w:type="dxa"/>
            <w:vAlign w:val="bottom"/>
          </w:tcPr>
          <w:p>
            <w:pPr>
              <w:spacing w:after="0"/>
              <w:rPr>
                <w:sz w:val="18"/>
                <w:szCs w:val="18"/>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4,097,199 units</w:t>
            </w:r>
          </w:p>
        </w:tc>
        <w:tc>
          <w:tcPr>
            <w:tcW w:w="940" w:type="dxa"/>
            <w:vAlign w:val="bottom"/>
          </w:tcPr>
          <w:p>
            <w:pPr>
              <w:jc w:val="right"/>
              <w:spacing w:after="0"/>
              <w:rPr>
                <w:sz w:val="20"/>
                <w:szCs w:val="20"/>
                <w:color w:val="auto"/>
              </w:rPr>
            </w:pPr>
            <w:r>
              <w:rPr>
                <w:rFonts w:ascii="Arial" w:cs="Arial" w:eastAsia="Arial" w:hAnsi="Arial"/>
                <w:sz w:val="18"/>
                <w:szCs w:val="18"/>
                <w:color w:val="auto"/>
              </w:rPr>
              <w:t>57,238</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Vanguard Small Cap Index Fund</w:t>
            </w:r>
          </w:p>
        </w:tc>
        <w:tc>
          <w:tcPr>
            <w:tcW w:w="3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1,523,852 units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41,906</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Vanguard Total Stock Market Index Fund</w:t>
            </w:r>
          </w:p>
        </w:tc>
        <w:tc>
          <w:tcPr>
            <w:tcW w:w="3240" w:type="dxa"/>
            <w:vAlign w:val="bottom"/>
          </w:tcPr>
          <w:p>
            <w:pPr>
              <w:spacing w:after="0"/>
              <w:rPr>
                <w:sz w:val="18"/>
                <w:szCs w:val="18"/>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1,275,559 units</w:t>
            </w:r>
          </w:p>
        </w:tc>
        <w:tc>
          <w:tcPr>
            <w:tcW w:w="940" w:type="dxa"/>
            <w:vAlign w:val="bottom"/>
          </w:tcPr>
          <w:p>
            <w:pPr>
              <w:jc w:val="right"/>
              <w:spacing w:after="0"/>
              <w:rPr>
                <w:sz w:val="20"/>
                <w:szCs w:val="20"/>
                <w:color w:val="auto"/>
              </w:rPr>
            </w:pPr>
            <w:r>
              <w:rPr>
                <w:rFonts w:ascii="Arial" w:cs="Arial" w:eastAsia="Arial" w:hAnsi="Arial"/>
                <w:sz w:val="18"/>
                <w:szCs w:val="18"/>
                <w:color w:val="auto"/>
              </w:rPr>
              <w:t>35,027</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Vanguard Windsor II Fund</w:t>
            </w:r>
          </w:p>
        </w:tc>
        <w:tc>
          <w:tcPr>
            <w:tcW w:w="3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2,453,818 units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103,135</w:t>
            </w:r>
          </w:p>
        </w:tc>
        <w:tc>
          <w:tcPr>
            <w:tcW w:w="2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1,111,545</w:t>
            </w: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Separate Account (at fair value)</w:t>
            </w:r>
          </w:p>
        </w:tc>
        <w:tc>
          <w:tcPr>
            <w:tcW w:w="3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w w:val="93"/>
              </w:rPr>
              <w:t>T. Rowe Price Blue Chip Growth Fund (separate account)</w:t>
            </w:r>
          </w:p>
        </w:tc>
        <w:tc>
          <w:tcPr>
            <w:tcW w:w="3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(B28XP76)</w:t>
            </w:r>
          </w:p>
        </w:tc>
        <w:tc>
          <w:tcPr>
            <w:tcW w:w="3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30,900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(B4BNMY3)</w:t>
            </w:r>
          </w:p>
        </w:tc>
        <w:tc>
          <w:tcPr>
            <w:tcW w:w="3240" w:type="dxa"/>
            <w:vAlign w:val="bottom"/>
          </w:tcPr>
          <w:p>
            <w:pPr>
              <w:spacing w:after="0"/>
              <w:rPr>
                <w:sz w:val="18"/>
                <w:szCs w:val="18"/>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24,800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(00724F101)</w:t>
            </w:r>
          </w:p>
        </w:tc>
        <w:tc>
          <w:tcPr>
            <w:tcW w:w="3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7,000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(018490102)</w:t>
            </w:r>
          </w:p>
        </w:tc>
        <w:tc>
          <w:tcPr>
            <w:tcW w:w="3240" w:type="dxa"/>
            <w:vAlign w:val="bottom"/>
          </w:tcPr>
          <w:p>
            <w:pPr>
              <w:spacing w:after="0"/>
              <w:rPr>
                <w:sz w:val="18"/>
                <w:szCs w:val="18"/>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41,000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2,583</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(021441100)</w:t>
            </w:r>
          </w:p>
        </w:tc>
        <w:tc>
          <w:tcPr>
            <w:tcW w:w="3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39,000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(023135106)</w:t>
            </w:r>
          </w:p>
        </w:tc>
        <w:tc>
          <w:tcPr>
            <w:tcW w:w="3240" w:type="dxa"/>
            <w:vAlign w:val="bottom"/>
          </w:tcPr>
          <w:p>
            <w:pPr>
              <w:spacing w:after="0"/>
              <w:rPr>
                <w:sz w:val="18"/>
                <w:szCs w:val="18"/>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56,400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7,587</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(025816109)</w:t>
            </w:r>
          </w:p>
        </w:tc>
        <w:tc>
          <w:tcPr>
            <w:tcW w:w="3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52,000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(029912201)</w:t>
            </w:r>
          </w:p>
        </w:tc>
        <w:tc>
          <w:tcPr>
            <w:tcW w:w="3240" w:type="dxa"/>
            <w:vAlign w:val="bottom"/>
          </w:tcPr>
          <w:p>
            <w:pPr>
              <w:spacing w:after="0"/>
              <w:rPr>
                <w:sz w:val="18"/>
                <w:szCs w:val="18"/>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79,000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3,414</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(03076C106)</w:t>
            </w:r>
          </w:p>
        </w:tc>
        <w:tc>
          <w:tcPr>
            <w:tcW w:w="3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25,400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(031162100)</w:t>
            </w:r>
          </w:p>
        </w:tc>
        <w:tc>
          <w:tcPr>
            <w:tcW w:w="3240" w:type="dxa"/>
            <w:vAlign w:val="bottom"/>
          </w:tcPr>
          <w:p>
            <w:pPr>
              <w:spacing w:after="0"/>
              <w:rPr>
                <w:sz w:val="18"/>
                <w:szCs w:val="18"/>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3,600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(037604105)</w:t>
            </w:r>
          </w:p>
        </w:tc>
        <w:tc>
          <w:tcPr>
            <w:tcW w:w="3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4,600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(037833100)</w:t>
            </w:r>
          </w:p>
        </w:tc>
        <w:tc>
          <w:tcPr>
            <w:tcW w:w="3240" w:type="dxa"/>
            <w:vAlign w:val="bottom"/>
          </w:tcPr>
          <w:p>
            <w:pPr>
              <w:spacing w:after="0"/>
              <w:rPr>
                <w:sz w:val="18"/>
                <w:szCs w:val="18"/>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46,000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9,700</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(052769106)</w:t>
            </w:r>
          </w:p>
        </w:tc>
        <w:tc>
          <w:tcPr>
            <w:tcW w:w="3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17,200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(053015103)</w:t>
            </w:r>
          </w:p>
        </w:tc>
        <w:tc>
          <w:tcPr>
            <w:tcW w:w="3240" w:type="dxa"/>
            <w:vAlign w:val="bottom"/>
          </w:tcPr>
          <w:p>
            <w:pPr>
              <w:spacing w:after="0"/>
              <w:rPr>
                <w:sz w:val="18"/>
                <w:szCs w:val="18"/>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11,900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(056752108)</w:t>
            </w:r>
          </w:p>
        </w:tc>
        <w:tc>
          <w:tcPr>
            <w:tcW w:w="3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600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(060505104)</w:t>
            </w:r>
          </w:p>
        </w:tc>
        <w:tc>
          <w:tcPr>
            <w:tcW w:w="3240" w:type="dxa"/>
            <w:vAlign w:val="bottom"/>
          </w:tcPr>
          <w:p>
            <w:pPr>
              <w:spacing w:after="0"/>
              <w:rPr>
                <w:sz w:val="18"/>
                <w:szCs w:val="18"/>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34,500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(060505419)</w:t>
            </w:r>
          </w:p>
        </w:tc>
        <w:tc>
          <w:tcPr>
            <w:tcW w:w="3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29,900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(064058100)</w:t>
            </w:r>
          </w:p>
        </w:tc>
        <w:tc>
          <w:tcPr>
            <w:tcW w:w="3240" w:type="dxa"/>
            <w:vAlign w:val="bottom"/>
          </w:tcPr>
          <w:p>
            <w:pPr>
              <w:spacing w:after="0"/>
              <w:rPr>
                <w:sz w:val="18"/>
                <w:szCs w:val="18"/>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4,100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(071813109)</w:t>
            </w:r>
          </w:p>
        </w:tc>
        <w:tc>
          <w:tcPr>
            <w:tcW w:w="3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7,300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(075896100)</w:t>
            </w:r>
          </w:p>
        </w:tc>
        <w:tc>
          <w:tcPr>
            <w:tcW w:w="3240" w:type="dxa"/>
            <w:vAlign w:val="bottom"/>
          </w:tcPr>
          <w:p>
            <w:pPr>
              <w:spacing w:after="0"/>
              <w:rPr>
                <w:sz w:val="18"/>
                <w:szCs w:val="18"/>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45,500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1,758</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(09247X101)</w:t>
            </w:r>
          </w:p>
        </w:tc>
        <w:tc>
          <w:tcPr>
            <w:tcW w:w="3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2,000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(111320107)</w:t>
            </w:r>
          </w:p>
        </w:tc>
        <w:tc>
          <w:tcPr>
            <w:tcW w:w="3240" w:type="dxa"/>
            <w:vAlign w:val="bottom"/>
          </w:tcPr>
          <w:p>
            <w:pPr>
              <w:spacing w:after="0"/>
              <w:rPr>
                <w:sz w:val="18"/>
                <w:szCs w:val="18"/>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8"/>
                <w:szCs w:val="18"/>
                <w:color w:val="auto"/>
              </w:rPr>
              <w:t>52,000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1,635</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(12572Q105)</w:t>
            </w:r>
          </w:p>
        </w:tc>
        <w:tc>
          <w:tcPr>
            <w:tcW w:w="3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r>
      <w:tr>
        <w:trPr>
          <w:trHeight w:val="363"/>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40" w:type="dxa"/>
            <w:vAlign w:val="bottom"/>
          </w:tcPr>
          <w:p>
            <w:pPr>
              <w:jc w:val="right"/>
              <w:ind w:right="2712"/>
              <w:spacing w:after="0"/>
              <w:rPr>
                <w:sz w:val="20"/>
                <w:szCs w:val="20"/>
                <w:color w:val="auto"/>
              </w:rPr>
            </w:pPr>
            <w:r>
              <w:rPr>
                <w:rFonts w:ascii="Arial" w:cs="Arial" w:eastAsia="Arial" w:hAnsi="Arial"/>
                <w:sz w:val="18"/>
                <w:szCs w:val="18"/>
                <w:color w:val="auto"/>
              </w:rPr>
              <w:t>14</w:t>
            </w: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6"/>
              </w:rPr>
              <w:t>(c) Description of</w:t>
            </w: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Investment,</w:t>
            </w: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Including Maturity Date,</w:t>
            </w: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Rate of Interest,</w:t>
            </w: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Collateral,</w:t>
            </w: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 or</w:t>
            </w:r>
          </w:p>
        </w:tc>
        <w:tc>
          <w:tcPr>
            <w:tcW w:w="50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(e) Current</w:t>
            </w:r>
          </w:p>
        </w:tc>
      </w:tr>
      <w:tr>
        <w:trPr>
          <w:trHeight w:val="161"/>
        </w:trPr>
        <w:tc>
          <w:tcPr>
            <w:tcW w:w="180" w:type="dxa"/>
            <w:vAlign w:val="bottom"/>
          </w:tcPr>
          <w:p>
            <w:pPr>
              <w:spacing w:after="0"/>
              <w:rPr>
                <w:sz w:val="20"/>
                <w:szCs w:val="20"/>
                <w:color w:val="auto"/>
              </w:rPr>
            </w:pPr>
            <w:r>
              <w:rPr>
                <w:rFonts w:ascii="Arial" w:cs="Arial" w:eastAsia="Arial" w:hAnsi="Arial"/>
                <w:sz w:val="14"/>
                <w:szCs w:val="14"/>
                <w:b w:val="1"/>
                <w:bCs w:val="1"/>
                <w:color w:val="auto"/>
                <w:w w:val="93"/>
              </w:rPr>
              <w:t>(a)</w:t>
            </w:r>
          </w:p>
        </w:tc>
        <w:tc>
          <w:tcPr>
            <w:tcW w:w="3900" w:type="dxa"/>
            <w:vAlign w:val="bottom"/>
            <w:gridSpan w:val="2"/>
          </w:tcPr>
          <w:p>
            <w:pPr>
              <w:ind w:left="480"/>
              <w:spacing w:after="0"/>
              <w:rPr>
                <w:sz w:val="20"/>
                <w:szCs w:val="20"/>
                <w:color w:val="auto"/>
              </w:rPr>
            </w:pPr>
            <w:r>
              <w:rPr>
                <w:rFonts w:ascii="Arial" w:cs="Arial" w:eastAsia="Arial" w:hAnsi="Arial"/>
                <w:sz w:val="14"/>
                <w:szCs w:val="14"/>
                <w:b w:val="1"/>
                <w:bCs w:val="1"/>
                <w:color w:val="auto"/>
                <w:w w:val="93"/>
              </w:rPr>
              <w:t>(b) Identity of Issue, Borrower, Lessor, or Similar Party</w:t>
            </w:r>
          </w:p>
        </w:tc>
        <w:tc>
          <w:tcPr>
            <w:tcW w:w="44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Maturity Value</w:t>
            </w:r>
          </w:p>
        </w:tc>
        <w:tc>
          <w:tcPr>
            <w:tcW w:w="5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Value</w:t>
            </w:r>
          </w:p>
        </w:tc>
      </w:tr>
      <w:tr>
        <w:trPr>
          <w:trHeight w:val="142"/>
        </w:trPr>
        <w:tc>
          <w:tcPr>
            <w:tcW w:w="1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444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20" w:type="dxa"/>
            <w:vAlign w:val="bottom"/>
          </w:tcPr>
          <w:p>
            <w:pPr>
              <w:spacing w:after="0"/>
              <w:rPr>
                <w:sz w:val="12"/>
                <w:szCs w:val="12"/>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(126650100)</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(13342B105)</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25,400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1,062</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(143130102)</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(143658300)</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28,900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916</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(151020104)</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(156782104)</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(17275R102)</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(191216100)</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(22160K105)</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(235851102)</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72,800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5,475</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(254687106)</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(25470F104)</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36,300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1,113</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(25470F302)</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(256746108)</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common stock (2594653)</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(268648102)</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25,400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(26875P101)</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(278865100)</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common stock (2852395)</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(285512109)</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(30212P105)</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(302130109)</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14,000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486</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(302182100)</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5"/>
              </w:rPr>
              <w:t>Corporate common stock (30231G102)</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(30249U101)</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(311900104)</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(336433107)</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(337738108)</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23,000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1,115</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(354613101)</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5"/>
              </w:rPr>
              <w:t>Corporate common stock (35671D857)</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(364760108)</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(370334104)</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(375558103)</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5"/>
              </w:rPr>
              <w:t>Corporate common stock (38141G104)</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28,000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4,728</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(382388106)</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(38259P508)</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15,500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9,610</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(384802104)</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(428236103)</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12,700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(458140100)</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(45865V100)</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12,700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1,426</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(459200101)</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(46120E602)</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1,335</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(461202103)</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5"/>
              </w:rPr>
              <w:t>Corporate common stock (46625H100)</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79,000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3,292</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(48203R104)</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(487836108)</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(500255104)</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(53217V109)</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(548661107)</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18"/>
                <w:szCs w:val="18"/>
                <w:color w:val="auto"/>
              </w:rPr>
            </w:pPr>
          </w:p>
        </w:tc>
      </w:tr>
      <w:tr>
        <w:trPr>
          <w:trHeight w:val="222"/>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(571903202)</w:t>
            </w:r>
          </w:p>
        </w:tc>
        <w:tc>
          <w:tcPr>
            <w:tcW w:w="4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55,957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1,525</w:t>
            </w:r>
          </w:p>
        </w:tc>
        <w:tc>
          <w:tcPr>
            <w:tcW w:w="20" w:type="dxa"/>
            <w:vAlign w:val="bottom"/>
          </w:tcPr>
          <w:p>
            <w:pPr>
              <w:spacing w:after="0"/>
              <w:rPr>
                <w:sz w:val="19"/>
                <w:szCs w:val="19"/>
                <w:color w:val="auto"/>
              </w:rPr>
            </w:pPr>
          </w:p>
        </w:tc>
      </w:tr>
      <w:tr>
        <w:trPr>
          <w:trHeight w:val="356"/>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440" w:type="dxa"/>
            <w:vAlign w:val="bottom"/>
          </w:tcPr>
          <w:p>
            <w:pPr>
              <w:jc w:val="right"/>
              <w:ind w:right="2632"/>
              <w:spacing w:after="0"/>
              <w:rPr>
                <w:sz w:val="20"/>
                <w:szCs w:val="20"/>
                <w:color w:val="auto"/>
              </w:rPr>
            </w:pPr>
            <w:r>
              <w:rPr>
                <w:rFonts w:ascii="Arial" w:cs="Arial" w:eastAsia="Arial" w:hAnsi="Arial"/>
                <w:sz w:val="18"/>
                <w:szCs w:val="18"/>
                <w:color w:val="auto"/>
              </w:rPr>
              <w:t>15</w:t>
            </w: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6"/>
              </w:rPr>
              <w:t>(c) Description of</w:t>
            </w: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Investment,</w:t>
            </w: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Including Maturity Date,</w:t>
            </w: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Rate of Interest,</w:t>
            </w: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Collateral,</w:t>
            </w: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 or</w:t>
            </w:r>
          </w:p>
        </w:tc>
        <w:tc>
          <w:tcPr>
            <w:tcW w:w="50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(e) Current</w:t>
            </w:r>
          </w:p>
        </w:tc>
      </w:tr>
      <w:tr>
        <w:trPr>
          <w:trHeight w:val="161"/>
        </w:trPr>
        <w:tc>
          <w:tcPr>
            <w:tcW w:w="180" w:type="dxa"/>
            <w:vAlign w:val="bottom"/>
          </w:tcPr>
          <w:p>
            <w:pPr>
              <w:spacing w:after="0"/>
              <w:rPr>
                <w:sz w:val="20"/>
                <w:szCs w:val="20"/>
                <w:color w:val="auto"/>
              </w:rPr>
            </w:pPr>
            <w:r>
              <w:rPr>
                <w:rFonts w:ascii="Arial" w:cs="Arial" w:eastAsia="Arial" w:hAnsi="Arial"/>
                <w:sz w:val="14"/>
                <w:szCs w:val="14"/>
                <w:b w:val="1"/>
                <w:bCs w:val="1"/>
                <w:color w:val="auto"/>
                <w:w w:val="93"/>
              </w:rPr>
              <w:t>(a)</w:t>
            </w:r>
          </w:p>
        </w:tc>
        <w:tc>
          <w:tcPr>
            <w:tcW w:w="3900" w:type="dxa"/>
            <w:vAlign w:val="bottom"/>
            <w:gridSpan w:val="2"/>
          </w:tcPr>
          <w:p>
            <w:pPr>
              <w:ind w:left="480"/>
              <w:spacing w:after="0"/>
              <w:rPr>
                <w:sz w:val="20"/>
                <w:szCs w:val="20"/>
                <w:color w:val="auto"/>
              </w:rPr>
            </w:pPr>
            <w:r>
              <w:rPr>
                <w:rFonts w:ascii="Arial" w:cs="Arial" w:eastAsia="Arial" w:hAnsi="Arial"/>
                <w:sz w:val="14"/>
                <w:szCs w:val="14"/>
                <w:b w:val="1"/>
                <w:bCs w:val="1"/>
                <w:color w:val="auto"/>
                <w:w w:val="93"/>
              </w:rPr>
              <w:t>(b) Identity of Issue, Borrower, Lessor, or Similar Party</w:t>
            </w:r>
          </w:p>
        </w:tc>
        <w:tc>
          <w:tcPr>
            <w:tcW w:w="44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Maturity Value</w:t>
            </w:r>
          </w:p>
        </w:tc>
        <w:tc>
          <w:tcPr>
            <w:tcW w:w="5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Value</w:t>
            </w:r>
          </w:p>
        </w:tc>
      </w:tr>
      <w:tr>
        <w:trPr>
          <w:trHeight w:val="142"/>
        </w:trPr>
        <w:tc>
          <w:tcPr>
            <w:tcW w:w="1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444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20" w:type="dxa"/>
            <w:vAlign w:val="bottom"/>
          </w:tcPr>
          <w:p>
            <w:pPr>
              <w:spacing w:after="0"/>
              <w:rPr>
                <w:sz w:val="12"/>
                <w:szCs w:val="12"/>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(57636Q104)</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(579064106)</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42,000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1,704</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(580037109)</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(580135101)</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23,900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1,492</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(580645109)</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5"/>
              </w:rPr>
              <w:t>Corporate common stock (58155Q103)</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35,100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2,194</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(58405U102)</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(585055106)</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(594918104)</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4"/>
              </w:rPr>
              <w:t>Corporate common stock (61166W101)</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1,210</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(617446448)</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(654106103)</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(665859104)</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(686091109)</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21,000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801</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(693475105)</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(713448108)</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27,500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1,672</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Corporate common stock (71654V2101)</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(74005P104)</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28,100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2,257</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(740189105)</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(741503403)</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1,224</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(742718109)</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(744320102)</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(747525103)</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(760759100)</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(773903109)</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(790849103)</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19,000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699</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(79466L302)</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(806857108)</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57,800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3,762</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(808513105)</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(824348106)</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(82481R106)</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(832110100)</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44,300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1,204</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(845467109)</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(852244109)</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82,600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1,905</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(857477103)</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(863667101)</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16,500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(867224107)</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(87236Y108)</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13,200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(881624209)</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(88579Y101)</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23,100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1,910</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(887317303)</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(902973304)</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53,300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(907818108)</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(913017109)</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17,300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1,201</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(92343E102)</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(92532F100)</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16,400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(92826C839)</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(931142103)</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18,200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973</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(931422109)</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r>
      <w:tr>
        <w:trPr>
          <w:trHeight w:val="222"/>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(949746101)</w:t>
            </w:r>
          </w:p>
        </w:tc>
        <w:tc>
          <w:tcPr>
            <w:tcW w:w="4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83,700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2,259</w:t>
            </w:r>
          </w:p>
        </w:tc>
        <w:tc>
          <w:tcPr>
            <w:tcW w:w="20" w:type="dxa"/>
            <w:vAlign w:val="bottom"/>
          </w:tcPr>
          <w:p>
            <w:pPr>
              <w:spacing w:after="0"/>
              <w:rPr>
                <w:sz w:val="19"/>
                <w:szCs w:val="19"/>
                <w:color w:val="auto"/>
              </w:rPr>
            </w:pPr>
          </w:p>
        </w:tc>
      </w:tr>
      <w:tr>
        <w:trPr>
          <w:trHeight w:val="356"/>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440" w:type="dxa"/>
            <w:vAlign w:val="bottom"/>
          </w:tcPr>
          <w:p>
            <w:pPr>
              <w:jc w:val="right"/>
              <w:ind w:right="2632"/>
              <w:spacing w:after="0"/>
              <w:rPr>
                <w:sz w:val="20"/>
                <w:szCs w:val="20"/>
                <w:color w:val="auto"/>
              </w:rPr>
            </w:pPr>
            <w:r>
              <w:rPr>
                <w:rFonts w:ascii="Arial" w:cs="Arial" w:eastAsia="Arial" w:hAnsi="Arial"/>
                <w:sz w:val="18"/>
                <w:szCs w:val="18"/>
                <w:color w:val="auto"/>
              </w:rPr>
              <w:t>16</w:t>
            </w: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6"/>
              </w:rPr>
              <w:t>(c) Description of</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Investment,</w:t>
            </w: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Including Maturity Date,</w:t>
            </w: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Rate of Interest,</w:t>
            </w: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Collateral,</w:t>
            </w: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 or</w:t>
            </w:r>
          </w:p>
        </w:tc>
        <w:tc>
          <w:tcPr>
            <w:tcW w:w="52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 Current</w:t>
            </w:r>
          </w:p>
        </w:tc>
      </w:tr>
      <w:tr>
        <w:trPr>
          <w:trHeight w:val="161"/>
        </w:trPr>
        <w:tc>
          <w:tcPr>
            <w:tcW w:w="180" w:type="dxa"/>
            <w:vAlign w:val="bottom"/>
          </w:tcPr>
          <w:p>
            <w:pPr>
              <w:spacing w:after="0"/>
              <w:rPr>
                <w:sz w:val="20"/>
                <w:szCs w:val="20"/>
                <w:color w:val="auto"/>
              </w:rPr>
            </w:pPr>
            <w:r>
              <w:rPr>
                <w:rFonts w:ascii="Arial" w:cs="Arial" w:eastAsia="Arial" w:hAnsi="Arial"/>
                <w:sz w:val="14"/>
                <w:szCs w:val="14"/>
                <w:b w:val="1"/>
                <w:bCs w:val="1"/>
                <w:color w:val="auto"/>
                <w:w w:val="93"/>
              </w:rPr>
              <w:t>(a)</w:t>
            </w:r>
          </w:p>
        </w:tc>
        <w:tc>
          <w:tcPr>
            <w:tcW w:w="480" w:type="dxa"/>
            <w:vAlign w:val="bottom"/>
          </w:tcPr>
          <w:p>
            <w:pPr>
              <w:spacing w:after="0"/>
              <w:rPr>
                <w:sz w:val="14"/>
                <w:szCs w:val="14"/>
                <w:color w:val="auto"/>
              </w:rPr>
            </w:pPr>
          </w:p>
        </w:tc>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29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Maturity Value</w:t>
            </w:r>
          </w:p>
        </w:tc>
        <w:tc>
          <w:tcPr>
            <w:tcW w:w="5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Value</w:t>
            </w:r>
          </w:p>
        </w:tc>
      </w:tr>
      <w:tr>
        <w:trPr>
          <w:trHeight w:val="142"/>
        </w:trPr>
        <w:tc>
          <w:tcPr>
            <w:tcW w:w="1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14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(959802109)</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 shares</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1,169</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(983134107)</w:t>
            </w:r>
          </w:p>
        </w:tc>
        <w:tc>
          <w:tcPr>
            <w:tcW w:w="2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4,500 shares</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262</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(983919101)</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81,000 shares</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2,030</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(988498101)</w:t>
            </w:r>
          </w:p>
        </w:tc>
        <w:tc>
          <w:tcPr>
            <w:tcW w:w="2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33,400 shares</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1,168</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bearing cash (98765455B)</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2,362,226 shares</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2,362</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Other liabilities</w:t>
            </w:r>
          </w:p>
        </w:tc>
        <w:tc>
          <w:tcPr>
            <w:tcW w:w="2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(176)</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receivables</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Receivable participant contributions</w:t>
            </w:r>
          </w:p>
        </w:tc>
        <w:tc>
          <w:tcPr>
            <w:tcW w:w="2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389</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Receivable employer contributions</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Benefit claims payable</w:t>
            </w:r>
          </w:p>
        </w:tc>
        <w:tc>
          <w:tcPr>
            <w:tcW w:w="2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 payables</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r>
      <w:tr>
        <w:trPr>
          <w:trHeight w:val="230"/>
        </w:trPr>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184,759</w:t>
            </w:r>
          </w:p>
        </w:tc>
        <w:tc>
          <w:tcPr>
            <w:tcW w:w="100" w:type="dxa"/>
            <w:vAlign w:val="bottom"/>
          </w:tcPr>
          <w:p>
            <w:pPr>
              <w:spacing w:after="0"/>
              <w:rPr>
                <w:sz w:val="20"/>
                <w:szCs w:val="20"/>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Common Collective Trust (at fair value) – not Direct Filing Entity</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Thompson, Siegel and Walmsley SMID Cap Value</w:t>
            </w:r>
          </w:p>
        </w:tc>
        <w:tc>
          <w:tcPr>
            <w:tcW w:w="2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(B23HRW2)</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 shares</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(B4Y5TZ6)</w:t>
            </w:r>
          </w:p>
        </w:tc>
        <w:tc>
          <w:tcPr>
            <w:tcW w:w="2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26,300 shares</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774</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(001084102)</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23,900 shares</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(002535201)</w:t>
            </w:r>
          </w:p>
        </w:tc>
        <w:tc>
          <w:tcPr>
            <w:tcW w:w="2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33,000 shares</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915</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(004498101)</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26,100 shares</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(007865108)</w:t>
            </w:r>
          </w:p>
        </w:tc>
        <w:tc>
          <w:tcPr>
            <w:tcW w:w="2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30,300 shares</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1,032</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(009363102)</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 shares</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(018802108)</w:t>
            </w:r>
          </w:p>
        </w:tc>
        <w:tc>
          <w:tcPr>
            <w:tcW w:w="2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42,100 shares</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1,274</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(023436108)</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 shares</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1,088</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(028884104)</w:t>
            </w:r>
          </w:p>
        </w:tc>
        <w:tc>
          <w:tcPr>
            <w:tcW w:w="2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14,900 shares</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452</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(029429107)</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 shares</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(03232P405)</w:t>
            </w:r>
          </w:p>
        </w:tc>
        <w:tc>
          <w:tcPr>
            <w:tcW w:w="2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13,400 shares</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295</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(04269Q100)</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85,600 shares</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978</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(09067J109)</w:t>
            </w:r>
          </w:p>
        </w:tc>
        <w:tc>
          <w:tcPr>
            <w:tcW w:w="2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52,300 shares</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730</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(109699108)</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 shares</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(110394103)</w:t>
            </w:r>
          </w:p>
        </w:tc>
        <w:tc>
          <w:tcPr>
            <w:tcW w:w="2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14,500 shares</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558</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(125896100)</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85,900 shares</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(14067E506)</w:t>
            </w:r>
          </w:p>
        </w:tc>
        <w:tc>
          <w:tcPr>
            <w:tcW w:w="2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42,100 shares</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575</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(146229109)</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18,400 shares</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(147528103)</w:t>
            </w:r>
          </w:p>
        </w:tc>
        <w:tc>
          <w:tcPr>
            <w:tcW w:w="2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9,300 shares</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297</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(15189T107)</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78,400 shares</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1,138</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(16115Q308)</w:t>
            </w:r>
          </w:p>
        </w:tc>
        <w:tc>
          <w:tcPr>
            <w:tcW w:w="2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36,900 shares</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611</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(171484108)</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 shares</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(203668108)</w:t>
            </w:r>
          </w:p>
        </w:tc>
        <w:tc>
          <w:tcPr>
            <w:tcW w:w="2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12,500 shares</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445</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(205768203)</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 shares</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(205826209)</w:t>
            </w:r>
          </w:p>
        </w:tc>
        <w:tc>
          <w:tcPr>
            <w:tcW w:w="2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21,900 shares</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768</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(2172372)</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33,900 shares</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(22282E102)</w:t>
            </w:r>
          </w:p>
        </w:tc>
        <w:tc>
          <w:tcPr>
            <w:tcW w:w="2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16,900 shares</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306</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(228368106)</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31,700 shares</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811</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(243537107)</w:t>
            </w:r>
          </w:p>
        </w:tc>
        <w:tc>
          <w:tcPr>
            <w:tcW w:w="2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7,900 shares</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804</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(24522P103)</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50,900 shares</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(256743105)</w:t>
            </w:r>
          </w:p>
        </w:tc>
        <w:tc>
          <w:tcPr>
            <w:tcW w:w="2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12,500 shares</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320</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(26153C103)</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 shares</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879</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2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(2671932)</w:t>
            </w:r>
          </w:p>
        </w:tc>
        <w:tc>
          <w:tcPr>
            <w:tcW w:w="29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9,200 shares</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687</w:t>
            </w: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(2740542)</w:t>
            </w:r>
          </w:p>
        </w:tc>
        <w:tc>
          <w:tcPr>
            <w:tcW w:w="29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 shares</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1,059</w:t>
            </w:r>
          </w:p>
        </w:tc>
      </w:tr>
      <w:tr>
        <w:trPr>
          <w:trHeight w:val="363"/>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920" w:type="dxa"/>
            <w:vAlign w:val="bottom"/>
          </w:tcPr>
          <w:p>
            <w:pPr>
              <w:jc w:val="right"/>
              <w:ind w:right="2512"/>
              <w:spacing w:after="0"/>
              <w:rPr>
                <w:sz w:val="20"/>
                <w:szCs w:val="20"/>
                <w:color w:val="auto"/>
              </w:rPr>
            </w:pPr>
            <w:r>
              <w:rPr>
                <w:rFonts w:ascii="Arial" w:cs="Arial" w:eastAsia="Arial" w:hAnsi="Arial"/>
                <w:sz w:val="18"/>
                <w:szCs w:val="18"/>
                <w:color w:val="auto"/>
              </w:rPr>
              <w:t>17</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6"/>
              </w:rPr>
              <w:t>(c) Description of</w:t>
            </w: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Investment,</w:t>
            </w: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Including Maturity Date,</w:t>
            </w: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Rate of Interest,</w:t>
            </w: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Collateral,</w:t>
            </w: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 or</w:t>
            </w:r>
          </w:p>
        </w:tc>
        <w:tc>
          <w:tcPr>
            <w:tcW w:w="50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(e) Current</w:t>
            </w:r>
          </w:p>
        </w:tc>
      </w:tr>
      <w:tr>
        <w:trPr>
          <w:trHeight w:val="161"/>
        </w:trPr>
        <w:tc>
          <w:tcPr>
            <w:tcW w:w="180" w:type="dxa"/>
            <w:vAlign w:val="bottom"/>
          </w:tcPr>
          <w:p>
            <w:pPr>
              <w:spacing w:after="0"/>
              <w:rPr>
                <w:sz w:val="20"/>
                <w:szCs w:val="20"/>
                <w:color w:val="auto"/>
              </w:rPr>
            </w:pPr>
            <w:r>
              <w:rPr>
                <w:rFonts w:ascii="Arial" w:cs="Arial" w:eastAsia="Arial" w:hAnsi="Arial"/>
                <w:sz w:val="14"/>
                <w:szCs w:val="14"/>
                <w:b w:val="1"/>
                <w:bCs w:val="1"/>
                <w:color w:val="auto"/>
                <w:w w:val="93"/>
              </w:rPr>
              <w:t>(a)</w:t>
            </w:r>
          </w:p>
        </w:tc>
        <w:tc>
          <w:tcPr>
            <w:tcW w:w="3900" w:type="dxa"/>
            <w:vAlign w:val="bottom"/>
            <w:gridSpan w:val="2"/>
          </w:tcPr>
          <w:p>
            <w:pPr>
              <w:ind w:left="480"/>
              <w:spacing w:after="0"/>
              <w:rPr>
                <w:sz w:val="20"/>
                <w:szCs w:val="20"/>
                <w:color w:val="auto"/>
              </w:rPr>
            </w:pPr>
            <w:r>
              <w:rPr>
                <w:rFonts w:ascii="Arial" w:cs="Arial" w:eastAsia="Arial" w:hAnsi="Arial"/>
                <w:sz w:val="14"/>
                <w:szCs w:val="14"/>
                <w:b w:val="1"/>
                <w:bCs w:val="1"/>
                <w:color w:val="auto"/>
                <w:w w:val="93"/>
              </w:rPr>
              <w:t>(b) Identity of Issue, Borrower, Lessor, or Similar Party</w:t>
            </w:r>
          </w:p>
        </w:tc>
        <w:tc>
          <w:tcPr>
            <w:tcW w:w="44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Maturity Value</w:t>
            </w:r>
          </w:p>
        </w:tc>
        <w:tc>
          <w:tcPr>
            <w:tcW w:w="5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Value</w:t>
            </w:r>
          </w:p>
        </w:tc>
      </w:tr>
      <w:tr>
        <w:trPr>
          <w:trHeight w:val="142"/>
        </w:trPr>
        <w:tc>
          <w:tcPr>
            <w:tcW w:w="1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444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20" w:type="dxa"/>
            <w:vAlign w:val="bottom"/>
          </w:tcPr>
          <w:p>
            <w:pPr>
              <w:spacing w:after="0"/>
              <w:rPr>
                <w:sz w:val="12"/>
                <w:szCs w:val="12"/>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common stock (2764984)</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(278768106)</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46,500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937</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(29100P102)</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(29264F205)</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46,300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950</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(29265N108)</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4"/>
              </w:rPr>
              <w:t>Corporate common stock (37250W108)</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24,500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683</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(378967103)</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(403777105)</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(404132102)</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(405024100)</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10,900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(410867105)</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(421924309)</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57,800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1,085</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(42822Q100)</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(480838101)</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17,200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726</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(481165108)</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(52602E102)</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11,000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(55272X102)</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(564563104)</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9,300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449</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(570535104)</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(582411104)</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54,900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(64107N206)</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(670837103)</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20,300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749</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(675746309)</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(679580100)</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(681904108)</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(682680103)</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(68628V308)</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(690768403)</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13,700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(69329Y104)</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(695156109)</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43,200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994</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(696429307)</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(727493108)</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29,200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759</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(74835Y101)</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(750438103)</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50,000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(751028101)</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(754907103)</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21,100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(78505P100)</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(81725T100)</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27,800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731</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Corporate common stock (83088M102)</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(834376501)</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36,100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(871130100)</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(87163F106)</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39,000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682</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(879101103)</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(880915103)</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18,500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596</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(88164L100)</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5"/>
              </w:rPr>
              <w:t>Corporate common stock (88632Q103)</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64,400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620</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(891906109)</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(903236107)</w:t>
            </w:r>
          </w:p>
        </w:tc>
        <w:tc>
          <w:tcPr>
            <w:tcW w:w="4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Corporate common stock (92769L101)</w:t>
            </w:r>
          </w:p>
        </w:tc>
        <w:tc>
          <w:tcPr>
            <w:tcW w:w="4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26,300 shares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18"/>
                <w:szCs w:val="18"/>
                <w:color w:val="auto"/>
              </w:rPr>
            </w:pPr>
          </w:p>
        </w:tc>
      </w:tr>
      <w:tr>
        <w:trPr>
          <w:trHeight w:val="222"/>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20" w:type="dxa"/>
            <w:vAlign w:val="bottom"/>
          </w:tcPr>
          <w:p>
            <w:pPr>
              <w:ind w:left="420"/>
              <w:spacing w:after="0"/>
              <w:rPr>
                <w:sz w:val="20"/>
                <w:szCs w:val="20"/>
                <w:color w:val="auto"/>
              </w:rPr>
            </w:pPr>
            <w:r>
              <w:rPr>
                <w:rFonts w:ascii="Arial" w:cs="Arial" w:eastAsia="Arial" w:hAnsi="Arial"/>
                <w:sz w:val="18"/>
                <w:szCs w:val="18"/>
                <w:color w:val="auto"/>
                <w:w w:val="96"/>
              </w:rPr>
              <w:t>Corporate common stock (95709T100)</w:t>
            </w:r>
          </w:p>
        </w:tc>
        <w:tc>
          <w:tcPr>
            <w:tcW w:w="4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81,500 shares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1,770</w:t>
            </w:r>
          </w:p>
        </w:tc>
        <w:tc>
          <w:tcPr>
            <w:tcW w:w="20" w:type="dxa"/>
            <w:vAlign w:val="bottom"/>
          </w:tcPr>
          <w:p>
            <w:pPr>
              <w:spacing w:after="0"/>
              <w:rPr>
                <w:sz w:val="19"/>
                <w:szCs w:val="19"/>
                <w:color w:val="auto"/>
              </w:rPr>
            </w:pPr>
          </w:p>
        </w:tc>
      </w:tr>
      <w:tr>
        <w:trPr>
          <w:trHeight w:val="356"/>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440" w:type="dxa"/>
            <w:vAlign w:val="bottom"/>
          </w:tcPr>
          <w:p>
            <w:pPr>
              <w:jc w:val="right"/>
              <w:ind w:right="2632"/>
              <w:spacing w:after="0"/>
              <w:rPr>
                <w:sz w:val="20"/>
                <w:szCs w:val="20"/>
                <w:color w:val="auto"/>
              </w:rPr>
            </w:pPr>
            <w:r>
              <w:rPr>
                <w:rFonts w:ascii="Arial" w:cs="Arial" w:eastAsia="Arial" w:hAnsi="Arial"/>
                <w:sz w:val="18"/>
                <w:szCs w:val="18"/>
                <w:color w:val="auto"/>
              </w:rPr>
              <w:t>18</w:t>
            </w: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(c) Description of</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Investment,</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9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0"/>
              </w:rPr>
              <w:t>Including Maturity Date,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9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Rate of Interest,</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Collateral,</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Par, or</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 Current</w:t>
            </w:r>
          </w:p>
        </w:tc>
      </w:tr>
      <w:tr>
        <w:trPr>
          <w:trHeight w:val="161"/>
        </w:trPr>
        <w:tc>
          <w:tcPr>
            <w:tcW w:w="180" w:type="dxa"/>
            <w:vAlign w:val="bottom"/>
            <w:gridSpan w:val="2"/>
          </w:tcPr>
          <w:p>
            <w:pPr>
              <w:spacing w:after="0"/>
              <w:rPr>
                <w:sz w:val="20"/>
                <w:szCs w:val="20"/>
                <w:color w:val="auto"/>
              </w:rPr>
            </w:pPr>
            <w:r>
              <w:rPr>
                <w:rFonts w:ascii="Arial" w:cs="Arial" w:eastAsia="Arial" w:hAnsi="Arial"/>
                <w:sz w:val="14"/>
                <w:szCs w:val="14"/>
                <w:b w:val="1"/>
                <w:bCs w:val="1"/>
                <w:color w:val="auto"/>
                <w:w w:val="93"/>
              </w:rPr>
              <w:t>(a)</w:t>
            </w:r>
          </w:p>
        </w:tc>
        <w:tc>
          <w:tcPr>
            <w:tcW w:w="480" w:type="dxa"/>
            <w:vAlign w:val="bottom"/>
          </w:tcPr>
          <w:p>
            <w:pPr>
              <w:spacing w:after="0"/>
              <w:rPr>
                <w:sz w:val="14"/>
                <w:szCs w:val="14"/>
                <w:color w:val="auto"/>
              </w:rPr>
            </w:pPr>
          </w:p>
        </w:tc>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3500" w:type="dxa"/>
            <w:vAlign w:val="bottom"/>
          </w:tcPr>
          <w:p>
            <w:pPr>
              <w:spacing w:after="0"/>
              <w:rPr>
                <w:sz w:val="14"/>
                <w:szCs w:val="14"/>
                <w:color w:val="auto"/>
              </w:rPr>
            </w:pPr>
          </w:p>
        </w:tc>
        <w:tc>
          <w:tcPr>
            <w:tcW w:w="1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Maturity Value</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Value</w:t>
            </w:r>
          </w:p>
        </w:tc>
      </w:tr>
      <w:tr>
        <w:trPr>
          <w:trHeight w:val="142"/>
        </w:trPr>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 common stock (966387102)</w:t>
            </w:r>
          </w:p>
        </w:tc>
        <w:tc>
          <w:tcPr>
            <w:tcW w:w="35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7,400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40" w:type="dxa"/>
            <w:vAlign w:val="bottom"/>
            <w:gridSpan w:val="2"/>
          </w:tcPr>
          <w:p>
            <w:pPr>
              <w:ind w:left="440"/>
              <w:spacing w:after="0"/>
              <w:rPr>
                <w:sz w:val="20"/>
                <w:szCs w:val="20"/>
                <w:color w:val="auto"/>
              </w:rPr>
            </w:pPr>
            <w:r>
              <w:rPr>
                <w:rFonts w:ascii="Arial" w:cs="Arial" w:eastAsia="Arial" w:hAnsi="Arial"/>
                <w:sz w:val="18"/>
                <w:szCs w:val="18"/>
                <w:color w:val="auto"/>
              </w:rPr>
              <w:t>Corporate common stock (98233Q105)</w:t>
            </w:r>
          </w:p>
        </w:tc>
        <w:tc>
          <w:tcPr>
            <w:tcW w:w="350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20,200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bearing cash (98765455B)</w:t>
            </w:r>
          </w:p>
        </w:tc>
        <w:tc>
          <w:tcPr>
            <w:tcW w:w="35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1,176,664 shares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40" w:type="dxa"/>
            <w:vAlign w:val="bottom"/>
            <w:gridSpan w:val="2"/>
          </w:tcPr>
          <w:p>
            <w:pPr>
              <w:ind w:left="440"/>
              <w:spacing w:after="0"/>
              <w:rPr>
                <w:sz w:val="20"/>
                <w:szCs w:val="20"/>
                <w:color w:val="auto"/>
              </w:rPr>
            </w:pPr>
            <w:r>
              <w:rPr>
                <w:rFonts w:ascii="Arial" w:cs="Arial" w:eastAsia="Arial" w:hAnsi="Arial"/>
                <w:sz w:val="18"/>
                <w:szCs w:val="18"/>
                <w:color w:val="auto"/>
              </w:rPr>
              <w:t>Non-interest bearing cash</w:t>
            </w:r>
          </w:p>
        </w:tc>
        <w:tc>
          <w:tcPr>
            <w:tcW w:w="3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receivable</w:t>
            </w:r>
          </w:p>
        </w:tc>
        <w:tc>
          <w:tcPr>
            <w:tcW w:w="3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40" w:type="dxa"/>
            <w:vAlign w:val="bottom"/>
            <w:gridSpan w:val="2"/>
          </w:tcPr>
          <w:p>
            <w:pPr>
              <w:ind w:left="440"/>
              <w:spacing w:after="0"/>
              <w:rPr>
                <w:sz w:val="20"/>
                <w:szCs w:val="20"/>
                <w:color w:val="auto"/>
              </w:rPr>
            </w:pPr>
            <w:r>
              <w:rPr>
                <w:rFonts w:ascii="Arial" w:cs="Arial" w:eastAsia="Arial" w:hAnsi="Arial"/>
                <w:sz w:val="18"/>
                <w:szCs w:val="18"/>
                <w:color w:val="auto"/>
              </w:rPr>
              <w:t>Other liabilities</w:t>
            </w:r>
          </w:p>
        </w:tc>
        <w:tc>
          <w:tcPr>
            <w:tcW w:w="3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Receivable participant contributions</w:t>
            </w:r>
          </w:p>
        </w:tc>
        <w:tc>
          <w:tcPr>
            <w:tcW w:w="3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40" w:type="dxa"/>
            <w:vAlign w:val="bottom"/>
            <w:gridSpan w:val="2"/>
          </w:tcPr>
          <w:p>
            <w:pPr>
              <w:ind w:left="440"/>
              <w:spacing w:after="0"/>
              <w:rPr>
                <w:sz w:val="20"/>
                <w:szCs w:val="20"/>
                <w:color w:val="auto"/>
              </w:rPr>
            </w:pPr>
            <w:r>
              <w:rPr>
                <w:rFonts w:ascii="Arial" w:cs="Arial" w:eastAsia="Arial" w:hAnsi="Arial"/>
                <w:sz w:val="18"/>
                <w:szCs w:val="18"/>
                <w:color w:val="auto"/>
              </w:rPr>
              <w:t>Receivable employer contributions</w:t>
            </w:r>
          </w:p>
        </w:tc>
        <w:tc>
          <w:tcPr>
            <w:tcW w:w="3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Benefit claims payable</w:t>
            </w:r>
          </w:p>
        </w:tc>
        <w:tc>
          <w:tcPr>
            <w:tcW w:w="3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40" w:type="dxa"/>
            <w:vAlign w:val="bottom"/>
            <w:gridSpan w:val="2"/>
          </w:tcPr>
          <w:p>
            <w:pPr>
              <w:ind w:left="440"/>
              <w:spacing w:after="0"/>
              <w:rPr>
                <w:sz w:val="20"/>
                <w:szCs w:val="20"/>
                <w:color w:val="auto"/>
              </w:rPr>
            </w:pPr>
            <w:r>
              <w:rPr>
                <w:rFonts w:ascii="Arial" w:cs="Arial" w:eastAsia="Arial" w:hAnsi="Arial"/>
                <w:sz w:val="18"/>
                <w:szCs w:val="18"/>
                <w:color w:val="auto"/>
              </w:rPr>
              <w:t>Operating payables</w:t>
            </w:r>
          </w:p>
        </w:tc>
        <w:tc>
          <w:tcPr>
            <w:tcW w:w="35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61,100</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Common collective trusts</w:t>
            </w:r>
          </w:p>
        </w:tc>
        <w:tc>
          <w:tcPr>
            <w:tcW w:w="35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Vanguard Target Income</w:t>
            </w:r>
          </w:p>
        </w:tc>
        <w:tc>
          <w:tcPr>
            <w:tcW w:w="35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141,809 units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40" w:type="dxa"/>
            <w:vAlign w:val="bottom"/>
            <w:gridSpan w:val="2"/>
          </w:tcPr>
          <w:p>
            <w:pPr>
              <w:ind w:left="440"/>
              <w:spacing w:after="0"/>
              <w:rPr>
                <w:sz w:val="20"/>
                <w:szCs w:val="20"/>
                <w:color w:val="auto"/>
              </w:rPr>
            </w:pPr>
            <w:r>
              <w:rPr>
                <w:rFonts w:ascii="Arial" w:cs="Arial" w:eastAsia="Arial" w:hAnsi="Arial"/>
                <w:sz w:val="18"/>
                <w:szCs w:val="18"/>
                <w:color w:val="auto"/>
              </w:rPr>
              <w:t>Vanguard Target 2010</w:t>
            </w:r>
          </w:p>
        </w:tc>
        <w:tc>
          <w:tcPr>
            <w:tcW w:w="350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696,276 units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13,041</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Vanguard Target 2015</w:t>
            </w:r>
          </w:p>
        </w:tc>
        <w:tc>
          <w:tcPr>
            <w:tcW w:w="35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2,089,534 units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37,382</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40" w:type="dxa"/>
            <w:vAlign w:val="bottom"/>
            <w:gridSpan w:val="2"/>
          </w:tcPr>
          <w:p>
            <w:pPr>
              <w:ind w:left="440"/>
              <w:spacing w:after="0"/>
              <w:rPr>
                <w:sz w:val="20"/>
                <w:szCs w:val="20"/>
                <w:color w:val="auto"/>
              </w:rPr>
            </w:pPr>
            <w:r>
              <w:rPr>
                <w:rFonts w:ascii="Arial" w:cs="Arial" w:eastAsia="Arial" w:hAnsi="Arial"/>
                <w:sz w:val="18"/>
                <w:szCs w:val="18"/>
                <w:color w:val="auto"/>
              </w:rPr>
              <w:t>Vanguard Target 2020</w:t>
            </w:r>
          </w:p>
        </w:tc>
        <w:tc>
          <w:tcPr>
            <w:tcW w:w="350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3,602,084 units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61,416</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Vanguard Target 2025</w:t>
            </w:r>
          </w:p>
        </w:tc>
        <w:tc>
          <w:tcPr>
            <w:tcW w:w="35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4,726,398 units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77,088</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40" w:type="dxa"/>
            <w:vAlign w:val="bottom"/>
            <w:gridSpan w:val="2"/>
          </w:tcPr>
          <w:p>
            <w:pPr>
              <w:ind w:left="440"/>
              <w:spacing w:after="0"/>
              <w:rPr>
                <w:sz w:val="20"/>
                <w:szCs w:val="20"/>
                <w:color w:val="auto"/>
              </w:rPr>
            </w:pPr>
            <w:r>
              <w:rPr>
                <w:rFonts w:ascii="Arial" w:cs="Arial" w:eastAsia="Arial" w:hAnsi="Arial"/>
                <w:sz w:val="18"/>
                <w:szCs w:val="18"/>
                <w:color w:val="auto"/>
              </w:rPr>
              <w:t>Vanguard Target 2030</w:t>
            </w:r>
          </w:p>
        </w:tc>
        <w:tc>
          <w:tcPr>
            <w:tcW w:w="350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4,643,883 units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72,259</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Vanguard Target 2035</w:t>
            </w:r>
          </w:p>
        </w:tc>
        <w:tc>
          <w:tcPr>
            <w:tcW w:w="35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4,561,123 units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69,329</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40" w:type="dxa"/>
            <w:vAlign w:val="bottom"/>
            <w:gridSpan w:val="2"/>
          </w:tcPr>
          <w:p>
            <w:pPr>
              <w:ind w:left="440"/>
              <w:spacing w:after="0"/>
              <w:rPr>
                <w:sz w:val="20"/>
                <w:szCs w:val="20"/>
                <w:color w:val="auto"/>
              </w:rPr>
            </w:pPr>
            <w:r>
              <w:rPr>
                <w:rFonts w:ascii="Arial" w:cs="Arial" w:eastAsia="Arial" w:hAnsi="Arial"/>
                <w:sz w:val="18"/>
                <w:szCs w:val="18"/>
                <w:color w:val="auto"/>
              </w:rPr>
              <w:t>Vanguard Target 2040</w:t>
            </w:r>
          </w:p>
        </w:tc>
        <w:tc>
          <w:tcPr>
            <w:tcW w:w="350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3,893,222 units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59,411</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Vanguard Target 2045</w:t>
            </w:r>
          </w:p>
        </w:tc>
        <w:tc>
          <w:tcPr>
            <w:tcW w:w="35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2,943,154 units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44,854</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40" w:type="dxa"/>
            <w:vAlign w:val="bottom"/>
            <w:gridSpan w:val="2"/>
          </w:tcPr>
          <w:p>
            <w:pPr>
              <w:ind w:left="440"/>
              <w:spacing w:after="0"/>
              <w:rPr>
                <w:sz w:val="20"/>
                <w:szCs w:val="20"/>
                <w:color w:val="auto"/>
              </w:rPr>
            </w:pPr>
            <w:r>
              <w:rPr>
                <w:rFonts w:ascii="Arial" w:cs="Arial" w:eastAsia="Arial" w:hAnsi="Arial"/>
                <w:sz w:val="18"/>
                <w:szCs w:val="18"/>
                <w:color w:val="auto"/>
              </w:rPr>
              <w:t>Vanguard Target 2050</w:t>
            </w:r>
          </w:p>
        </w:tc>
        <w:tc>
          <w:tcPr>
            <w:tcW w:w="350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1,420,466 units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21,776</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Mellon Aggregate Bond Index Fund</w:t>
            </w:r>
          </w:p>
        </w:tc>
        <w:tc>
          <w:tcPr>
            <w:tcW w:w="35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353,213 units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63,585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523,166</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Comcast Corporation Stock (at fair value)</w:t>
            </w:r>
          </w:p>
        </w:tc>
        <w:tc>
          <w:tcPr>
            <w:tcW w:w="3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40" w:type="dxa"/>
            <w:vAlign w:val="bottom"/>
            <w:gridSpan w:val="2"/>
          </w:tcPr>
          <w:p>
            <w:pPr>
              <w:ind w:left="440"/>
              <w:spacing w:after="0"/>
              <w:rPr>
                <w:sz w:val="20"/>
                <w:szCs w:val="20"/>
                <w:color w:val="auto"/>
              </w:rPr>
            </w:pPr>
            <w:r>
              <w:rPr>
                <w:rFonts w:ascii="Arial" w:cs="Arial" w:eastAsia="Arial" w:hAnsi="Arial"/>
                <w:sz w:val="18"/>
                <w:szCs w:val="18"/>
                <w:color w:val="auto"/>
              </w:rPr>
              <w:t>Class A Common Stock</w:t>
            </w:r>
          </w:p>
        </w:tc>
        <w:tc>
          <w:tcPr>
            <w:tcW w:w="350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9,958,144 shares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167,894</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Class A Special Common Stock</w:t>
            </w:r>
          </w:p>
        </w:tc>
        <w:tc>
          <w:tcPr>
            <w:tcW w:w="35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1,858,768 shares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197,653</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Comcast Stable Value Fund (at fair value)</w:t>
            </w:r>
          </w:p>
        </w:tc>
        <w:tc>
          <w:tcPr>
            <w:tcW w:w="3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40" w:type="dxa"/>
            <w:vAlign w:val="bottom"/>
            <w:gridSpan w:val="2"/>
          </w:tcPr>
          <w:p>
            <w:pPr>
              <w:ind w:left="440"/>
              <w:spacing w:after="0"/>
              <w:rPr>
                <w:sz w:val="20"/>
                <w:szCs w:val="20"/>
                <w:color w:val="auto"/>
              </w:rPr>
            </w:pPr>
            <w:r>
              <w:rPr>
                <w:rFonts w:ascii="Arial" w:cs="Arial" w:eastAsia="Arial" w:hAnsi="Arial"/>
                <w:sz w:val="18"/>
                <w:szCs w:val="18"/>
                <w:color w:val="auto"/>
              </w:rPr>
              <w:t>Fidelity Short Term Investment Fund; .26%</w:t>
            </w:r>
          </w:p>
        </w:tc>
        <w:tc>
          <w:tcPr>
            <w:tcW w:w="3500" w:type="dxa"/>
            <w:vAlign w:val="bottom"/>
          </w:tcPr>
          <w:p>
            <w:pPr>
              <w:spacing w:after="0"/>
              <w:rPr>
                <w:sz w:val="19"/>
                <w:szCs w:val="19"/>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22,703,737 units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22,705</w:t>
            </w:r>
          </w:p>
        </w:tc>
      </w:tr>
      <w:tr>
        <w:trPr>
          <w:trHeight w:val="35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00" w:type="dxa"/>
            <w:vAlign w:val="bottom"/>
          </w:tcPr>
          <w:p>
            <w:pPr>
              <w:jc w:val="right"/>
              <w:ind w:right="2512"/>
              <w:spacing w:after="0"/>
              <w:rPr>
                <w:sz w:val="20"/>
                <w:szCs w:val="20"/>
                <w:color w:val="auto"/>
              </w:rPr>
            </w:pPr>
            <w:r>
              <w:rPr>
                <w:rFonts w:ascii="Arial" w:cs="Arial" w:eastAsia="Arial" w:hAnsi="Arial"/>
                <w:sz w:val="18"/>
                <w:szCs w:val="18"/>
                <w:color w:val="auto"/>
              </w:rPr>
              <w:t>19</w:t>
            </w: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00" w:type="dxa"/>
            <w:vAlign w:val="bottom"/>
            <w:gridSpan w:val="3"/>
          </w:tcPr>
          <w:p>
            <w:pPr>
              <w:jc w:val="center"/>
              <w:ind w:right="492"/>
              <w:spacing w:after="0"/>
              <w:rPr>
                <w:sz w:val="20"/>
                <w:szCs w:val="20"/>
                <w:color w:val="auto"/>
              </w:rPr>
            </w:pPr>
            <w:r>
              <w:rPr>
                <w:rFonts w:ascii="Arial" w:cs="Arial" w:eastAsia="Arial" w:hAnsi="Arial"/>
                <w:sz w:val="14"/>
                <w:szCs w:val="14"/>
                <w:b w:val="1"/>
                <w:bCs w:val="1"/>
                <w:color w:val="auto"/>
                <w:w w:val="86"/>
              </w:rPr>
              <w:t>(c) Description of</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00" w:type="dxa"/>
            <w:vAlign w:val="bottom"/>
            <w:gridSpan w:val="3"/>
          </w:tcPr>
          <w:p>
            <w:pPr>
              <w:jc w:val="center"/>
              <w:ind w:right="492"/>
              <w:spacing w:after="0" w:line="149" w:lineRule="exact"/>
              <w:rPr>
                <w:sz w:val="20"/>
                <w:szCs w:val="20"/>
                <w:color w:val="auto"/>
              </w:rPr>
            </w:pPr>
            <w:r>
              <w:rPr>
                <w:rFonts w:ascii="Arial" w:cs="Arial" w:eastAsia="Arial" w:hAnsi="Arial"/>
                <w:sz w:val="14"/>
                <w:szCs w:val="14"/>
                <w:b w:val="1"/>
                <w:bCs w:val="1"/>
                <w:color w:val="auto"/>
                <w:w w:val="87"/>
              </w:rPr>
              <w:t>Investment,</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00" w:type="dxa"/>
            <w:vAlign w:val="bottom"/>
            <w:gridSpan w:val="3"/>
          </w:tcPr>
          <w:p>
            <w:pPr>
              <w:jc w:val="center"/>
              <w:ind w:right="472"/>
              <w:spacing w:after="0" w:line="149" w:lineRule="exact"/>
              <w:rPr>
                <w:sz w:val="20"/>
                <w:szCs w:val="20"/>
                <w:color w:val="auto"/>
              </w:rPr>
            </w:pPr>
            <w:r>
              <w:rPr>
                <w:rFonts w:ascii="Arial" w:cs="Arial" w:eastAsia="Arial" w:hAnsi="Arial"/>
                <w:sz w:val="14"/>
                <w:szCs w:val="14"/>
                <w:b w:val="1"/>
                <w:bCs w:val="1"/>
                <w:color w:val="auto"/>
                <w:w w:val="91"/>
              </w:rPr>
              <w:t>Including Maturity Date,</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00" w:type="dxa"/>
            <w:vAlign w:val="bottom"/>
            <w:gridSpan w:val="3"/>
          </w:tcPr>
          <w:p>
            <w:pPr>
              <w:jc w:val="center"/>
              <w:ind w:right="512"/>
              <w:spacing w:after="0" w:line="149" w:lineRule="exact"/>
              <w:rPr>
                <w:sz w:val="20"/>
                <w:szCs w:val="20"/>
                <w:color w:val="auto"/>
              </w:rPr>
            </w:pPr>
            <w:r>
              <w:rPr>
                <w:rFonts w:ascii="Arial" w:cs="Arial" w:eastAsia="Arial" w:hAnsi="Arial"/>
                <w:sz w:val="14"/>
                <w:szCs w:val="14"/>
                <w:b w:val="1"/>
                <w:bCs w:val="1"/>
                <w:color w:val="auto"/>
                <w:w w:val="88"/>
              </w:rPr>
              <w:t>Rate of Interest,</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00" w:type="dxa"/>
            <w:vAlign w:val="bottom"/>
            <w:gridSpan w:val="3"/>
          </w:tcPr>
          <w:p>
            <w:pPr>
              <w:jc w:val="center"/>
              <w:ind w:right="472"/>
              <w:spacing w:after="0" w:line="149" w:lineRule="exact"/>
              <w:rPr>
                <w:sz w:val="20"/>
                <w:szCs w:val="20"/>
                <w:color w:val="auto"/>
              </w:rPr>
            </w:pPr>
            <w:r>
              <w:rPr>
                <w:rFonts w:ascii="Arial" w:cs="Arial" w:eastAsia="Arial" w:hAnsi="Arial"/>
                <w:sz w:val="14"/>
                <w:szCs w:val="14"/>
                <w:b w:val="1"/>
                <w:bCs w:val="1"/>
                <w:color w:val="auto"/>
                <w:w w:val="91"/>
              </w:rPr>
              <w:t>Collateral,</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00" w:type="dxa"/>
            <w:vAlign w:val="bottom"/>
            <w:gridSpan w:val="3"/>
          </w:tcPr>
          <w:p>
            <w:pPr>
              <w:jc w:val="center"/>
              <w:ind w:right="472"/>
              <w:spacing w:after="0" w:line="149" w:lineRule="exact"/>
              <w:rPr>
                <w:sz w:val="20"/>
                <w:szCs w:val="20"/>
                <w:color w:val="auto"/>
              </w:rPr>
            </w:pPr>
            <w:r>
              <w:rPr>
                <w:rFonts w:ascii="Arial" w:cs="Arial" w:eastAsia="Arial" w:hAnsi="Arial"/>
                <w:sz w:val="14"/>
                <w:szCs w:val="14"/>
                <w:b w:val="1"/>
                <w:bCs w:val="1"/>
                <w:color w:val="auto"/>
                <w:w w:val="85"/>
              </w:rPr>
              <w:t>Par, or</w:t>
            </w: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(e) Current</w:t>
            </w:r>
          </w:p>
        </w:tc>
      </w:tr>
      <w:tr>
        <w:trPr>
          <w:trHeight w:val="161"/>
        </w:trPr>
        <w:tc>
          <w:tcPr>
            <w:tcW w:w="180" w:type="dxa"/>
            <w:vAlign w:val="bottom"/>
          </w:tcPr>
          <w:p>
            <w:pPr>
              <w:spacing w:after="0"/>
              <w:rPr>
                <w:sz w:val="20"/>
                <w:szCs w:val="20"/>
                <w:color w:val="auto"/>
              </w:rPr>
            </w:pPr>
            <w:r>
              <w:rPr>
                <w:rFonts w:ascii="Arial" w:cs="Arial" w:eastAsia="Arial" w:hAnsi="Arial"/>
                <w:sz w:val="14"/>
                <w:szCs w:val="14"/>
                <w:b w:val="1"/>
                <w:bCs w:val="1"/>
                <w:color w:val="auto"/>
                <w:w w:val="93"/>
              </w:rPr>
              <w:t>(a)</w:t>
            </w:r>
          </w:p>
        </w:tc>
        <w:tc>
          <w:tcPr>
            <w:tcW w:w="400" w:type="dxa"/>
            <w:vAlign w:val="bottom"/>
          </w:tcPr>
          <w:p>
            <w:pPr>
              <w:spacing w:after="0"/>
              <w:rPr>
                <w:sz w:val="14"/>
                <w:szCs w:val="14"/>
                <w:color w:val="auto"/>
              </w:rPr>
            </w:pPr>
          </w:p>
        </w:tc>
        <w:tc>
          <w:tcPr>
            <w:tcW w:w="8020" w:type="dxa"/>
            <w:vAlign w:val="bottom"/>
            <w:gridSpan w:val="3"/>
          </w:tcPr>
          <w:p>
            <w:pPr>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2000" w:type="dxa"/>
            <w:vAlign w:val="bottom"/>
            <w:gridSpan w:val="3"/>
          </w:tcPr>
          <w:p>
            <w:pPr>
              <w:jc w:val="center"/>
              <w:ind w:right="492"/>
              <w:spacing w:after="0"/>
              <w:rPr>
                <w:sz w:val="20"/>
                <w:szCs w:val="20"/>
                <w:color w:val="auto"/>
              </w:rPr>
            </w:pPr>
            <w:r>
              <w:rPr>
                <w:rFonts w:ascii="Arial" w:cs="Arial" w:eastAsia="Arial" w:hAnsi="Arial"/>
                <w:sz w:val="14"/>
                <w:szCs w:val="14"/>
                <w:b w:val="1"/>
                <w:bCs w:val="1"/>
                <w:color w:val="auto"/>
                <w:w w:val="91"/>
              </w:rPr>
              <w:t>Maturity Value</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Value</w:t>
            </w:r>
          </w:p>
        </w:tc>
      </w:tr>
      <w:tr>
        <w:trPr>
          <w:trHeight w:val="142"/>
        </w:trPr>
        <w:tc>
          <w:tcPr>
            <w:tcW w:w="1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40" w:type="dxa"/>
            <w:vAlign w:val="bottom"/>
            <w:tcBorders>
              <w:top w:val="single" w:sz="8" w:color="auto"/>
            </w:tcBorders>
          </w:tcPr>
          <w:p>
            <w:pPr>
              <w:spacing w:after="0"/>
              <w:rPr>
                <w:sz w:val="12"/>
                <w:szCs w:val="12"/>
                <w:color w:val="auto"/>
              </w:rPr>
            </w:pPr>
          </w:p>
        </w:tc>
        <w:tc>
          <w:tcPr>
            <w:tcW w:w="460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20" w:type="dxa"/>
            <w:vAlign w:val="bottom"/>
          </w:tcPr>
          <w:p>
            <w:pPr>
              <w:spacing w:after="0"/>
              <w:rPr>
                <w:sz w:val="12"/>
                <w:szCs w:val="12"/>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Security-Backed Investment Contracts:</w:t>
            </w: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20" w:type="dxa"/>
            <w:vAlign w:val="bottom"/>
            <w:gridSpan w:val="3"/>
          </w:tcPr>
          <w:p>
            <w:pPr>
              <w:ind w:left="440"/>
              <w:spacing w:after="0"/>
              <w:rPr>
                <w:sz w:val="20"/>
                <w:szCs w:val="20"/>
                <w:color w:val="auto"/>
              </w:rPr>
            </w:pPr>
            <w:r>
              <w:rPr>
                <w:rFonts w:ascii="Arial" w:cs="Arial" w:eastAsia="Arial" w:hAnsi="Arial"/>
                <w:sz w:val="18"/>
                <w:szCs w:val="18"/>
                <w:color w:val="auto"/>
              </w:rPr>
              <w:t>Natixis; 2.30%</w:t>
            </w:r>
          </w:p>
        </w:tc>
        <w:tc>
          <w:tcPr>
            <w:tcW w:w="2000" w:type="dxa"/>
            <w:vAlign w:val="bottom"/>
            <w:gridSpan w:val="3"/>
          </w:tcPr>
          <w:p>
            <w:pPr>
              <w:jc w:val="right"/>
              <w:ind w:right="472"/>
              <w:spacing w:after="0"/>
              <w:rPr>
                <w:sz w:val="20"/>
                <w:szCs w:val="20"/>
                <w:color w:val="auto"/>
              </w:rPr>
            </w:pPr>
            <w:r>
              <w:rPr>
                <w:rFonts w:ascii="Arial" w:cs="Arial" w:eastAsia="Arial" w:hAnsi="Arial"/>
                <w:sz w:val="18"/>
                <w:szCs w:val="18"/>
                <w:color w:val="auto"/>
              </w:rPr>
              <w:t>141,240,810 units</w:t>
            </w:r>
          </w:p>
        </w:tc>
        <w:tc>
          <w:tcPr>
            <w:tcW w:w="820" w:type="dxa"/>
            <w:vAlign w:val="bottom"/>
          </w:tcPr>
          <w:p>
            <w:pPr>
              <w:jc w:val="right"/>
              <w:spacing w:after="0"/>
              <w:rPr>
                <w:sz w:val="20"/>
                <w:szCs w:val="20"/>
                <w:color w:val="auto"/>
              </w:rPr>
            </w:pPr>
            <w:r>
              <w:rPr>
                <w:rFonts w:ascii="Arial" w:cs="Arial" w:eastAsia="Arial" w:hAnsi="Arial"/>
                <w:sz w:val="18"/>
                <w:szCs w:val="18"/>
                <w:color w:val="auto"/>
              </w:rPr>
              <w:t>142,299</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JP Morgan Chase; 2.35%</w:t>
            </w:r>
          </w:p>
        </w:tc>
        <w:tc>
          <w:tcPr>
            <w:tcW w:w="200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191,625,088 units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192,684</w:t>
            </w:r>
          </w:p>
        </w:tc>
        <w:tc>
          <w:tcPr>
            <w:tcW w:w="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20" w:type="dxa"/>
            <w:vAlign w:val="bottom"/>
            <w:gridSpan w:val="3"/>
          </w:tcPr>
          <w:p>
            <w:pPr>
              <w:ind w:left="440"/>
              <w:spacing w:after="0"/>
              <w:rPr>
                <w:sz w:val="20"/>
                <w:szCs w:val="20"/>
                <w:color w:val="auto"/>
              </w:rPr>
            </w:pPr>
            <w:r>
              <w:rPr>
                <w:rFonts w:ascii="Arial" w:cs="Arial" w:eastAsia="Arial" w:hAnsi="Arial"/>
                <w:sz w:val="18"/>
                <w:szCs w:val="18"/>
                <w:color w:val="auto"/>
              </w:rPr>
              <w:t>AIG Financial Products Corp; 2.41%</w:t>
            </w:r>
          </w:p>
        </w:tc>
        <w:tc>
          <w:tcPr>
            <w:tcW w:w="2000" w:type="dxa"/>
            <w:vAlign w:val="bottom"/>
            <w:gridSpan w:val="3"/>
          </w:tcPr>
          <w:p>
            <w:pPr>
              <w:jc w:val="right"/>
              <w:ind w:right="472"/>
              <w:spacing w:after="0"/>
              <w:rPr>
                <w:sz w:val="20"/>
                <w:szCs w:val="20"/>
                <w:color w:val="auto"/>
              </w:rPr>
            </w:pPr>
            <w:r>
              <w:rPr>
                <w:rFonts w:ascii="Arial" w:cs="Arial" w:eastAsia="Arial" w:hAnsi="Arial"/>
                <w:sz w:val="18"/>
                <w:szCs w:val="18"/>
                <w:color w:val="auto"/>
              </w:rPr>
              <w:t>90,866,242 units</w:t>
            </w:r>
          </w:p>
        </w:tc>
        <w:tc>
          <w:tcPr>
            <w:tcW w:w="820" w:type="dxa"/>
            <w:vAlign w:val="bottom"/>
          </w:tcPr>
          <w:p>
            <w:pPr>
              <w:jc w:val="right"/>
              <w:spacing w:after="0"/>
              <w:rPr>
                <w:sz w:val="20"/>
                <w:szCs w:val="20"/>
                <w:color w:val="auto"/>
              </w:rPr>
            </w:pPr>
            <w:r>
              <w:rPr>
                <w:rFonts w:ascii="Arial" w:cs="Arial" w:eastAsia="Arial" w:hAnsi="Arial"/>
                <w:sz w:val="18"/>
                <w:szCs w:val="18"/>
                <w:color w:val="auto"/>
              </w:rPr>
              <w:t>91,925</w:t>
            </w:r>
          </w:p>
        </w:tc>
        <w:tc>
          <w:tcPr>
            <w:tcW w:w="2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State Street Bank and Trust Company Boston; 2.42%</w:t>
            </w:r>
          </w:p>
        </w:tc>
        <w:tc>
          <w:tcPr>
            <w:tcW w:w="1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141,250,529 units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142,309</w:t>
            </w:r>
          </w:p>
        </w:tc>
        <w:tc>
          <w:tcPr>
            <w:tcW w:w="2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569,217</w:t>
            </w: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591,922</w:t>
            </w:r>
          </w:p>
        </w:tc>
        <w:tc>
          <w:tcPr>
            <w:tcW w:w="20" w:type="dxa"/>
            <w:vAlign w:val="bottom"/>
          </w:tcPr>
          <w:p>
            <w:pPr>
              <w:spacing w:after="0"/>
              <w:rPr>
                <w:sz w:val="18"/>
                <w:szCs w:val="18"/>
                <w:color w:val="auto"/>
              </w:rPr>
            </w:pPr>
          </w:p>
        </w:tc>
      </w:tr>
      <w:tr>
        <w:trPr>
          <w:trHeight w:val="215"/>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w w:val="95"/>
              </w:rPr>
              <w:t>Participant Loan Fund (outstanding balances which approximates fair value) (interest rates from 4.25% to</w:t>
            </w: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20" w:type="dxa"/>
            <w:vAlign w:val="bottom"/>
            <w:gridSpan w:val="3"/>
          </w:tcPr>
          <w:p>
            <w:pPr>
              <w:ind w:left="220"/>
              <w:spacing w:after="0"/>
              <w:rPr>
                <w:sz w:val="20"/>
                <w:szCs w:val="20"/>
                <w:color w:val="auto"/>
              </w:rPr>
            </w:pPr>
            <w:r>
              <w:rPr>
                <w:rFonts w:ascii="Arial" w:cs="Arial" w:eastAsia="Arial" w:hAnsi="Arial"/>
                <w:sz w:val="18"/>
                <w:szCs w:val="18"/>
                <w:color w:val="auto"/>
              </w:rPr>
              <w:t>10.5%; maturities from 2010 to 2018)</w:t>
            </w:r>
          </w:p>
        </w:tc>
        <w:tc>
          <w:tcPr>
            <w:tcW w:w="1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96,048</w:t>
            </w:r>
          </w:p>
        </w:tc>
        <w:tc>
          <w:tcPr>
            <w:tcW w:w="20" w:type="dxa"/>
            <w:vAlign w:val="bottom"/>
          </w:tcPr>
          <w:p>
            <w:pPr>
              <w:spacing w:after="0"/>
              <w:rPr>
                <w:sz w:val="20"/>
                <w:szCs w:val="20"/>
                <w:color w:val="auto"/>
              </w:rPr>
            </w:pPr>
          </w:p>
        </w:tc>
      </w:tr>
      <w:tr>
        <w:trPr>
          <w:trHeight w:val="216"/>
        </w:trPr>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2,766,193</w:t>
            </w:r>
          </w:p>
        </w:tc>
        <w:tc>
          <w:tcPr>
            <w:tcW w:w="2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4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 party-in-interest to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consent to the incorporation by reference in Registration Statement No. 333-101295 of Comcast Corporation on Form S-8 of our report dated June 28, 2010, relating to the statement of net assets available for benefits as of December 31, 2009, the related statement of changes in net assets available for benefits for the year then ended and the related supplemental Schedule H - Part IV, Line 4i - Schedule of Assets (Held at End of Year) as of December 31, 2009, which report appears in the December 31, 2009 Annual Report on Form 11-K of the Comcast Corporation Retirement-Investment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28, 2010</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80"/>
          </w:cols>
          <w:pgMar w:left="240" w:top="459" w:right="3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 No. 333-101295 of Comcast Corporation on Form S-8 of our report dated June 26, 2009, relating to the statement of net assets available for benefits as of December 31, 2008 and the related statement of changes in net assets available for benefits for the year ended December 31, 2008, which report appears in the December 31, 2009 Annual Report on Form 11-K of the Comcast Corporation Retirement-Investment Plan.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Mitchell &amp; Titus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28,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RETIREMENT-INVESTMENT PLAN</w:t>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Plan Administrator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28, 2010</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6985</wp:posOffset>
            </wp:positionV>
            <wp:extent cx="34734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J. Salva</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sectPr>
      <w:pgSz w:w="11900" w:h="16838" w:orient="portrait"/>
      <w:cols w:equalWidth="0" w:num="1">
        <w:col w:w="11240"/>
      </w:cols>
      <w:pgMar w:left="240" w:top="45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upperLetter"/>
      <w:start w:val="1"/>
    </w:lvl>
  </w:abstractNum>
  <w:abstractNum w:abstractNumId="3">
    <w:nsid w:val="79E2A9E3"/>
    <w:multiLevelType w:val="hybridMultilevel"/>
    <w:lvl w:ilvl="0">
      <w:lvlJc w:val="left"/>
      <w:lvlText w:val="%1."/>
      <w:numFmt w:val="upperLetter"/>
      <w:start w:val="2"/>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3"/>
    </w:lvl>
  </w:abstractNum>
  <w:abstractNum w:abstractNumId="7">
    <w:nsid w:val="12200854"/>
    <w:multiLevelType w:val="hybridMultilevel"/>
    <w:lvl w:ilvl="0">
      <w:lvlJc w:val="left"/>
      <w:lvlText w:val="%1."/>
      <w:numFmt w:val="decimal"/>
      <w:start w:val="4"/>
    </w:lvl>
    <w:lvl w:ilvl="1">
      <w:lvlJc w:val="left"/>
      <w:lvlText w:val="•"/>
      <w:numFmt w:val="bullet"/>
      <w:start w:val="1"/>
    </w:lvl>
  </w:abstractNum>
  <w:abstractNum w:abstractNumId="8">
    <w:nsid w:val="4DB127F8"/>
    <w:multiLevelType w:val="hybridMultilevel"/>
    <w:lvl w:ilvl="0">
      <w:lvlJc w:val="left"/>
      <w:lvlText w:val="%1."/>
      <w:numFmt w:val="decimal"/>
      <w:start w:val="5"/>
    </w:lvl>
  </w:abstractNum>
  <w:abstractNum w:abstractNumId="9">
    <w:nsid w:val="216231B"/>
    <w:multiLevelType w:val="hybridMultilevel"/>
    <w:lvl w:ilvl="0">
      <w:lvlJc w:val="left"/>
      <w:lvlText w:val="%1."/>
      <w:numFmt w:val="decimal"/>
      <w:start w:val="7"/>
    </w:lvl>
    <w:lvl w:ilvl="1">
      <w:lvlJc w:val="left"/>
      <w:lvlText w:val="%2."/>
      <w:numFmt w:val="lowerLetter"/>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2019-12-10T22:07:25Z</dcterms:created>
  <dcterms:modified xsi:type="dcterms:W3CDTF">2019-12-10T22:07:25Z</dcterms:modified>
</cp:coreProperties>
</file>