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5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35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186690</wp:posOffset>
            </wp:positionV>
            <wp:extent cx="1397635" cy="488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ind w:lef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Registrant; State of</w:t>
      </w:r>
    </w:p>
    <w:p>
      <w:pPr>
        <w:spacing w:after="0" w:line="15" w:lineRule="exact"/>
        <w:rPr>
          <w:sz w:val="24"/>
          <w:szCs w:val="24"/>
          <w:color w:val="auto"/>
        </w:rPr>
      </w:pPr>
    </w:p>
    <w:p>
      <w:pPr>
        <w:jc w:val="center"/>
        <w:ind w:right="860"/>
        <w:spacing w:after="0"/>
        <w:rPr>
          <w:sz w:val="20"/>
          <w:szCs w:val="20"/>
          <w:color w:val="auto"/>
        </w:rPr>
      </w:pPr>
      <w:r>
        <w:rPr>
          <w:rFonts w:ascii="Arial" w:cs="Arial" w:eastAsia="Arial" w:hAnsi="Arial"/>
          <w:sz w:val="15"/>
          <w:szCs w:val="15"/>
          <w:color w:val="auto"/>
        </w:rPr>
        <w:t>Incorporation; Address and Telephone</w:t>
      </w:r>
    </w:p>
    <w:p>
      <w:pPr>
        <w:spacing w:after="0" w:line="44"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spacing w:after="0"/>
        <w:rPr>
          <w:sz w:val="20"/>
          <w:szCs w:val="20"/>
          <w:color w:val="auto"/>
        </w:rPr>
      </w:pPr>
      <w:r>
        <w:rPr>
          <w:rFonts w:ascii="Arial" w:cs="Arial" w:eastAsia="Arial" w:hAnsi="Arial"/>
          <w:sz w:val="16"/>
          <w:szCs w:val="16"/>
          <w:color w:val="auto"/>
        </w:rPr>
        <w:t>I.R.S. Employer Identification No.</w:t>
      </w:r>
    </w:p>
    <w:p>
      <w:pPr>
        <w:spacing w:after="0" w:line="38" w:lineRule="exact"/>
        <w:rPr>
          <w:sz w:val="24"/>
          <w:szCs w:val="24"/>
          <w:color w:val="auto"/>
        </w:rPr>
      </w:pPr>
    </w:p>
    <w:p>
      <w:pPr>
        <w:sectPr>
          <w:pgSz w:w="11900" w:h="16838" w:orient="portrait"/>
          <w:cols w:equalWidth="0" w:num="3">
            <w:col w:w="3660" w:space="720"/>
            <w:col w:w="3560" w:space="720"/>
            <w:col w:w="2760"/>
          </w:cols>
          <w:pgMar w:left="240" w:top="230" w:right="239" w:bottom="1440" w:gutter="0" w:footer="0" w:header="0"/>
          <w:type w:val="continuous"/>
        </w:sectPr>
      </w:pPr>
    </w:p>
    <w:tbl>
      <w:tblPr>
        <w:tblLayout w:type="fixed"/>
        <w:tblInd w:w="0" w:type="dxa"/>
        <w:tblCellMar>
          <w:top w:w="0" w:type="dxa"/>
          <w:left w:w="0" w:type="dxa"/>
          <w:bottom w:w="0" w:type="dxa"/>
          <w:right w:w="0" w:type="dxa"/>
        </w:tblCellMar>
      </w:tblPr>
      <w:tr>
        <w:trPr>
          <w:trHeight w:val="158"/>
        </w:trPr>
        <w:tc>
          <w:tcPr>
            <w:tcW w:w="2680" w:type="dxa"/>
            <w:vAlign w:val="bottom"/>
            <w:tcBorders>
              <w:top w:val="single" w:sz="8" w:color="auto"/>
            </w:tcBorders>
            <w:vMerge w:val="restart"/>
          </w:tcPr>
          <w:p>
            <w:pPr>
              <w:jc w:val="right"/>
              <w:ind w:right="652"/>
              <w:spacing w:after="0"/>
              <w:rPr>
                <w:sz w:val="20"/>
                <w:szCs w:val="20"/>
                <w:color w:val="auto"/>
              </w:rPr>
            </w:pPr>
            <w:r>
              <w:rPr>
                <w:rFonts w:ascii="Arial" w:cs="Arial" w:eastAsia="Arial" w:hAnsi="Arial"/>
                <w:sz w:val="18"/>
                <w:szCs w:val="18"/>
                <w:b w:val="1"/>
                <w:bCs w:val="1"/>
                <w:color w:val="auto"/>
              </w:rPr>
              <w:t>001-32871</w:t>
            </w:r>
          </w:p>
        </w:tc>
        <w:tc>
          <w:tcPr>
            <w:tcW w:w="606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8"/>
                <w:szCs w:val="18"/>
                <w:b w:val="1"/>
                <w:bCs w:val="1"/>
                <w:color w:val="auto"/>
              </w:rPr>
              <w:t>COMCAST CORPORATION</w:t>
            </w:r>
          </w:p>
        </w:tc>
        <w:tc>
          <w:tcPr>
            <w:tcW w:w="2680" w:type="dxa"/>
            <w:vAlign w:val="bottom"/>
            <w:tcBorders>
              <w:top w:val="single" w:sz="8" w:color="auto"/>
            </w:tcBorders>
            <w:vMerge w:val="restart"/>
          </w:tcPr>
          <w:p>
            <w:pPr>
              <w:jc w:val="right"/>
              <w:ind w:right="1032"/>
              <w:spacing w:after="0"/>
              <w:rPr>
                <w:sz w:val="20"/>
                <w:szCs w:val="20"/>
                <w:color w:val="auto"/>
              </w:rPr>
            </w:pPr>
            <w:r>
              <w:rPr>
                <w:rFonts w:ascii="Arial" w:cs="Arial" w:eastAsia="Arial" w:hAnsi="Arial"/>
                <w:sz w:val="18"/>
                <w:szCs w:val="18"/>
                <w:b w:val="1"/>
                <w:bCs w:val="1"/>
                <w:color w:val="auto"/>
              </w:rPr>
              <w:t>27-0000798</w:t>
            </w:r>
          </w:p>
        </w:tc>
        <w:tc>
          <w:tcPr>
            <w:tcW w:w="0" w:type="dxa"/>
            <w:vAlign w:val="bottom"/>
          </w:tcPr>
          <w:p>
            <w:pPr>
              <w:spacing w:after="0"/>
              <w:rPr>
                <w:sz w:val="1"/>
                <w:szCs w:val="1"/>
                <w:color w:val="auto"/>
              </w:rPr>
            </w:pPr>
          </w:p>
        </w:tc>
      </w:tr>
      <w:tr>
        <w:trPr>
          <w:trHeight w:val="71"/>
        </w:trPr>
        <w:tc>
          <w:tcPr>
            <w:tcW w:w="2680" w:type="dxa"/>
            <w:vAlign w:val="bottom"/>
            <w:vMerge w:val="continue"/>
          </w:tcPr>
          <w:p>
            <w:pPr>
              <w:spacing w:after="0"/>
              <w:rPr>
                <w:sz w:val="6"/>
                <w:szCs w:val="6"/>
                <w:color w:val="auto"/>
              </w:rPr>
            </w:pPr>
          </w:p>
        </w:tc>
        <w:tc>
          <w:tcPr>
            <w:tcW w:w="6060" w:type="dxa"/>
            <w:vAlign w:val="bottom"/>
          </w:tcPr>
          <w:p>
            <w:pPr>
              <w:spacing w:after="0"/>
              <w:rPr>
                <w:sz w:val="6"/>
                <w:szCs w:val="6"/>
                <w:color w:val="auto"/>
              </w:rPr>
            </w:pPr>
          </w:p>
        </w:tc>
        <w:tc>
          <w:tcPr>
            <w:tcW w:w="2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3"/>
        </w:trPr>
        <w:tc>
          <w:tcPr>
            <w:tcW w:w="268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w w:val="96"/>
              </w:rPr>
              <w:t>PENNSYLVANIA</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w w:val="88"/>
              </w:rPr>
              <w:t>One Comcast Center</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w w:val="88"/>
              </w:rPr>
              <w:t>Philadelphia, PA 19103-2838</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680" w:type="dxa"/>
            <w:vAlign w:val="bottom"/>
          </w:tcPr>
          <w:p>
            <w:pPr>
              <w:spacing w:after="0"/>
              <w:rPr>
                <w:sz w:val="19"/>
                <w:szCs w:val="19"/>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w w:val="89"/>
              </w:rPr>
              <w:t>(215) 286-1700</w:t>
            </w: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680" w:type="dxa"/>
            <w:vAlign w:val="bottom"/>
            <w:vMerge w:val="restart"/>
          </w:tcPr>
          <w:p>
            <w:pPr>
              <w:jc w:val="right"/>
              <w:ind w:right="652"/>
              <w:spacing w:after="0"/>
              <w:rPr>
                <w:sz w:val="20"/>
                <w:szCs w:val="20"/>
                <w:color w:val="auto"/>
              </w:rPr>
            </w:pPr>
            <w:r>
              <w:rPr>
                <w:rFonts w:ascii="Arial" w:cs="Arial" w:eastAsia="Arial" w:hAnsi="Arial"/>
                <w:sz w:val="18"/>
                <w:szCs w:val="18"/>
                <w:b w:val="1"/>
                <w:bCs w:val="1"/>
                <w:color w:val="auto"/>
              </w:rPr>
              <w:t>001-36438</w:t>
            </w:r>
          </w:p>
        </w:tc>
        <w:tc>
          <w:tcPr>
            <w:tcW w:w="6060" w:type="dxa"/>
            <w:vAlign w:val="bottom"/>
          </w:tcPr>
          <w:p>
            <w:pPr>
              <w:jc w:val="center"/>
              <w:spacing w:after="0" w:line="286" w:lineRule="exact"/>
              <w:rPr>
                <w:sz w:val="20"/>
                <w:szCs w:val="20"/>
                <w:color w:val="auto"/>
              </w:rPr>
            </w:pPr>
            <w:r>
              <w:rPr>
                <w:rFonts w:ascii="Arial" w:cs="Arial" w:eastAsia="Arial" w:hAnsi="Arial"/>
                <w:sz w:val="32"/>
                <w:szCs w:val="32"/>
                <w:b w:val="1"/>
                <w:bCs w:val="1"/>
                <w:color w:val="auto"/>
              </w:rPr>
              <w:t>NBCUNIVERSAL MEDIA, LLC</w:t>
            </w:r>
          </w:p>
        </w:tc>
        <w:tc>
          <w:tcPr>
            <w:tcW w:w="2680" w:type="dxa"/>
            <w:vAlign w:val="bottom"/>
            <w:vMerge w:val="restart"/>
          </w:tcPr>
          <w:p>
            <w:pPr>
              <w:jc w:val="right"/>
              <w:ind w:right="1032"/>
              <w:spacing w:after="0"/>
              <w:rPr>
                <w:sz w:val="20"/>
                <w:szCs w:val="20"/>
                <w:color w:val="auto"/>
              </w:rPr>
            </w:pPr>
            <w:r>
              <w:rPr>
                <w:rFonts w:ascii="Arial" w:cs="Arial" w:eastAsia="Arial" w:hAnsi="Arial"/>
                <w:sz w:val="18"/>
                <w:szCs w:val="18"/>
                <w:b w:val="1"/>
                <w:bCs w:val="1"/>
                <w:color w:val="auto"/>
              </w:rPr>
              <w:t>14-1682529</w:t>
            </w:r>
          </w:p>
        </w:tc>
        <w:tc>
          <w:tcPr>
            <w:tcW w:w="0" w:type="dxa"/>
            <w:vAlign w:val="bottom"/>
          </w:tcPr>
          <w:p>
            <w:pPr>
              <w:spacing w:after="0"/>
              <w:rPr>
                <w:sz w:val="1"/>
                <w:szCs w:val="1"/>
                <w:color w:val="auto"/>
              </w:rPr>
            </w:pPr>
          </w:p>
        </w:tc>
      </w:tr>
      <w:tr>
        <w:trPr>
          <w:trHeight w:val="52"/>
        </w:trPr>
        <w:tc>
          <w:tcPr>
            <w:tcW w:w="2680" w:type="dxa"/>
            <w:vAlign w:val="bottom"/>
            <w:vMerge w:val="continue"/>
          </w:tcPr>
          <w:p>
            <w:pPr>
              <w:spacing w:after="0"/>
              <w:rPr>
                <w:sz w:val="4"/>
                <w:szCs w:val="4"/>
                <w:color w:val="auto"/>
              </w:rPr>
            </w:pPr>
          </w:p>
        </w:tc>
        <w:tc>
          <w:tcPr>
            <w:tcW w:w="6060" w:type="dxa"/>
            <w:vAlign w:val="bottom"/>
          </w:tcPr>
          <w:p>
            <w:pPr>
              <w:spacing w:after="0"/>
              <w:rPr>
                <w:sz w:val="4"/>
                <w:szCs w:val="4"/>
                <w:color w:val="auto"/>
              </w:rPr>
            </w:pPr>
          </w:p>
        </w:tc>
        <w:tc>
          <w:tcPr>
            <w:tcW w:w="2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 Rockefeller Plaza</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10112-0015</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664-4444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ectPr>
          <w:pgSz w:w="11900" w:h="16838" w:orient="portrait"/>
          <w:cols w:equalWidth="0" w:num="1">
            <w:col w:w="11420"/>
          </w:cols>
          <w:pgMar w:left="240" w:top="230" w:right="239" w:bottom="1440" w:gutter="0" w:footer="0" w:header="0"/>
          <w:type w:val="continuous"/>
        </w:sectPr>
      </w:pPr>
    </w:p>
    <w:p>
      <w:pPr>
        <w:spacing w:after="0" w:line="35"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3200"/>
        <w:spacing w:after="0"/>
        <w:rPr>
          <w:sz w:val="20"/>
          <w:szCs w:val="20"/>
          <w:color w:val="auto"/>
        </w:rPr>
      </w:pPr>
      <w:r>
        <w:rPr>
          <w:rFonts w:ascii="Arial" w:cs="Arial" w:eastAsia="Arial" w:hAnsi="Arial"/>
          <w:sz w:val="16"/>
          <w:szCs w:val="16"/>
          <w:color w:val="auto"/>
        </w:rPr>
        <w:t>NBCUniversal Media,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89"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6" w:lineRule="exact"/>
        <w:rPr>
          <w:sz w:val="24"/>
          <w:szCs w:val="24"/>
          <w:color w:val="auto"/>
        </w:rPr>
      </w:pPr>
    </w:p>
    <w:p>
      <w:pPr>
        <w:spacing w:after="0" w:line="207"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360" w:space="720"/>
            <w:col w:w="4340"/>
          </w:cols>
          <w:pgMar w:left="240" w:top="230" w:right="239" w:bottom="1440" w:gutter="0" w:footer="0" w:header="0"/>
          <w:type w:val="continuous"/>
        </w:sectPr>
      </w:pPr>
    </w:p>
    <w:p>
      <w:pPr>
        <w:spacing w:after="0" w:line="11"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ectPr>
          <w:pgSz w:w="11900" w:h="16838" w:orient="portrait"/>
          <w:cols w:equalWidth="0" w:num="1">
            <w:col w:w="11420"/>
          </w:cols>
          <w:pgMar w:left="240" w:top="230" w:right="239" w:bottom="1440" w:gutter="0" w:footer="0" w:header="0"/>
          <w:type w:val="continuous"/>
        </w:sectPr>
      </w:pPr>
    </w:p>
    <w:p>
      <w:pPr>
        <w:spacing w:after="0" w:line="35"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3200"/>
        <w:spacing w:after="0"/>
        <w:rPr>
          <w:sz w:val="20"/>
          <w:szCs w:val="20"/>
          <w:color w:val="auto"/>
        </w:rPr>
      </w:pPr>
      <w:r>
        <w:rPr>
          <w:rFonts w:ascii="Arial" w:cs="Arial" w:eastAsia="Arial" w:hAnsi="Arial"/>
          <w:sz w:val="16"/>
          <w:szCs w:val="16"/>
          <w:color w:val="auto"/>
        </w:rPr>
        <w:t>NBCUniversal Media, LLC</w:t>
      </w:r>
    </w:p>
    <w:p>
      <w:pPr>
        <w:spacing w:after="0" w:line="20" w:lineRule="exact"/>
        <w:rPr>
          <w:sz w:val="24"/>
          <w:szCs w:val="24"/>
          <w:color w:val="auto"/>
        </w:rPr>
      </w:pPr>
      <w:r>
        <w:rPr>
          <w:sz w:val="24"/>
          <w:szCs w:val="24"/>
          <w:color w:val="auto"/>
        </w:rPr>
        <w:br w:type="column"/>
      </w:r>
    </w:p>
    <w:p>
      <w:pPr>
        <w:spacing w:after="0" w:line="189"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6" w:lineRule="exact"/>
        <w:rPr>
          <w:sz w:val="24"/>
          <w:szCs w:val="24"/>
          <w:color w:val="auto"/>
        </w:rPr>
      </w:pPr>
    </w:p>
    <w:p>
      <w:pPr>
        <w:spacing w:after="0" w:line="207"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49" w:lineRule="exact"/>
        <w:rPr>
          <w:sz w:val="24"/>
          <w:szCs w:val="24"/>
          <w:color w:val="auto"/>
        </w:rPr>
      </w:pPr>
    </w:p>
    <w:p>
      <w:pPr>
        <w:sectPr>
          <w:pgSz w:w="11900" w:h="16838" w:orient="portrait"/>
          <w:cols w:equalWidth="0" w:num="2">
            <w:col w:w="6360" w:space="720"/>
            <w:col w:w="4340"/>
          </w:cols>
          <w:pgMar w:left="240" w:top="230" w:right="239" w:bottom="1440" w:gutter="0" w:footer="0" w:header="0"/>
          <w:type w:val="continuous"/>
        </w:sectPr>
      </w:pPr>
    </w:p>
    <w:p>
      <w:pPr>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33" w:lineRule="exact"/>
        <w:rPr>
          <w:sz w:val="24"/>
          <w:szCs w:val="24"/>
          <w:color w:val="auto"/>
        </w:rPr>
      </w:pPr>
    </w:p>
    <w:p>
      <w:pPr>
        <w:ind w:right="280"/>
        <w:spacing w:after="0" w:line="317" w:lineRule="auto"/>
        <w:rPr>
          <w:sz w:val="20"/>
          <w:szCs w:val="20"/>
          <w:color w:val="auto"/>
        </w:rPr>
      </w:pPr>
      <w:r>
        <w:rPr>
          <w:rFonts w:ascii="Arial" w:cs="Arial" w:eastAsia="Arial" w:hAnsi="Arial"/>
          <w:sz w:val="16"/>
          <w:szCs w:val="16"/>
          <w:color w:val="auto"/>
        </w:rPr>
        <w:t>Comcast Corporation NBCUniversal Media, LLC</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338" w:lineRule="auto"/>
        <w:rPr>
          <w:sz w:val="20"/>
          <w:szCs w:val="20"/>
          <w:color w:val="auto"/>
        </w:rPr>
      </w:pPr>
      <w:r>
        <w:rPr>
          <w:rFonts w:ascii="Arial" w:cs="Arial" w:eastAsia="Arial" w:hAnsi="Arial"/>
          <w:sz w:val="15"/>
          <w:szCs w:val="15"/>
          <w:color w:val="auto"/>
        </w:rPr>
        <w:t>Large accelerated filer Large accelerated filer</w:t>
      </w:r>
    </w:p>
    <w:p>
      <w:pPr>
        <w:spacing w:after="0" w:line="20" w:lineRule="exact"/>
        <w:rPr>
          <w:sz w:val="24"/>
          <w:szCs w:val="24"/>
          <w:color w:val="auto"/>
        </w:rPr>
      </w:pPr>
      <w:r>
        <w:rPr>
          <w:sz w:val="24"/>
          <w:szCs w:val="24"/>
          <w:color w:val="auto"/>
        </w:rPr>
        <w:br w:type="column"/>
      </w:r>
    </w:p>
    <w:p>
      <w:pPr>
        <w:jc w:val="both"/>
        <w:spacing w:after="0" w:line="22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p>
      <w:pPr>
        <w:spacing w:after="0" w:line="20" w:lineRule="exact"/>
        <w:rPr>
          <w:sz w:val="24"/>
          <w:szCs w:val="24"/>
          <w:color w:val="auto"/>
        </w:rPr>
      </w:pPr>
      <w:r>
        <w:rPr>
          <w:sz w:val="24"/>
          <w:szCs w:val="24"/>
          <w:color w:val="auto"/>
        </w:rPr>
        <w:br w:type="column"/>
      </w:r>
    </w:p>
    <w:p>
      <w:pPr>
        <w:jc w:val="both"/>
        <w:spacing w:after="0" w:line="22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w:t>
      </w:r>
    </w:p>
    <w:p>
      <w:pPr>
        <w:spacing w:after="0" w:line="20" w:lineRule="exact"/>
        <w:rPr>
          <w:sz w:val="24"/>
          <w:szCs w:val="24"/>
          <w:color w:val="auto"/>
        </w:rPr>
      </w:pPr>
      <w:r>
        <w:rPr>
          <w:sz w:val="24"/>
          <w:szCs w:val="24"/>
          <w:color w:val="auto"/>
        </w:rPr>
        <w:br w:type="column"/>
      </w:r>
    </w:p>
    <w:p>
      <w:pPr>
        <w:jc w:val="both"/>
        <w:spacing w:after="0" w:line="22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3" w:lineRule="exact"/>
        <w:rPr>
          <w:sz w:val="24"/>
          <w:szCs w:val="24"/>
          <w:color w:val="auto"/>
        </w:rPr>
      </w:pPr>
    </w:p>
    <w:p>
      <w:pPr>
        <w:sectPr>
          <w:pgSz w:w="11900" w:h="16838" w:orient="portrait"/>
          <w:cols w:equalWidth="0" w:num="6">
            <w:col w:w="2240" w:space="720"/>
            <w:col w:w="1580" w:space="300"/>
            <w:col w:w="1460" w:space="260"/>
            <w:col w:w="1760" w:space="320"/>
            <w:col w:w="2200" w:space="400"/>
            <w:col w:w="180"/>
          </w:cols>
          <w:pgMar w:left="240" w:top="230" w:right="239" w:bottom="1440" w:gutter="0" w:footer="0" w:header="0"/>
          <w:type w:val="continuous"/>
        </w:sect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w:t>
      </w:r>
    </w:p>
    <w:p>
      <w:pPr>
        <w:sectPr>
          <w:pgSz w:w="11900" w:h="16838" w:orient="portrait"/>
          <w:cols w:equalWidth="0" w:num="1">
            <w:col w:w="11420"/>
          </w:cols>
          <w:pgMar w:left="240" w:top="230" w:right="239" w:bottom="1440" w:gutter="0" w:footer="0" w:header="0"/>
          <w:type w:val="continuous"/>
        </w:sectPr>
      </w:pPr>
    </w:p>
    <w:p>
      <w:pPr>
        <w:spacing w:after="0" w:line="98"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3200"/>
        <w:spacing w:after="0"/>
        <w:rPr>
          <w:sz w:val="20"/>
          <w:szCs w:val="20"/>
          <w:color w:val="auto"/>
        </w:rPr>
      </w:pPr>
      <w:r>
        <w:rPr>
          <w:rFonts w:ascii="Arial" w:cs="Arial" w:eastAsia="Arial" w:hAnsi="Arial"/>
          <w:sz w:val="16"/>
          <w:szCs w:val="16"/>
          <w:color w:val="auto"/>
        </w:rPr>
        <w:t>NBCUniversal Media, LLC</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tabs>
          <w:tab w:leader="none" w:pos="5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15" w:lineRule="exact"/>
        <w:rPr>
          <w:sz w:val="24"/>
          <w:szCs w:val="24"/>
          <w:color w:val="auto"/>
        </w:rPr>
      </w:pPr>
    </w:p>
    <w:p>
      <w:pPr>
        <w:spacing w:after="0" w:line="207"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7" w:lineRule="exact"/>
        <w:rPr>
          <w:sz w:val="24"/>
          <w:szCs w:val="24"/>
          <w:color w:val="auto"/>
        </w:rPr>
      </w:pPr>
    </w:p>
    <w:p>
      <w:pPr>
        <w:sectPr>
          <w:pgSz w:w="11900" w:h="16838" w:orient="portrait"/>
          <w:cols w:equalWidth="0" w:num="2">
            <w:col w:w="6360" w:space="720"/>
            <w:col w:w="4340"/>
          </w:cols>
          <w:pgMar w:left="240" w:top="230"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stock, as of the latest practical date:</w:t>
      </w:r>
    </w:p>
    <w:p>
      <w:pPr>
        <w:spacing w:after="0" w:line="6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As of September 30, 2014, there were 2,150,368,818 shares of Comcast Corporation Class A common stock, 416,484,168 shares of Comcast Corporation Class A Special common stock and 9,444,375 shares of Comcast Corporation Class B common stock outstanding.</w:t>
      </w:r>
    </w:p>
    <w:p>
      <w:pPr>
        <w:spacing w:after="0" w:line="24" w:lineRule="exact"/>
        <w:rPr>
          <w:sz w:val="24"/>
          <w:szCs w:val="24"/>
          <w:color w:val="auto"/>
        </w:rPr>
      </w:pPr>
    </w:p>
    <w:p>
      <w:pPr>
        <w:spacing w:after="0"/>
        <w:rPr>
          <w:sz w:val="20"/>
          <w:szCs w:val="20"/>
          <w:color w:val="auto"/>
        </w:rPr>
      </w:pPr>
      <w:r>
        <w:rPr>
          <w:rFonts w:ascii="Arial" w:cs="Arial" w:eastAsia="Arial" w:hAnsi="Arial"/>
          <w:sz w:val="18"/>
          <w:szCs w:val="18"/>
          <w:color w:val="auto"/>
        </w:rPr>
        <w:t>Not applicable for NBCUniversal Media, LLC.</w:t>
      </w:r>
    </w:p>
    <w:p>
      <w:pPr>
        <w:spacing w:after="0" w:line="57" w:lineRule="exact"/>
        <w:rPr>
          <w:sz w:val="24"/>
          <w:szCs w:val="24"/>
          <w:color w:val="auto"/>
        </w:rPr>
      </w:pPr>
    </w:p>
    <w:p>
      <w:pPr>
        <w:spacing w:after="0" w:line="275" w:lineRule="auto"/>
        <w:rPr>
          <w:sz w:val="20"/>
          <w:szCs w:val="20"/>
          <w:color w:val="auto"/>
        </w:rPr>
      </w:pPr>
      <w:r>
        <w:rPr>
          <w:rFonts w:ascii="Arial" w:cs="Arial" w:eastAsia="Arial" w:hAnsi="Arial"/>
          <w:sz w:val="18"/>
          <w:szCs w:val="18"/>
          <w:b w:val="1"/>
          <w:bCs w:val="1"/>
          <w:color w:val="auto"/>
        </w:rPr>
        <w:t>NBCUniversal Media, LLC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60" w:type="dxa"/>
            <w:vAlign w:val="bottom"/>
          </w:tcPr>
          <w:p>
            <w:pPr>
              <w:jc w:val="right"/>
              <w:ind w:right="92"/>
              <w:spacing w:after="0" w:line="152" w:lineRule="exact"/>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40" w:type="dxa"/>
            <w:vAlign w:val="bottom"/>
            <w:gridSpan w:val="18"/>
          </w:tcPr>
          <w:p>
            <w:pPr>
              <w:spacing w:after="0" w:line="129" w:lineRule="exact"/>
              <w:rPr>
                <w:sz w:val="20"/>
                <w:szCs w:val="20"/>
                <w:color w:val="auto"/>
              </w:rPr>
            </w:pPr>
            <w:r>
              <w:rPr>
                <w:rFonts w:ascii="Arial" w:cs="Arial" w:eastAsia="Arial" w:hAnsi="Arial"/>
                <w:sz w:val="14"/>
                <w:szCs w:val="14"/>
                <w:b w:val="1"/>
                <w:bCs w:val="1"/>
                <w:color w:val="auto"/>
              </w:rPr>
              <w:t>PART I. FINANCIAL INFORMATION</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80" w:type="dxa"/>
            <w:vAlign w:val="bottom"/>
            <w:gridSpan w:val="2"/>
          </w:tcPr>
          <w:p>
            <w:pPr>
              <w:ind w:left="800"/>
              <w:spacing w:after="0" w:line="148" w:lineRule="exact"/>
              <w:rPr>
                <w:sz w:val="20"/>
                <w:szCs w:val="20"/>
                <w:color w:val="auto"/>
              </w:rPr>
            </w:pPr>
            <w:r>
              <w:rPr>
                <w:rFonts w:ascii="Arial" w:cs="Arial" w:eastAsia="Arial" w:hAnsi="Arial"/>
                <w:sz w:val="14"/>
                <w:szCs w:val="14"/>
                <w:b w:val="1"/>
                <w:bCs w:val="1"/>
                <w:color w:val="auto"/>
              </w:rPr>
              <w:t>Item 1.</w:t>
            </w:r>
          </w:p>
        </w:tc>
        <w:tc>
          <w:tcPr>
            <w:tcW w:w="8460" w:type="dxa"/>
            <w:vAlign w:val="bottom"/>
            <w:gridSpan w:val="16"/>
          </w:tcPr>
          <w:p>
            <w:pPr>
              <w:spacing w:after="0" w:line="148" w:lineRule="exact"/>
              <w:rPr>
                <w:rFonts w:ascii="Arial" w:cs="Arial" w:eastAsia="Arial" w:hAnsi="Arial"/>
                <w:sz w:val="14"/>
                <w:szCs w:val="14"/>
                <w:color w:val="0000EE"/>
              </w:rPr>
            </w:pPr>
            <w:hyperlink w:anchor="page3">
              <w:r>
                <w:rPr>
                  <w:rFonts w:ascii="Arial" w:cs="Arial" w:eastAsia="Arial" w:hAnsi="Arial"/>
                  <w:sz w:val="14"/>
                  <w:szCs w:val="14"/>
                  <w:color w:val="0000EE"/>
                </w:rPr>
                <w:t>Comcast Corporation Financial Statements</w:t>
              </w:r>
            </w:hyperlink>
          </w:p>
        </w:tc>
        <w:tc>
          <w:tcPr>
            <w:tcW w:w="1160" w:type="dxa"/>
            <w:vAlign w:val="bottom"/>
          </w:tcPr>
          <w:p>
            <w:pPr>
              <w:jc w:val="right"/>
              <w:spacing w:after="0" w:line="148"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320" w:type="dxa"/>
            <w:vAlign w:val="bottom"/>
            <w:tcBorders>
              <w:top w:val="single" w:sz="8" w:color="0000EE"/>
            </w:tcBorders>
            <w:gridSpan w:val="6"/>
          </w:tcPr>
          <w:p>
            <w:pPr>
              <w:spacing w:after="0" w:line="129" w:lineRule="exact"/>
              <w:rPr>
                <w:rFonts w:ascii="Arial" w:cs="Arial" w:eastAsia="Arial" w:hAnsi="Arial"/>
                <w:sz w:val="14"/>
                <w:szCs w:val="14"/>
                <w:color w:val="0000EE"/>
                <w:w w:val="84"/>
              </w:rPr>
            </w:pPr>
            <w:hyperlink w:anchor="page3">
              <w:r>
                <w:rPr>
                  <w:rFonts w:ascii="Arial" w:cs="Arial" w:eastAsia="Arial" w:hAnsi="Arial"/>
                  <w:sz w:val="14"/>
                  <w:szCs w:val="14"/>
                  <w:color w:val="0000EE"/>
                  <w:w w:val="84"/>
                </w:rPr>
                <w:t>Condensed Consolidated Balance Sheet as</w:t>
              </w:r>
            </w:hyperlink>
          </w:p>
        </w:tc>
        <w:tc>
          <w:tcPr>
            <w:tcW w:w="6140" w:type="dxa"/>
            <w:vAlign w:val="bottom"/>
            <w:gridSpan w:val="10"/>
          </w:tcPr>
          <w:p>
            <w:pPr>
              <w:spacing w:after="0" w:line="129" w:lineRule="exact"/>
              <w:rPr>
                <w:rFonts w:ascii="Arial" w:cs="Arial" w:eastAsia="Arial" w:hAnsi="Arial"/>
                <w:sz w:val="14"/>
                <w:szCs w:val="14"/>
                <w:color w:val="0000EE"/>
              </w:rPr>
            </w:pPr>
            <w:hyperlink w:anchor="page3">
              <w:r>
                <w:rPr>
                  <w:rFonts w:ascii="Arial" w:cs="Arial" w:eastAsia="Arial" w:hAnsi="Arial"/>
                  <w:sz w:val="14"/>
                  <w:szCs w:val="14"/>
                  <w:color w:val="0000EE"/>
                </w:rPr>
                <w:t>of September 30, 2014 and December 31, 2013 (Unaudited)</w:t>
              </w:r>
            </w:hyperlink>
          </w:p>
        </w:tc>
        <w:tc>
          <w:tcPr>
            <w:tcW w:w="116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60" w:type="dxa"/>
            <w:vAlign w:val="bottom"/>
            <w:gridSpan w:val="16"/>
          </w:tcPr>
          <w:p>
            <w:pPr>
              <w:spacing w:after="0" w:line="129" w:lineRule="exact"/>
              <w:rPr>
                <w:rFonts w:ascii="Arial" w:cs="Arial" w:eastAsia="Arial" w:hAnsi="Arial"/>
                <w:sz w:val="14"/>
                <w:szCs w:val="14"/>
                <w:color w:val="0000EE"/>
              </w:rPr>
            </w:pPr>
            <w:hyperlink w:anchor="page4">
              <w:r>
                <w:rPr>
                  <w:rFonts w:ascii="Arial" w:cs="Arial" w:eastAsia="Arial" w:hAnsi="Arial"/>
                  <w:sz w:val="14"/>
                  <w:szCs w:val="14"/>
                  <w:color w:val="0000EE"/>
                </w:rPr>
                <w:t>Condensed Consolidated Statement of Income for the Three and Nine Months Ended September 30, 2014 and 2013 (Unaudited)</w:t>
              </w:r>
            </w:hyperlink>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60" w:type="dxa"/>
            <w:vAlign w:val="bottom"/>
            <w:gridSpan w:val="16"/>
          </w:tcPr>
          <w:p>
            <w:pPr>
              <w:spacing w:after="0" w:line="129" w:lineRule="exact"/>
              <w:rPr>
                <w:rFonts w:ascii="Arial" w:cs="Arial" w:eastAsia="Arial" w:hAnsi="Arial"/>
                <w:sz w:val="14"/>
                <w:szCs w:val="14"/>
                <w:color w:val="0000EE"/>
                <w:w w:val="93"/>
              </w:rPr>
            </w:pPr>
            <w:hyperlink w:anchor="page5">
              <w:r>
                <w:rPr>
                  <w:rFonts w:ascii="Arial" w:cs="Arial" w:eastAsia="Arial" w:hAnsi="Arial"/>
                  <w:sz w:val="14"/>
                  <w:szCs w:val="14"/>
                  <w:color w:val="0000EE"/>
                  <w:w w:val="93"/>
                </w:rPr>
                <w:t>Condensed Consolidated Statement of Comprehensive Income for the Three and Nine Months Ended September 30, 2014 and 2013 (Unaudited)</w:t>
              </w:r>
            </w:hyperlink>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580" w:type="dxa"/>
            <w:vAlign w:val="bottom"/>
            <w:tcBorders>
              <w:top w:val="single" w:sz="8" w:color="0000EE"/>
              <w:bottom w:val="single" w:sz="8" w:color="0000EE"/>
            </w:tcBorders>
            <w:gridSpan w:val="12"/>
          </w:tcPr>
          <w:p>
            <w:pPr>
              <w:spacing w:after="0" w:line="129" w:lineRule="exact"/>
              <w:rPr>
                <w:rFonts w:ascii="Arial" w:cs="Arial" w:eastAsia="Arial" w:hAnsi="Arial"/>
                <w:sz w:val="14"/>
                <w:szCs w:val="14"/>
                <w:color w:val="0000EE"/>
                <w:w w:val="86"/>
              </w:rPr>
            </w:pPr>
            <w:hyperlink w:anchor="page6">
              <w:r>
                <w:rPr>
                  <w:rFonts w:ascii="Arial" w:cs="Arial" w:eastAsia="Arial" w:hAnsi="Arial"/>
                  <w:sz w:val="14"/>
                  <w:szCs w:val="14"/>
                  <w:color w:val="0000EE"/>
                  <w:w w:val="86"/>
                </w:rPr>
                <w:t>Condensed Consolidated Statement of Cash Flows for the Nine Months Ended September 30, 2014 and 2013 (Unaudited)</w:t>
              </w:r>
            </w:hyperlink>
          </w:p>
        </w:tc>
        <w:tc>
          <w:tcPr>
            <w:tcW w:w="1220" w:type="dxa"/>
            <w:vAlign w:val="bottom"/>
            <w:tcBorders>
              <w:top w:val="single" w:sz="8" w:color="0000EE"/>
            </w:tcBorders>
            <w:gridSpan w:val="3"/>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60" w:type="dxa"/>
            <w:vAlign w:val="bottom"/>
            <w:gridSpan w:val="16"/>
          </w:tcPr>
          <w:p>
            <w:pPr>
              <w:spacing w:after="0" w:line="129" w:lineRule="exact"/>
              <w:rPr>
                <w:rFonts w:ascii="Arial" w:cs="Arial" w:eastAsia="Arial" w:hAnsi="Arial"/>
                <w:sz w:val="14"/>
                <w:szCs w:val="14"/>
                <w:color w:val="0000EE"/>
              </w:rPr>
            </w:pPr>
            <w:hyperlink w:anchor="page7">
              <w:r>
                <w:rPr>
                  <w:rFonts w:ascii="Arial" w:cs="Arial" w:eastAsia="Arial" w:hAnsi="Arial"/>
                  <w:sz w:val="14"/>
                  <w:szCs w:val="14"/>
                  <w:color w:val="0000EE"/>
                </w:rPr>
                <w:t>Condensed Consolidated Statement of Changes in Equity for the Nine Months Ended September 30, 2014 and 2013 (Unaudited)</w:t>
              </w:r>
            </w:hyperlink>
          </w:p>
        </w:tc>
        <w:tc>
          <w:tcPr>
            <w:tcW w:w="1160" w:type="dxa"/>
            <w:vAlign w:val="bottom"/>
          </w:tcPr>
          <w:p>
            <w:pPr>
              <w:jc w:val="right"/>
              <w:spacing w:after="0" w:line="12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Item 2.</w:t>
            </w:r>
          </w:p>
        </w:tc>
        <w:tc>
          <w:tcPr>
            <w:tcW w:w="6940" w:type="dxa"/>
            <w:vAlign w:val="bottom"/>
            <w:tcBorders>
              <w:top w:val="single" w:sz="8" w:color="0000EE"/>
            </w:tcBorders>
            <w:gridSpan w:val="14"/>
          </w:tcPr>
          <w:p>
            <w:pPr>
              <w:spacing w:after="0" w:line="129" w:lineRule="exact"/>
              <w:rPr>
                <w:rFonts w:ascii="Arial" w:cs="Arial" w:eastAsia="Arial" w:hAnsi="Arial"/>
                <w:sz w:val="14"/>
                <w:szCs w:val="14"/>
                <w:color w:val="0000EE"/>
              </w:rPr>
            </w:pPr>
            <w:hyperlink w:anchor="page8">
              <w:r>
                <w:rPr>
                  <w:rFonts w:ascii="Arial" w:cs="Arial" w:eastAsia="Arial" w:hAnsi="Arial"/>
                  <w:sz w:val="14"/>
                  <w:szCs w:val="14"/>
                  <w:color w:val="0000EE"/>
                </w:rPr>
                <w:t>Notes to Condensed Consolidated Financial Statements (Unaudited)</w:t>
              </w:r>
            </w:hyperlink>
          </w:p>
        </w:tc>
        <w:tc>
          <w:tcPr>
            <w:tcW w:w="1520" w:type="dxa"/>
            <w:vAlign w:val="bottom"/>
            <w:gridSpan w:val="2"/>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3680" w:type="dxa"/>
            <w:vAlign w:val="bottom"/>
            <w:tcBorders>
              <w:top w:val="single" w:sz="8" w:color="0000EE"/>
            </w:tcBorders>
            <w:gridSpan w:val="9"/>
          </w:tcPr>
          <w:p>
            <w:pPr>
              <w:spacing w:after="0" w:line="129" w:lineRule="exact"/>
              <w:rPr>
                <w:rFonts w:ascii="Arial" w:cs="Arial" w:eastAsia="Arial" w:hAnsi="Arial"/>
                <w:sz w:val="14"/>
                <w:szCs w:val="14"/>
                <w:color w:val="0000EE"/>
                <w:w w:val="88"/>
              </w:rPr>
            </w:pPr>
            <w:hyperlink w:anchor="page30">
              <w:r>
                <w:rPr>
                  <w:rFonts w:ascii="Arial" w:cs="Arial" w:eastAsia="Arial" w:hAnsi="Arial"/>
                  <w:sz w:val="14"/>
                  <w:szCs w:val="14"/>
                  <w:color w:val="0000EE"/>
                  <w:w w:val="88"/>
                </w:rPr>
                <w:t>Management’s Discussion and Analysis of Financial Condition and</w:t>
              </w:r>
            </w:hyperlink>
          </w:p>
        </w:tc>
        <w:tc>
          <w:tcPr>
            <w:tcW w:w="4780" w:type="dxa"/>
            <w:vAlign w:val="bottom"/>
            <w:gridSpan w:val="7"/>
          </w:tcPr>
          <w:p>
            <w:pPr>
              <w:spacing w:after="0" w:line="129" w:lineRule="exact"/>
              <w:rPr>
                <w:rFonts w:ascii="Arial" w:cs="Arial" w:eastAsia="Arial" w:hAnsi="Arial"/>
                <w:sz w:val="14"/>
                <w:szCs w:val="14"/>
                <w:color w:val="0000EE"/>
              </w:rPr>
            </w:pPr>
            <w:hyperlink w:anchor="page30">
              <w:r>
                <w:rPr>
                  <w:rFonts w:ascii="Arial" w:cs="Arial" w:eastAsia="Arial" w:hAnsi="Arial"/>
                  <w:sz w:val="14"/>
                  <w:szCs w:val="14"/>
                  <w:color w:val="0000EE"/>
                </w:rPr>
                <w:t>Results of Operations</w:t>
              </w:r>
            </w:hyperlink>
          </w:p>
        </w:tc>
        <w:tc>
          <w:tcPr>
            <w:tcW w:w="1160" w:type="dxa"/>
            <w:vAlign w:val="bottom"/>
          </w:tcPr>
          <w:p>
            <w:pPr>
              <w:jc w:val="right"/>
              <w:spacing w:after="0" w:line="12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3.</w:t>
            </w:r>
          </w:p>
        </w:tc>
        <w:tc>
          <w:tcPr>
            <w:tcW w:w="4840" w:type="dxa"/>
            <w:vAlign w:val="bottom"/>
            <w:tcBorders>
              <w:top w:val="single" w:sz="8" w:color="0000EE"/>
            </w:tcBorders>
            <w:gridSpan w:val="10"/>
          </w:tcPr>
          <w:p>
            <w:pPr>
              <w:spacing w:after="0" w:line="129" w:lineRule="exact"/>
              <w:rPr>
                <w:rFonts w:ascii="Arial" w:cs="Arial" w:eastAsia="Arial" w:hAnsi="Arial"/>
                <w:sz w:val="14"/>
                <w:szCs w:val="14"/>
                <w:color w:val="0000EE"/>
              </w:rPr>
            </w:pPr>
            <w:hyperlink w:anchor="page46">
              <w:r>
                <w:rPr>
                  <w:rFonts w:ascii="Arial" w:cs="Arial" w:eastAsia="Arial" w:hAnsi="Arial"/>
                  <w:sz w:val="14"/>
                  <w:szCs w:val="14"/>
                  <w:color w:val="0000EE"/>
                </w:rPr>
                <w:t>Quantitative and Qualitative Disclosures About Market Risk</w:t>
              </w:r>
            </w:hyperlink>
          </w:p>
        </w:tc>
        <w:tc>
          <w:tcPr>
            <w:tcW w:w="3620" w:type="dxa"/>
            <w:vAlign w:val="bottom"/>
            <w:gridSpan w:val="6"/>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4.</w:t>
            </w:r>
          </w:p>
        </w:tc>
        <w:tc>
          <w:tcPr>
            <w:tcW w:w="1320" w:type="dxa"/>
            <w:vAlign w:val="bottom"/>
            <w:tcBorders>
              <w:top w:val="single" w:sz="8" w:color="0000EE"/>
              <w:bottom w:val="single" w:sz="8" w:color="0000EE"/>
            </w:tcBorders>
            <w:gridSpan w:val="5"/>
          </w:tcPr>
          <w:p>
            <w:pPr>
              <w:spacing w:after="0" w:line="129" w:lineRule="exact"/>
              <w:rPr>
                <w:rFonts w:ascii="Arial" w:cs="Arial" w:eastAsia="Arial" w:hAnsi="Arial"/>
                <w:sz w:val="14"/>
                <w:szCs w:val="14"/>
                <w:color w:val="0000EE"/>
                <w:w w:val="83"/>
              </w:rPr>
            </w:pPr>
            <w:hyperlink w:anchor="page46">
              <w:r>
                <w:rPr>
                  <w:rFonts w:ascii="Arial" w:cs="Arial" w:eastAsia="Arial" w:hAnsi="Arial"/>
                  <w:sz w:val="14"/>
                  <w:szCs w:val="14"/>
                  <w:color w:val="0000EE"/>
                  <w:w w:val="83"/>
                </w:rPr>
                <w:t>Controls and Procedures</w:t>
              </w:r>
            </w:hyperlink>
          </w:p>
        </w:tc>
        <w:tc>
          <w:tcPr>
            <w:tcW w:w="1960" w:type="dxa"/>
            <w:vAlign w:val="bottom"/>
            <w:tcBorders>
              <w:top w:val="single" w:sz="8" w:color="0000EE"/>
            </w:tcBorders>
            <w:gridSpan w:val="3"/>
          </w:tcPr>
          <w:p>
            <w:pPr>
              <w:spacing w:after="0"/>
              <w:rPr>
                <w:sz w:val="11"/>
                <w:szCs w:val="11"/>
                <w:color w:val="auto"/>
              </w:rPr>
            </w:pPr>
          </w:p>
        </w:tc>
        <w:tc>
          <w:tcPr>
            <w:tcW w:w="5180" w:type="dxa"/>
            <w:vAlign w:val="bottom"/>
            <w:gridSpan w:val="8"/>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29"/>
        </w:trPr>
        <w:tc>
          <w:tcPr>
            <w:tcW w:w="3120" w:type="dxa"/>
            <w:vAlign w:val="bottom"/>
            <w:gridSpan w:val="8"/>
          </w:tcPr>
          <w:p>
            <w:pPr>
              <w:spacing w:after="0" w:line="129" w:lineRule="exact"/>
              <w:rPr>
                <w:sz w:val="20"/>
                <w:szCs w:val="20"/>
                <w:color w:val="auto"/>
              </w:rPr>
            </w:pPr>
            <w:r>
              <w:rPr>
                <w:rFonts w:ascii="Arial" w:cs="Arial" w:eastAsia="Arial" w:hAnsi="Arial"/>
                <w:sz w:val="14"/>
                <w:szCs w:val="14"/>
                <w:b w:val="1"/>
                <w:bCs w:val="1"/>
                <w:color w:val="auto"/>
              </w:rPr>
              <w:t>PART II. OTHER INFORMATION</w:t>
            </w:r>
          </w:p>
        </w:tc>
        <w:tc>
          <w:tcPr>
            <w:tcW w:w="1940" w:type="dxa"/>
            <w:vAlign w:val="bottom"/>
            <w:gridSpan w:val="2"/>
          </w:tcPr>
          <w:p>
            <w:pPr>
              <w:spacing w:after="0"/>
              <w:rPr>
                <w:sz w:val="11"/>
                <w:szCs w:val="11"/>
                <w:color w:val="auto"/>
              </w:rPr>
            </w:pPr>
          </w:p>
        </w:tc>
        <w:tc>
          <w:tcPr>
            <w:tcW w:w="5200" w:type="dxa"/>
            <w:vAlign w:val="bottom"/>
            <w:gridSpan w:val="9"/>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80" w:type="dxa"/>
            <w:vAlign w:val="bottom"/>
            <w:gridSpan w:val="2"/>
          </w:tcPr>
          <w:p>
            <w:pPr>
              <w:ind w:left="800"/>
              <w:spacing w:after="0" w:line="148" w:lineRule="exact"/>
              <w:rPr>
                <w:sz w:val="20"/>
                <w:szCs w:val="20"/>
                <w:color w:val="auto"/>
              </w:rPr>
            </w:pPr>
            <w:r>
              <w:rPr>
                <w:rFonts w:ascii="Arial" w:cs="Arial" w:eastAsia="Arial" w:hAnsi="Arial"/>
                <w:sz w:val="14"/>
                <w:szCs w:val="14"/>
                <w:b w:val="1"/>
                <w:bCs w:val="1"/>
                <w:color w:val="auto"/>
              </w:rPr>
              <w:t>Item 1.</w:t>
            </w:r>
          </w:p>
        </w:tc>
        <w:tc>
          <w:tcPr>
            <w:tcW w:w="8460" w:type="dxa"/>
            <w:vAlign w:val="bottom"/>
            <w:gridSpan w:val="16"/>
          </w:tcPr>
          <w:p>
            <w:pPr>
              <w:spacing w:after="0" w:line="148" w:lineRule="exact"/>
              <w:rPr>
                <w:rFonts w:ascii="Arial" w:cs="Arial" w:eastAsia="Arial" w:hAnsi="Arial"/>
                <w:sz w:val="14"/>
                <w:szCs w:val="14"/>
                <w:color w:val="0000EE"/>
              </w:rPr>
            </w:pPr>
            <w:hyperlink w:anchor="page47">
              <w:r>
                <w:rPr>
                  <w:rFonts w:ascii="Arial" w:cs="Arial" w:eastAsia="Arial" w:hAnsi="Arial"/>
                  <w:sz w:val="14"/>
                  <w:szCs w:val="14"/>
                  <w:color w:val="0000EE"/>
                </w:rPr>
                <w:t>Legal Proceedings</w:t>
              </w:r>
            </w:hyperlink>
          </w:p>
        </w:tc>
        <w:tc>
          <w:tcPr>
            <w:tcW w:w="1160" w:type="dxa"/>
            <w:vAlign w:val="bottom"/>
          </w:tcPr>
          <w:p>
            <w:pPr>
              <w:jc w:val="right"/>
              <w:spacing w:after="0" w:line="148"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1A.</w:t>
            </w:r>
          </w:p>
        </w:tc>
        <w:tc>
          <w:tcPr>
            <w:tcW w:w="1000" w:type="dxa"/>
            <w:vAlign w:val="bottom"/>
            <w:tcBorders>
              <w:top w:val="single" w:sz="8" w:color="0000EE"/>
            </w:tcBorders>
            <w:gridSpan w:val="4"/>
          </w:tcPr>
          <w:p>
            <w:pPr>
              <w:spacing w:after="0" w:line="129" w:lineRule="exact"/>
              <w:rPr>
                <w:rFonts w:ascii="Arial" w:cs="Arial" w:eastAsia="Arial" w:hAnsi="Arial"/>
                <w:sz w:val="14"/>
                <w:szCs w:val="14"/>
                <w:color w:val="0000EE"/>
              </w:rPr>
            </w:pPr>
            <w:hyperlink w:anchor="page47">
              <w:r>
                <w:rPr>
                  <w:rFonts w:ascii="Arial" w:cs="Arial" w:eastAsia="Arial" w:hAnsi="Arial"/>
                  <w:sz w:val="14"/>
                  <w:szCs w:val="14"/>
                  <w:color w:val="0000EE"/>
                </w:rPr>
                <w:t>Risk Factors</w:t>
              </w:r>
            </w:hyperlink>
          </w:p>
        </w:tc>
        <w:tc>
          <w:tcPr>
            <w:tcW w:w="2260" w:type="dxa"/>
            <w:vAlign w:val="bottom"/>
            <w:gridSpan w:val="3"/>
          </w:tcPr>
          <w:p>
            <w:pPr>
              <w:spacing w:after="0"/>
              <w:rPr>
                <w:sz w:val="11"/>
                <w:szCs w:val="11"/>
                <w:color w:val="auto"/>
              </w:rPr>
            </w:pPr>
          </w:p>
        </w:tc>
        <w:tc>
          <w:tcPr>
            <w:tcW w:w="5200" w:type="dxa"/>
            <w:vAlign w:val="bottom"/>
            <w:gridSpan w:val="9"/>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2.</w:t>
            </w:r>
          </w:p>
        </w:tc>
        <w:tc>
          <w:tcPr>
            <w:tcW w:w="660" w:type="dxa"/>
            <w:vAlign w:val="bottom"/>
            <w:tcBorders>
              <w:top w:val="single" w:sz="8" w:color="0000EE"/>
            </w:tcBorders>
            <w:gridSpan w:val="2"/>
          </w:tcPr>
          <w:p>
            <w:pPr>
              <w:spacing w:after="0" w:line="129" w:lineRule="exact"/>
              <w:rPr>
                <w:rFonts w:ascii="Arial" w:cs="Arial" w:eastAsia="Arial" w:hAnsi="Arial"/>
                <w:sz w:val="14"/>
                <w:szCs w:val="14"/>
                <w:color w:val="0000EE"/>
                <w:w w:val="79"/>
              </w:rPr>
            </w:pPr>
            <w:hyperlink w:anchor="page47">
              <w:r>
                <w:rPr>
                  <w:rFonts w:ascii="Arial" w:cs="Arial" w:eastAsia="Arial" w:hAnsi="Arial"/>
                  <w:sz w:val="14"/>
                  <w:szCs w:val="14"/>
                  <w:color w:val="0000EE"/>
                  <w:w w:val="79"/>
                </w:rPr>
                <w:t>Unregistered</w:t>
              </w:r>
            </w:hyperlink>
          </w:p>
        </w:tc>
        <w:tc>
          <w:tcPr>
            <w:tcW w:w="7800" w:type="dxa"/>
            <w:vAlign w:val="bottom"/>
            <w:gridSpan w:val="14"/>
          </w:tcPr>
          <w:p>
            <w:pPr>
              <w:ind w:left="60"/>
              <w:spacing w:after="0" w:line="129" w:lineRule="exact"/>
              <w:rPr>
                <w:rFonts w:ascii="Arial" w:cs="Arial" w:eastAsia="Arial" w:hAnsi="Arial"/>
                <w:sz w:val="14"/>
                <w:szCs w:val="14"/>
                <w:color w:val="0000EE"/>
              </w:rPr>
            </w:pPr>
            <w:hyperlink w:anchor="page47">
              <w:r>
                <w:rPr>
                  <w:rFonts w:ascii="Arial" w:cs="Arial" w:eastAsia="Arial" w:hAnsi="Arial"/>
                  <w:sz w:val="14"/>
                  <w:szCs w:val="14"/>
                  <w:color w:val="0000EE"/>
                </w:rPr>
                <w:t>Sales of Equity Securities and Use of Proceeds</w:t>
              </w:r>
            </w:hyperlink>
          </w:p>
        </w:tc>
        <w:tc>
          <w:tcPr>
            <w:tcW w:w="1160" w:type="dxa"/>
            <w:vAlign w:val="bottom"/>
          </w:tcPr>
          <w:p>
            <w:pPr>
              <w:jc w:val="right"/>
              <w:spacing w:after="0" w:line="12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6.</w:t>
            </w:r>
          </w:p>
        </w:tc>
        <w:tc>
          <w:tcPr>
            <w:tcW w:w="3260" w:type="dxa"/>
            <w:vAlign w:val="bottom"/>
            <w:tcBorders>
              <w:top w:val="single" w:sz="8" w:color="0000EE"/>
            </w:tcBorders>
            <w:gridSpan w:val="7"/>
          </w:tcPr>
          <w:p>
            <w:pPr>
              <w:spacing w:after="0" w:line="129" w:lineRule="exact"/>
              <w:rPr>
                <w:rFonts w:ascii="Arial" w:cs="Arial" w:eastAsia="Arial" w:hAnsi="Arial"/>
                <w:sz w:val="14"/>
                <w:szCs w:val="14"/>
                <w:color w:val="0000EE"/>
              </w:rPr>
            </w:pPr>
            <w:hyperlink w:anchor="page48">
              <w:r>
                <w:rPr>
                  <w:rFonts w:ascii="Arial" w:cs="Arial" w:eastAsia="Arial" w:hAnsi="Arial"/>
                  <w:sz w:val="14"/>
                  <w:szCs w:val="14"/>
                  <w:color w:val="0000EE"/>
                </w:rPr>
                <w:t>Exhibits</w:t>
              </w:r>
            </w:hyperlink>
          </w:p>
        </w:tc>
        <w:tc>
          <w:tcPr>
            <w:tcW w:w="5200" w:type="dxa"/>
            <w:vAlign w:val="bottom"/>
            <w:gridSpan w:val="9"/>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29"/>
        </w:trPr>
        <w:tc>
          <w:tcPr>
            <w:tcW w:w="1800" w:type="dxa"/>
            <w:vAlign w:val="bottom"/>
            <w:gridSpan w:val="3"/>
          </w:tcPr>
          <w:p>
            <w:pPr>
              <w:spacing w:after="0" w:line="129" w:lineRule="exact"/>
              <w:rPr>
                <w:rFonts w:ascii="Arial" w:cs="Arial" w:eastAsia="Arial" w:hAnsi="Arial"/>
                <w:sz w:val="14"/>
                <w:szCs w:val="14"/>
                <w:b w:val="1"/>
                <w:bCs w:val="1"/>
                <w:color w:val="0000EE"/>
              </w:rPr>
            </w:pPr>
            <w:hyperlink w:anchor="page49">
              <w:r>
                <w:rPr>
                  <w:rFonts w:ascii="Arial" w:cs="Arial" w:eastAsia="Arial" w:hAnsi="Arial"/>
                  <w:sz w:val="14"/>
                  <w:szCs w:val="14"/>
                  <w:b w:val="1"/>
                  <w:bCs w:val="1"/>
                  <w:color w:val="0000EE"/>
                </w:rPr>
                <w:t>SIGNATURES</w:t>
              </w:r>
            </w:hyperlink>
          </w:p>
        </w:tc>
        <w:tc>
          <w:tcPr>
            <w:tcW w:w="440" w:type="dxa"/>
            <w:vAlign w:val="bottom"/>
            <w:tcBorders>
              <w:top w:val="single" w:sz="8" w:color="0000EE"/>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Borders>
              <w:top w:val="single" w:sz="8" w:color="0000EE"/>
            </w:tcBorders>
          </w:tcPr>
          <w:p>
            <w:pPr>
              <w:spacing w:after="0" w:line="129" w:lineRule="exact"/>
              <w:rPr>
                <w:rFonts w:ascii="Arial" w:cs="Arial" w:eastAsia="Arial" w:hAnsi="Arial"/>
                <w:sz w:val="14"/>
                <w:szCs w:val="14"/>
                <w:color w:val="0000EE"/>
                <w:w w:val="95"/>
              </w:rPr>
            </w:pPr>
            <w:hyperlink w:anchor="page50">
              <w:r>
                <w:rPr>
                  <w:rFonts w:ascii="Arial" w:cs="Arial" w:eastAsia="Arial" w:hAnsi="Arial"/>
                  <w:sz w:val="14"/>
                  <w:szCs w:val="14"/>
                  <w:color w:val="0000EE"/>
                  <w:w w:val="95"/>
                </w:rPr>
                <w:t>NBCUniversal</w:t>
              </w:r>
            </w:hyperlink>
          </w:p>
        </w:tc>
        <w:tc>
          <w:tcPr>
            <w:tcW w:w="9380" w:type="dxa"/>
            <w:vAlign w:val="bottom"/>
            <w:gridSpan w:val="17"/>
          </w:tcPr>
          <w:p>
            <w:pPr>
              <w:spacing w:after="0" w:line="129" w:lineRule="exact"/>
              <w:rPr>
                <w:rFonts w:ascii="Arial" w:cs="Arial" w:eastAsia="Arial" w:hAnsi="Arial"/>
                <w:sz w:val="14"/>
                <w:szCs w:val="14"/>
                <w:color w:val="0000EE"/>
              </w:rPr>
            </w:pPr>
            <w:hyperlink w:anchor="page50">
              <w:r>
                <w:rPr>
                  <w:rFonts w:ascii="Arial" w:cs="Arial" w:eastAsia="Arial" w:hAnsi="Arial"/>
                  <w:sz w:val="14"/>
                  <w:szCs w:val="14"/>
                  <w:color w:val="0000EE"/>
                </w:rPr>
                <w:t>Media, LLC Financial Statements</w:t>
              </w:r>
            </w:hyperlink>
          </w:p>
        </w:tc>
        <w:tc>
          <w:tcPr>
            <w:tcW w:w="1160" w:type="dxa"/>
            <w:vAlign w:val="bottom"/>
          </w:tcPr>
          <w:p>
            <w:pPr>
              <w:jc w:val="right"/>
              <w:spacing w:after="0" w:line="12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860" w:type="dxa"/>
            <w:vAlign w:val="bottom"/>
            <w:tcBorders>
              <w:top w:val="single" w:sz="8" w:color="0000EE"/>
              <w:bottom w:val="single" w:sz="8" w:color="auto"/>
            </w:tcBorders>
          </w:tcPr>
          <w:p>
            <w:pPr>
              <w:spacing w:after="0"/>
              <w:rPr>
                <w:sz w:val="7"/>
                <w:szCs w:val="7"/>
                <w:color w:val="auto"/>
              </w:rPr>
            </w:pPr>
          </w:p>
        </w:tc>
        <w:tc>
          <w:tcPr>
            <w:tcW w:w="920" w:type="dxa"/>
            <w:vAlign w:val="bottom"/>
            <w:tcBorders>
              <w:top w:val="single" w:sz="8" w:color="0000EE"/>
              <w:bottom w:val="single" w:sz="8" w:color="auto"/>
            </w:tcBorders>
          </w:tcPr>
          <w:p>
            <w:pPr>
              <w:spacing w:after="0"/>
              <w:rPr>
                <w:sz w:val="7"/>
                <w:szCs w:val="7"/>
                <w:color w:val="auto"/>
              </w:rPr>
            </w:pPr>
          </w:p>
        </w:tc>
        <w:tc>
          <w:tcPr>
            <w:tcW w:w="4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71"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This Quarterly Report on Form 10-Q is a combined report being filed separately by Comcast Corporation (“Comcast”) and NBCUniversal Media, LLC (“NBCUniversal”). Comcast owns all of the common equity interests in NBCUniversal, and NBCUniversal meets the conditions set forth in General Instruction H(1)(a) and (b) of Form 10-Q and is therefore filing its information within this Form 10-Q with the reduced disclosure format. Each of Comcast and NBCUniversal is filing on its own behalf the information contained in this report that relates to itself, and neither company makes any representation as to information relating to the other company. Where information or an explanation is provided that is substantially the same for each company, such information or explanation has been combined in this report. Where information or an explanation is not substantially the same for each company, separate information and explanation has been provided. In addition, separate condensed consolidated financial statements for each company, along with notes to the condensed consolidated financial statements, are included in this report. Unless indicated otherwise, throughout this Quarterly Report on Form 10-Q, we refer to Comcast Corporation as “Comcast;” Comcast and its consolidated subsidiaries, including NBCUniversal and its consolidated subsidiaries, as “we,” “us” and “our;” Comcast Cable Communications, LLC and its consolidated subsidiaries as “Comcast Cable;” Comcast Holdings Corporation as “Comcast Holdings;” and NBCUniversal, LLC as “NBCUniversal Holdings.”</w:t>
      </w:r>
    </w:p>
    <w:p>
      <w:pPr>
        <w:spacing w:after="0" w:line="5"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This Quarterly Report on Form 10-Q is for the three and nine months ended September 30, 2014. This Quarterly Report modifies and supersedes documents filed prior to this Quarterly Report.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w:t>
      </w:r>
    </w:p>
    <w:p>
      <w:pPr>
        <w:spacing w:after="0" w:line="18"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You should carefully review the information contained in this Quarterly Report and particularly consider any risk factors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“believes,” “estimates,” “potential,” or “continue,” or the negative of those words, and other comparable words. You should be aware that these statements are only our predictions. In evaluating these statements, you should specifically consider various factors, including the risks outlined below and in other reports we file with the SEC. Actual events or our actual results may differ materially from any of our forward-looking statements. We undertake no obligation to update any forward-looking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Our businesses may be affected by, among other things, the following:</w:t>
      </w: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currently face a wide range of competition, and our businesses and results of operations could be adversely affected if we do not compete effectively</w:t>
      </w:r>
    </w:p>
    <w:p>
      <w:pPr>
        <w:spacing w:after="0" w:line="2"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consumer behavior driven by new technologies may adversely affect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depend on keeping pace with technological developments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programming expenses for our video services are increasing, which could adversely affect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subject to regulation by federal, state, local and foreign authorities, which may impose additional costs and restrictions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weak economic conditions may have a negative impact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 decline in advertising expenditures or changes in advertising markets could negatively impact our businesses</w:t>
      </w:r>
    </w:p>
    <w:p>
      <w:pPr>
        <w:spacing w:after="0" w:line="14"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NBCUniversal’s success depends on consumer acceptance of its content, which is difficult to predict, and its businesses may be adversely affected if its content fails to achieve sufficient consumer acceptance or the costs to create or acquire content increase</w:t>
      </w:r>
    </w:p>
    <w:p>
      <w:pPr>
        <w:spacing w:after="0" w:line="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loss of NBCUniversal’s programming distribution agreements, or the renewal of these agreements on less favorable terms, could adversely affect its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depend on using and protecting certain intellectual property rights and on not infringing the intellectual property rights of others</w:t>
      </w:r>
    </w:p>
    <w:p>
      <w:pPr>
        <w:spacing w:after="0" w:line="14"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be unable to obtain necessary hardware, software and operational support</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labor disputes, whether involving employees or sports organizations, may disrupt our operations and adversely affect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loss of key management personnel or popular on-air and creative talent could have an adverse effect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face risks relating to doing business internationally that could adversely affect our businesses</w:t>
      </w:r>
    </w:p>
    <w:p>
      <w:pPr>
        <w:spacing w:after="0" w:line="14"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acquisitions and other strategic transactions, including the proposed transactions with Time Warner Cable Inc. and Charter Communications, Inc., present many risks, and we may not realize the financial and strategic goals that were contemplated at the time of any transaction</w:t>
      </w:r>
    </w:p>
    <w:p>
      <w:pPr>
        <w:spacing w:after="0" w:line="3"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640" w:type="dxa"/>
            <w:vAlign w:val="bottom"/>
            <w:gridSpan w:val="2"/>
          </w:tcPr>
          <w:p>
            <w:pPr>
              <w:ind w:left="500"/>
              <w:spacing w:after="0"/>
              <w:rPr>
                <w:sz w:val="20"/>
                <w:szCs w:val="20"/>
                <w:color w:val="auto"/>
              </w:rPr>
            </w:pPr>
            <w:r>
              <w:rPr>
                <w:rFonts w:ascii="Arial" w:cs="Arial" w:eastAsia="Arial" w:hAnsi="Arial"/>
                <w:sz w:val="14"/>
                <w:szCs w:val="14"/>
                <w:color w:val="auto"/>
              </w:rPr>
              <w:t>September 30,</w:t>
            </w: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59"/>
        </w:trPr>
        <w:tc>
          <w:tcPr>
            <w:tcW w:w="860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share data)</w:t>
            </w:r>
          </w:p>
        </w:tc>
        <w:tc>
          <w:tcPr>
            <w:tcW w:w="640" w:type="dxa"/>
            <w:vAlign w:val="bottom"/>
          </w:tcPr>
          <w:p>
            <w:pPr>
              <w:spacing w:after="0"/>
              <w:rPr>
                <w:sz w:val="13"/>
                <w:szCs w:val="13"/>
                <w:color w:val="auto"/>
              </w:rPr>
            </w:pPr>
          </w:p>
        </w:tc>
        <w:tc>
          <w:tcPr>
            <w:tcW w:w="1000" w:type="dxa"/>
            <w:vAlign w:val="bottom"/>
          </w:tcPr>
          <w:p>
            <w:pPr>
              <w:jc w:val="right"/>
              <w:ind w:right="533"/>
              <w:spacing w:after="0" w:line="159" w:lineRule="exact"/>
              <w:rPr>
                <w:sz w:val="20"/>
                <w:szCs w:val="20"/>
                <w:color w:val="auto"/>
              </w:rPr>
            </w:pPr>
            <w:r>
              <w:rPr>
                <w:rFonts w:ascii="Arial" w:cs="Arial" w:eastAsia="Arial" w:hAnsi="Arial"/>
                <w:sz w:val="14"/>
                <w:szCs w:val="14"/>
                <w:color w:val="auto"/>
              </w:rPr>
              <w:t>2014</w:t>
            </w:r>
          </w:p>
        </w:tc>
        <w:tc>
          <w:tcPr>
            <w:tcW w:w="440" w:type="dxa"/>
            <w:vAlign w:val="bottom"/>
          </w:tcPr>
          <w:p>
            <w:pPr>
              <w:spacing w:after="0"/>
              <w:rPr>
                <w:sz w:val="13"/>
                <w:szCs w:val="13"/>
                <w:color w:val="auto"/>
              </w:rPr>
            </w:pPr>
          </w:p>
        </w:tc>
        <w:tc>
          <w:tcPr>
            <w:tcW w:w="740" w:type="dxa"/>
            <w:vAlign w:val="bottom"/>
          </w:tcPr>
          <w:p>
            <w:pPr>
              <w:jc w:val="right"/>
              <w:ind w:right="273"/>
              <w:spacing w:after="0" w:line="159"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640" w:type="dxa"/>
            <w:vAlign w:val="bottom"/>
            <w:tcBorders>
              <w:top w:val="single" w:sz="8" w:color="auto"/>
            </w:tcBorders>
            <w:shd w:val="clear" w:color="auto" w:fill="E5E5E5"/>
          </w:tcPr>
          <w:p>
            <w:pPr>
              <w:spacing w:after="0"/>
              <w:rPr>
                <w:sz w:val="18"/>
                <w:szCs w:val="18"/>
                <w:color w:val="auto"/>
              </w:rPr>
            </w:pPr>
          </w:p>
        </w:tc>
        <w:tc>
          <w:tcPr>
            <w:tcW w:w="100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Current Assets:</w:t>
            </w: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640" w:type="dxa"/>
            <w:vAlign w:val="bottom"/>
            <w:shd w:val="clear" w:color="auto" w:fill="E5E5E5"/>
          </w:tcPr>
          <w:p>
            <w:pPr>
              <w:ind w:left="5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4,547</w:t>
            </w:r>
          </w:p>
        </w:tc>
        <w:tc>
          <w:tcPr>
            <w:tcW w:w="44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64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531</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Receivables, net</w:t>
            </w: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6,172</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Programming rights</w:t>
            </w:r>
          </w:p>
        </w:tc>
        <w:tc>
          <w:tcPr>
            <w:tcW w:w="64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992</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 current assets</w:t>
            </w:r>
          </w:p>
        </w:tc>
        <w:tc>
          <w:tcPr>
            <w:tcW w:w="6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rPr>
              <w:t>1,694</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Total current assets</w:t>
            </w:r>
          </w:p>
        </w:tc>
        <w:tc>
          <w:tcPr>
            <w:tcW w:w="64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13,936</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14,075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E5E5E5"/>
          </w:tcPr>
          <w:p>
            <w:pPr>
              <w:spacing w:after="0"/>
              <w:rPr>
                <w:sz w:val="20"/>
                <w:szCs w:val="20"/>
                <w:color w:val="auto"/>
              </w:rPr>
            </w:pPr>
            <w:r>
              <w:rPr>
                <w:rFonts w:ascii="Arial" w:cs="Arial" w:eastAsia="Arial" w:hAnsi="Arial"/>
                <w:sz w:val="18"/>
                <w:szCs w:val="18"/>
                <w:color w:val="auto"/>
              </w:rPr>
              <w:t>Film and television costs</w:t>
            </w: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5,560</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Investments</w:t>
            </w:r>
          </w:p>
        </w:tc>
        <w:tc>
          <w:tcPr>
            <w:tcW w:w="64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3,129</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 of accumulated depreciation of $44,821 and $42,574</w:t>
            </w: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30,362</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Franchise rights</w:t>
            </w:r>
          </w:p>
        </w:tc>
        <w:tc>
          <w:tcPr>
            <w:tcW w:w="64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59,364</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59,364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27,323</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 of $9,649 and $8,874</w:t>
            </w:r>
          </w:p>
        </w:tc>
        <w:tc>
          <w:tcPr>
            <w:tcW w:w="64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17,089</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17,329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6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rPr>
              <w:t>2,474</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64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w w:val="95"/>
              </w:rPr>
              <w:t>159,237</w:t>
            </w:r>
          </w:p>
        </w:tc>
        <w:tc>
          <w:tcPr>
            <w:tcW w:w="4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5"/>
              </w:rPr>
              <w:t>158,813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Current Liabilities:</w:t>
            </w: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640" w:type="dxa"/>
            <w:vAlign w:val="bottom"/>
            <w:shd w:val="clear" w:color="auto" w:fill="E5E5E5"/>
          </w:tcPr>
          <w:p>
            <w:pPr>
              <w:ind w:left="5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5,680</w:t>
            </w:r>
          </w:p>
        </w:tc>
        <w:tc>
          <w:tcPr>
            <w:tcW w:w="44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Accrued participations and residuals</w:t>
            </w:r>
          </w:p>
        </w:tc>
        <w:tc>
          <w:tcPr>
            <w:tcW w:w="64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1,444</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Deferred revenue</w:t>
            </w: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976</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64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5,461</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7,967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6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rPr>
              <w:t>3,523</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64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17,084</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18,912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44,827</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44,567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Deferred income taxes</w:t>
            </w:r>
          </w:p>
        </w:tc>
        <w:tc>
          <w:tcPr>
            <w:tcW w:w="64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32,227</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31,935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10,388</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Commitments and contingencies (Note 12)</w:t>
            </w: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1,058</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Equity:</w:t>
            </w: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Preferred stock—authorized, 20,000,000 shares; issued, zero</w:t>
            </w: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w w:val="98"/>
              </w:rPr>
              <w:t>Class A common stock, $0.01 par value—authorized, 7,500,000,000 shares; issued, 2,515,829,568 and</w:t>
            </w: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640"/>
              <w:spacing w:after="0"/>
              <w:rPr>
                <w:sz w:val="20"/>
                <w:szCs w:val="20"/>
                <w:color w:val="auto"/>
              </w:rPr>
            </w:pPr>
            <w:r>
              <w:rPr>
                <w:rFonts w:ascii="Arial" w:cs="Arial" w:eastAsia="Arial" w:hAnsi="Arial"/>
                <w:sz w:val="18"/>
                <w:szCs w:val="18"/>
                <w:color w:val="auto"/>
              </w:rPr>
              <w:t>2,503,535,883; outstanding, 2,150,368,818 and 2,138,075,133</w:t>
            </w:r>
          </w:p>
        </w:tc>
        <w:tc>
          <w:tcPr>
            <w:tcW w:w="640" w:type="dxa"/>
            <w:vAlign w:val="bottom"/>
          </w:tcPr>
          <w:p>
            <w:pPr>
              <w:spacing w:after="0"/>
              <w:rPr>
                <w:sz w:val="19"/>
                <w:szCs w:val="19"/>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8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3"/>
              </w:rPr>
              <w:t>Class A Special common stock, $0.01 par value—authorized, 7,500,000,000 shares; issued, 487,418,932 and</w:t>
            </w: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80" w:type="dxa"/>
            <w:vAlign w:val="bottom"/>
            <w:shd w:val="clear" w:color="auto" w:fill="E5E5E5"/>
          </w:tcPr>
          <w:p>
            <w:pPr>
              <w:ind w:left="640"/>
              <w:spacing w:after="0"/>
              <w:rPr>
                <w:sz w:val="20"/>
                <w:szCs w:val="20"/>
                <w:color w:val="auto"/>
              </w:rPr>
            </w:pPr>
            <w:r>
              <w:rPr>
                <w:rFonts w:ascii="Arial" w:cs="Arial" w:eastAsia="Arial" w:hAnsi="Arial"/>
                <w:sz w:val="18"/>
                <w:szCs w:val="18"/>
                <w:color w:val="auto"/>
              </w:rPr>
              <w:t>529,964,944; outstanding, 416,484,168 and 459,030,180</w:t>
            </w:r>
          </w:p>
        </w:tc>
        <w:tc>
          <w:tcPr>
            <w:tcW w:w="640" w:type="dxa"/>
            <w:vAlign w:val="bottom"/>
            <w:shd w:val="clear" w:color="auto" w:fill="E5E5E5"/>
          </w:tcPr>
          <w:p>
            <w:pPr>
              <w:spacing w:after="0"/>
              <w:rPr>
                <w:sz w:val="19"/>
                <w:szCs w:val="19"/>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5</w:t>
            </w:r>
          </w:p>
        </w:tc>
        <w:tc>
          <w:tcPr>
            <w:tcW w:w="44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w w:val="94"/>
              </w:rPr>
              <w:t>Class B common stock, $0.01 par value—authorized, 75,000,000 shares; issued and outstanding, 9,444,375</w:t>
            </w:r>
          </w:p>
        </w:tc>
        <w:tc>
          <w:tcPr>
            <w:tcW w:w="64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Additional paid-in capital</w:t>
            </w: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38,977</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38,890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64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21,805</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19,235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8"/>
              </w:rPr>
              <w:t>Treasury stock, 365,460,750 Class A common shares and 70,934,764 Class A Special common shares</w:t>
            </w: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(7,517)</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53,298</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50,694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355</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6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rPr>
              <w:t>53,653</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51,058</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64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w w:val="95"/>
              </w:rPr>
              <w:t>159,237</w:t>
            </w:r>
          </w:p>
        </w:tc>
        <w:tc>
          <w:tcPr>
            <w:tcW w:w="4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5"/>
              </w:rPr>
              <w:t>158,813</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40" w:type="dxa"/>
            <w:vAlign w:val="bottom"/>
            <w:gridSpan w:val="3"/>
          </w:tcPr>
          <w:p>
            <w:pPr>
              <w:jc w:val="right"/>
              <w:ind w:right="393"/>
              <w:spacing w:after="0"/>
              <w:rPr>
                <w:sz w:val="20"/>
                <w:szCs w:val="20"/>
                <w:color w:val="auto"/>
              </w:rPr>
            </w:pPr>
            <w:r>
              <w:rPr>
                <w:rFonts w:ascii="Arial" w:cs="Arial" w:eastAsia="Arial" w:hAnsi="Arial"/>
                <w:sz w:val="14"/>
                <w:szCs w:val="14"/>
                <w:color w:val="auto"/>
                <w:w w:val="94"/>
              </w:rPr>
              <w:t>Three Months Ended</w:t>
            </w:r>
          </w:p>
        </w:tc>
        <w:tc>
          <w:tcPr>
            <w:tcW w:w="280" w:type="dxa"/>
            <w:vAlign w:val="bottom"/>
          </w:tcPr>
          <w:p>
            <w:pPr>
              <w:spacing w:after="0"/>
              <w:rPr>
                <w:sz w:val="14"/>
                <w:szCs w:val="14"/>
                <w:color w:val="auto"/>
              </w:rPr>
            </w:pPr>
          </w:p>
        </w:tc>
        <w:tc>
          <w:tcPr>
            <w:tcW w:w="1500" w:type="dxa"/>
            <w:vAlign w:val="bottom"/>
            <w:gridSpan w:val="3"/>
          </w:tcPr>
          <w:p>
            <w:pPr>
              <w:jc w:val="right"/>
              <w:ind w:right="213"/>
              <w:spacing w:after="0"/>
              <w:rPr>
                <w:sz w:val="20"/>
                <w:szCs w:val="20"/>
                <w:color w:val="auto"/>
              </w:rPr>
            </w:pPr>
            <w:r>
              <w:rPr>
                <w:rFonts w:ascii="Arial" w:cs="Arial" w:eastAsia="Arial" w:hAnsi="Arial"/>
                <w:sz w:val="14"/>
                <w:szCs w:val="14"/>
                <w:color w:val="auto"/>
                <w:w w:val="95"/>
              </w:rPr>
              <w:t>Nine Months Ended</w:t>
            </w:r>
          </w:p>
        </w:tc>
        <w:tc>
          <w:tcPr>
            <w:tcW w:w="0" w:type="dxa"/>
            <w:vAlign w:val="bottom"/>
          </w:tcPr>
          <w:p>
            <w:pPr>
              <w:spacing w:after="0"/>
              <w:rPr>
                <w:sz w:val="1"/>
                <w:szCs w:val="1"/>
                <w:color w:val="auto"/>
              </w:rPr>
            </w:pPr>
          </w:p>
        </w:tc>
      </w:tr>
      <w:tr>
        <w:trPr>
          <w:trHeight w:val="159"/>
        </w:trPr>
        <w:tc>
          <w:tcPr>
            <w:tcW w:w="748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4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573"/>
              <w:spacing w:after="0" w:line="159" w:lineRule="exact"/>
              <w:rPr>
                <w:sz w:val="20"/>
                <w:szCs w:val="20"/>
                <w:color w:val="auto"/>
              </w:rPr>
            </w:pPr>
            <w:r>
              <w:rPr>
                <w:rFonts w:ascii="Arial" w:cs="Arial" w:eastAsia="Arial" w:hAnsi="Arial"/>
                <w:sz w:val="14"/>
                <w:szCs w:val="14"/>
                <w:color w:val="auto"/>
              </w:rPr>
              <w:t>September 30</w:t>
            </w: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393"/>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74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right"/>
              <w:ind w:right="315"/>
              <w:spacing w:after="0" w:line="142" w:lineRule="exact"/>
              <w:rPr>
                <w:sz w:val="20"/>
                <w:szCs w:val="20"/>
                <w:color w:val="auto"/>
              </w:rPr>
            </w:pPr>
            <w:r>
              <w:rPr>
                <w:rFonts w:ascii="Arial" w:cs="Arial" w:eastAsia="Arial" w:hAnsi="Arial"/>
                <w:sz w:val="14"/>
                <w:szCs w:val="14"/>
                <w:color w:val="auto"/>
                <w:w w:val="96"/>
              </w:rPr>
              <w:t>2014</w:t>
            </w:r>
          </w:p>
        </w:tc>
        <w:tc>
          <w:tcPr>
            <w:tcW w:w="280" w:type="dxa"/>
            <w:vAlign w:val="bottom"/>
          </w:tcPr>
          <w:p>
            <w:pPr>
              <w:spacing w:after="0"/>
              <w:rPr>
                <w:sz w:val="12"/>
                <w:szCs w:val="12"/>
                <w:color w:val="auto"/>
              </w:rPr>
            </w:pPr>
          </w:p>
        </w:tc>
        <w:tc>
          <w:tcPr>
            <w:tcW w:w="740" w:type="dxa"/>
            <w:vAlign w:val="bottom"/>
          </w:tcPr>
          <w:p>
            <w:pPr>
              <w:jc w:val="right"/>
              <w:ind w:right="313"/>
              <w:spacing w:after="0" w:line="142" w:lineRule="exact"/>
              <w:rPr>
                <w:sz w:val="20"/>
                <w:szCs w:val="20"/>
                <w:color w:val="auto"/>
              </w:rPr>
            </w:pPr>
            <w:r>
              <w:rPr>
                <w:rFonts w:ascii="Arial" w:cs="Arial" w:eastAsia="Arial" w:hAnsi="Arial"/>
                <w:sz w:val="14"/>
                <w:szCs w:val="14"/>
                <w:color w:val="auto"/>
              </w:rPr>
              <w:t>2013</w:t>
            </w:r>
          </w:p>
        </w:tc>
        <w:tc>
          <w:tcPr>
            <w:tcW w:w="280" w:type="dxa"/>
            <w:vAlign w:val="bottom"/>
          </w:tcPr>
          <w:p>
            <w:pPr>
              <w:spacing w:after="0"/>
              <w:rPr>
                <w:sz w:val="12"/>
                <w:szCs w:val="12"/>
                <w:color w:val="auto"/>
              </w:rPr>
            </w:pPr>
          </w:p>
        </w:tc>
        <w:tc>
          <w:tcPr>
            <w:tcW w:w="680" w:type="dxa"/>
            <w:vAlign w:val="bottom"/>
          </w:tcPr>
          <w:p>
            <w:pPr>
              <w:jc w:val="right"/>
              <w:ind w:right="255"/>
              <w:spacing w:after="0" w:line="142" w:lineRule="exact"/>
              <w:rPr>
                <w:sz w:val="20"/>
                <w:szCs w:val="20"/>
                <w:color w:val="auto"/>
              </w:rPr>
            </w:pPr>
            <w:r>
              <w:rPr>
                <w:rFonts w:ascii="Arial" w:cs="Arial" w:eastAsia="Arial" w:hAnsi="Arial"/>
                <w:sz w:val="14"/>
                <w:szCs w:val="14"/>
                <w:color w:val="auto"/>
              </w:rPr>
              <w:t>2014</w:t>
            </w:r>
          </w:p>
        </w:tc>
        <w:tc>
          <w:tcPr>
            <w:tcW w:w="220" w:type="dxa"/>
            <w:vAlign w:val="bottom"/>
          </w:tcPr>
          <w:p>
            <w:pPr>
              <w:spacing w:after="0"/>
              <w:rPr>
                <w:sz w:val="12"/>
                <w:szCs w:val="12"/>
                <w:color w:val="auto"/>
              </w:rPr>
            </w:pPr>
          </w:p>
        </w:tc>
        <w:tc>
          <w:tcPr>
            <w:tcW w:w="600" w:type="dxa"/>
            <w:vAlign w:val="bottom"/>
          </w:tcPr>
          <w:p>
            <w:pPr>
              <w:jc w:val="right"/>
              <w:ind w:right="173"/>
              <w:spacing w:after="0" w:line="142"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w w:val="83"/>
              </w:rPr>
              <w:t>16,791</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w w:val="87"/>
              </w:rPr>
              <w:t>16,151</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w w:val="83"/>
              </w:rPr>
              <w:t>51,043</w:t>
            </w:r>
          </w:p>
        </w:tc>
        <w:tc>
          <w:tcPr>
            <w:tcW w:w="2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47,731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4,772</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4,787</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w w:val="83"/>
              </w:rPr>
              <w:t>15,554</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87"/>
              </w:rPr>
              <w:t>14,418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420" w:type="dxa"/>
            <w:vAlign w:val="bottom"/>
          </w:tcPr>
          <w:p>
            <w:pPr>
              <w:spacing w:after="0"/>
              <w:rPr>
                <w:sz w:val="18"/>
                <w:szCs w:val="18"/>
                <w:color w:val="auto"/>
              </w:rPr>
            </w:pPr>
          </w:p>
        </w:tc>
        <w:tc>
          <w:tcPr>
            <w:tcW w:w="720" w:type="dxa"/>
            <w:vAlign w:val="bottom"/>
          </w:tcPr>
          <w:p>
            <w:pPr>
              <w:jc w:val="right"/>
              <w:ind w:right="155"/>
              <w:spacing w:after="0"/>
              <w:rPr>
                <w:sz w:val="20"/>
                <w:szCs w:val="20"/>
                <w:color w:val="auto"/>
              </w:rPr>
            </w:pPr>
            <w:r>
              <w:rPr>
                <w:rFonts w:ascii="Arial" w:cs="Arial" w:eastAsia="Arial" w:hAnsi="Arial"/>
                <w:sz w:val="18"/>
                <w:szCs w:val="18"/>
                <w:color w:val="auto"/>
              </w:rPr>
              <w:t>5,019</w:t>
            </w:r>
          </w:p>
        </w:tc>
        <w:tc>
          <w:tcPr>
            <w:tcW w:w="280" w:type="dxa"/>
            <w:vAlign w:val="bottom"/>
          </w:tcPr>
          <w:p>
            <w:pPr>
              <w:spacing w:after="0"/>
              <w:rPr>
                <w:sz w:val="18"/>
                <w:szCs w:val="18"/>
                <w:color w:val="auto"/>
              </w:rPr>
            </w:pPr>
          </w:p>
        </w:tc>
        <w:tc>
          <w:tcPr>
            <w:tcW w:w="740" w:type="dxa"/>
            <w:vAlign w:val="bottom"/>
          </w:tcPr>
          <w:p>
            <w:pPr>
              <w:jc w:val="right"/>
              <w:ind w:right="153"/>
              <w:spacing w:after="0"/>
              <w:rPr>
                <w:sz w:val="20"/>
                <w:szCs w:val="20"/>
                <w:color w:val="auto"/>
              </w:rPr>
            </w:pPr>
            <w:r>
              <w:rPr>
                <w:rFonts w:ascii="Arial" w:cs="Arial" w:eastAsia="Arial" w:hAnsi="Arial"/>
                <w:sz w:val="18"/>
                <w:szCs w:val="18"/>
                <w:color w:val="auto"/>
              </w:rPr>
              <w:t>4,751</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w w:val="83"/>
              </w:rPr>
              <w:t>14,695</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w w:val="87"/>
              </w:rPr>
              <w:t>13,787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1,296</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1,283</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3,748</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18"/>
                <w:szCs w:val="18"/>
                <w:color w:val="auto"/>
              </w:rPr>
            </w:pPr>
          </w:p>
        </w:tc>
        <w:tc>
          <w:tcPr>
            <w:tcW w:w="720" w:type="dxa"/>
            <w:vAlign w:val="bottom"/>
          </w:tcPr>
          <w:p>
            <w:pPr>
              <w:jc w:val="right"/>
              <w:ind w:right="155"/>
              <w:spacing w:after="0"/>
              <w:rPr>
                <w:sz w:val="20"/>
                <w:szCs w:val="20"/>
                <w:color w:val="auto"/>
              </w:rPr>
            </w:pPr>
            <w:r>
              <w:rPr>
                <w:rFonts w:ascii="Arial" w:cs="Arial" w:eastAsia="Arial" w:hAnsi="Arial"/>
                <w:sz w:val="18"/>
                <w:szCs w:val="18"/>
                <w:color w:val="auto"/>
              </w:rPr>
              <w:t>1,539</w:t>
            </w:r>
          </w:p>
        </w:tc>
        <w:tc>
          <w:tcPr>
            <w:tcW w:w="280" w:type="dxa"/>
            <w:vAlign w:val="bottom"/>
          </w:tcPr>
          <w:p>
            <w:pPr>
              <w:spacing w:after="0"/>
              <w:rPr>
                <w:sz w:val="18"/>
                <w:szCs w:val="18"/>
                <w:color w:val="auto"/>
              </w:rPr>
            </w:pPr>
          </w:p>
        </w:tc>
        <w:tc>
          <w:tcPr>
            <w:tcW w:w="740" w:type="dxa"/>
            <w:vAlign w:val="bottom"/>
          </w:tcPr>
          <w:p>
            <w:pPr>
              <w:jc w:val="right"/>
              <w:ind w:right="153"/>
              <w:spacing w:after="0"/>
              <w:rPr>
                <w:sz w:val="20"/>
                <w:szCs w:val="20"/>
                <w:color w:val="auto"/>
              </w:rPr>
            </w:pPr>
            <w:r>
              <w:rPr>
                <w:rFonts w:ascii="Arial" w:cs="Arial" w:eastAsia="Arial" w:hAnsi="Arial"/>
                <w:sz w:val="18"/>
                <w:szCs w:val="18"/>
                <w:color w:val="auto"/>
              </w:rPr>
              <w:t>1,520</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4,707</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420</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396</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1,222</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w w:val="83"/>
              </w:rPr>
              <w:t>13,046</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87"/>
              </w:rPr>
              <w:t>12,737</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83"/>
              </w:rPr>
              <w:t>39,926</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37,815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3,745</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3,414</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w w:val="83"/>
              </w:rPr>
              <w:t>11,117</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(663)</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(639)</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w w:val="91"/>
              </w:rPr>
              <w:t>(1,953)</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4"/>
              </w:rPr>
              <w:t>(1,928)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Investment income (loss), net</w:t>
            </w:r>
          </w:p>
        </w:tc>
        <w:tc>
          <w:tcPr>
            <w:tcW w:w="420" w:type="dxa"/>
            <w:vAlign w:val="bottom"/>
          </w:tcPr>
          <w:p>
            <w:pPr>
              <w:spacing w:after="0"/>
              <w:rPr>
                <w:sz w:val="18"/>
                <w:szCs w:val="18"/>
                <w:color w:val="auto"/>
              </w:rPr>
            </w:pPr>
          </w:p>
        </w:tc>
        <w:tc>
          <w:tcPr>
            <w:tcW w:w="720" w:type="dxa"/>
            <w:vAlign w:val="bottom"/>
          </w:tcPr>
          <w:p>
            <w:pPr>
              <w:jc w:val="right"/>
              <w:ind w:right="155"/>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740" w:type="dxa"/>
            <w:vAlign w:val="bottom"/>
          </w:tcPr>
          <w:p>
            <w:pPr>
              <w:jc w:val="right"/>
              <w:ind w:right="153"/>
              <w:spacing w:after="0"/>
              <w:rPr>
                <w:sz w:val="20"/>
                <w:szCs w:val="20"/>
                <w:color w:val="auto"/>
              </w:rPr>
            </w:pPr>
            <w:r>
              <w:rPr>
                <w:rFonts w:ascii="Arial" w:cs="Arial" w:eastAsia="Arial" w:hAnsi="Arial"/>
                <w:sz w:val="18"/>
                <w:szCs w:val="18"/>
                <w:color w:val="auto"/>
              </w:rPr>
              <w:t>464</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investees, net</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33</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87</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(96)</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(310)</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(150)</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(705)</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(615)</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w w:val="91"/>
              </w:rPr>
              <w:t>(1,762)</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4"/>
              </w:rPr>
              <w:t>(1,755)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8"/>
                <w:szCs w:val="18"/>
                <w:color w:val="auto"/>
              </w:rPr>
            </w:pPr>
          </w:p>
        </w:tc>
        <w:tc>
          <w:tcPr>
            <w:tcW w:w="720" w:type="dxa"/>
            <w:vAlign w:val="bottom"/>
          </w:tcPr>
          <w:p>
            <w:pPr>
              <w:jc w:val="right"/>
              <w:ind w:right="155"/>
              <w:spacing w:after="0"/>
              <w:rPr>
                <w:sz w:val="20"/>
                <w:szCs w:val="20"/>
                <w:color w:val="auto"/>
              </w:rPr>
            </w:pPr>
            <w:r>
              <w:rPr>
                <w:rFonts w:ascii="Arial" w:cs="Arial" w:eastAsia="Arial" w:hAnsi="Arial"/>
                <w:sz w:val="18"/>
                <w:szCs w:val="18"/>
                <w:color w:val="auto"/>
              </w:rPr>
              <w:t>3,040</w:t>
            </w:r>
          </w:p>
        </w:tc>
        <w:tc>
          <w:tcPr>
            <w:tcW w:w="280" w:type="dxa"/>
            <w:vAlign w:val="bottom"/>
          </w:tcPr>
          <w:p>
            <w:pPr>
              <w:spacing w:after="0"/>
              <w:rPr>
                <w:sz w:val="18"/>
                <w:szCs w:val="18"/>
                <w:color w:val="auto"/>
              </w:rPr>
            </w:pPr>
          </w:p>
        </w:tc>
        <w:tc>
          <w:tcPr>
            <w:tcW w:w="740" w:type="dxa"/>
            <w:vAlign w:val="bottom"/>
          </w:tcPr>
          <w:p>
            <w:pPr>
              <w:jc w:val="right"/>
              <w:ind w:right="153"/>
              <w:spacing w:after="0"/>
              <w:rPr>
                <w:sz w:val="20"/>
                <w:szCs w:val="20"/>
                <w:color w:val="auto"/>
              </w:rPr>
            </w:pPr>
            <w:r>
              <w:rPr>
                <w:rFonts w:ascii="Arial" w:cs="Arial" w:eastAsia="Arial" w:hAnsi="Arial"/>
                <w:sz w:val="18"/>
                <w:szCs w:val="18"/>
                <w:color w:val="auto"/>
              </w:rPr>
              <w:t>2,799</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9,355</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8,161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(407)</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w w:val="94"/>
              </w:rPr>
              <w:t>(1,021)</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w w:val="91"/>
              </w:rPr>
              <w:t>(2,759)</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4"/>
              </w:rPr>
              <w:t>(2,994)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8"/>
                <w:szCs w:val="18"/>
                <w:color w:val="auto"/>
              </w:rPr>
            </w:pPr>
          </w:p>
        </w:tc>
        <w:tc>
          <w:tcPr>
            <w:tcW w:w="720" w:type="dxa"/>
            <w:vAlign w:val="bottom"/>
          </w:tcPr>
          <w:p>
            <w:pPr>
              <w:jc w:val="right"/>
              <w:ind w:right="155"/>
              <w:spacing w:after="0"/>
              <w:rPr>
                <w:sz w:val="20"/>
                <w:szCs w:val="20"/>
                <w:color w:val="auto"/>
              </w:rPr>
            </w:pPr>
            <w:r>
              <w:rPr>
                <w:rFonts w:ascii="Arial" w:cs="Arial" w:eastAsia="Arial" w:hAnsi="Arial"/>
                <w:sz w:val="18"/>
                <w:szCs w:val="18"/>
                <w:color w:val="auto"/>
              </w:rPr>
              <w:t>2,633</w:t>
            </w:r>
          </w:p>
        </w:tc>
        <w:tc>
          <w:tcPr>
            <w:tcW w:w="280" w:type="dxa"/>
            <w:vAlign w:val="bottom"/>
          </w:tcPr>
          <w:p>
            <w:pPr>
              <w:spacing w:after="0"/>
              <w:rPr>
                <w:sz w:val="18"/>
                <w:szCs w:val="18"/>
                <w:color w:val="auto"/>
              </w:rPr>
            </w:pPr>
          </w:p>
        </w:tc>
        <w:tc>
          <w:tcPr>
            <w:tcW w:w="740" w:type="dxa"/>
            <w:vAlign w:val="bottom"/>
          </w:tcPr>
          <w:p>
            <w:pPr>
              <w:jc w:val="right"/>
              <w:ind w:right="153"/>
              <w:spacing w:after="0"/>
              <w:rPr>
                <w:sz w:val="20"/>
                <w:szCs w:val="20"/>
                <w:color w:val="auto"/>
              </w:rPr>
            </w:pPr>
            <w:r>
              <w:rPr>
                <w:rFonts w:ascii="Arial" w:cs="Arial" w:eastAsia="Arial" w:hAnsi="Arial"/>
                <w:sz w:val="18"/>
                <w:szCs w:val="18"/>
                <w:color w:val="auto"/>
              </w:rPr>
              <w:t>1,778</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6,596</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5,167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4"/>
              </w:rPr>
              <w:t>Net (income) loss attributable to noncontrolling interests and redeemable subsidiary preferred stock</w:t>
            </w:r>
          </w:p>
        </w:tc>
        <w:tc>
          <w:tcPr>
            <w:tcW w:w="4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(41)</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(46)</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(141)</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2,592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1,732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6,455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4,903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Basic earnings per common share attributable to Comcast Corporation shareholders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1.00</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0.66</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2.49</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 attributable to Comcast Corporation shareholders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55"/>
              <w:spacing w:after="0"/>
              <w:rPr>
                <w:sz w:val="20"/>
                <w:szCs w:val="20"/>
                <w:color w:val="auto"/>
              </w:rPr>
            </w:pPr>
            <w:r>
              <w:rPr>
                <w:rFonts w:ascii="Arial" w:cs="Arial" w:eastAsia="Arial" w:hAnsi="Arial"/>
                <w:sz w:val="18"/>
                <w:szCs w:val="18"/>
                <w:b w:val="1"/>
                <w:bCs w:val="1"/>
                <w:color w:val="auto"/>
              </w:rPr>
              <w:t>0.99</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53"/>
              <w:spacing w:after="0"/>
              <w:rPr>
                <w:sz w:val="20"/>
                <w:szCs w:val="20"/>
                <w:color w:val="auto"/>
              </w:rPr>
            </w:pPr>
            <w:r>
              <w:rPr>
                <w:rFonts w:ascii="Arial" w:cs="Arial" w:eastAsia="Arial" w:hAnsi="Arial"/>
                <w:sz w:val="18"/>
                <w:szCs w:val="18"/>
                <w:b w:val="1"/>
                <w:bCs w:val="1"/>
                <w:color w:val="auto"/>
              </w:rPr>
              <w:t>0.65</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15"/>
              <w:spacing w:after="0"/>
              <w:rPr>
                <w:sz w:val="20"/>
                <w:szCs w:val="20"/>
                <w:color w:val="auto"/>
              </w:rPr>
            </w:pPr>
            <w:r>
              <w:rPr>
                <w:rFonts w:ascii="Arial" w:cs="Arial" w:eastAsia="Arial" w:hAnsi="Arial"/>
                <w:sz w:val="18"/>
                <w:szCs w:val="18"/>
                <w:b w:val="1"/>
                <w:bCs w:val="1"/>
                <w:color w:val="auto"/>
              </w:rPr>
              <w:t>2.46</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b w:val="1"/>
                <w:bCs w:val="1"/>
                <w:color w:val="auto"/>
              </w:rPr>
              <w:t>1.84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0.225</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0.195</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0.675</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0.585</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080" w:type="dxa"/>
            <w:vAlign w:val="bottom"/>
            <w:gridSpan w:val="2"/>
          </w:tcPr>
          <w:p>
            <w:pPr>
              <w:jc w:val="right"/>
              <w:ind w:right="334"/>
              <w:spacing w:after="0"/>
              <w:rPr>
                <w:sz w:val="20"/>
                <w:szCs w:val="20"/>
                <w:color w:val="auto"/>
              </w:rPr>
            </w:pPr>
            <w:r>
              <w:rPr>
                <w:rFonts w:ascii="Arial" w:cs="Arial" w:eastAsia="Arial" w:hAnsi="Arial"/>
                <w:sz w:val="14"/>
                <w:szCs w:val="14"/>
                <w:color w:val="auto"/>
              </w:rPr>
              <w:t>Three Months Ended</w:t>
            </w:r>
          </w:p>
        </w:tc>
        <w:tc>
          <w:tcPr>
            <w:tcW w:w="1620" w:type="dxa"/>
            <w:vAlign w:val="bottom"/>
            <w:gridSpan w:val="2"/>
          </w:tcPr>
          <w:p>
            <w:pPr>
              <w:jc w:val="right"/>
              <w:ind w:right="134"/>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77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080" w:type="dxa"/>
            <w:vAlign w:val="bottom"/>
            <w:tcBorders>
              <w:bottom w:val="single" w:sz="8" w:color="auto"/>
            </w:tcBorders>
            <w:gridSpan w:val="2"/>
          </w:tcPr>
          <w:p>
            <w:pPr>
              <w:jc w:val="right"/>
              <w:ind w:right="534"/>
              <w:spacing w:after="0" w:line="159" w:lineRule="exact"/>
              <w:rPr>
                <w:sz w:val="20"/>
                <w:szCs w:val="20"/>
                <w:color w:val="auto"/>
              </w:rPr>
            </w:pPr>
            <w:r>
              <w:rPr>
                <w:rFonts w:ascii="Arial" w:cs="Arial" w:eastAsia="Arial" w:hAnsi="Arial"/>
                <w:sz w:val="14"/>
                <w:szCs w:val="14"/>
                <w:color w:val="auto"/>
              </w:rPr>
              <w:t>September 30</w:t>
            </w:r>
          </w:p>
        </w:tc>
        <w:tc>
          <w:tcPr>
            <w:tcW w:w="1620" w:type="dxa"/>
            <w:vAlign w:val="bottom"/>
            <w:tcBorders>
              <w:bottom w:val="single" w:sz="8" w:color="auto"/>
            </w:tcBorders>
            <w:gridSpan w:val="2"/>
          </w:tcPr>
          <w:p>
            <w:pPr>
              <w:jc w:val="right"/>
              <w:ind w:right="314"/>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7720" w:type="dxa"/>
            <w:vAlign w:val="bottom"/>
            <w:tcBorders>
              <w:bottom w:val="single" w:sz="8" w:color="auto"/>
            </w:tcBorders>
            <w:vMerge w:val="continue"/>
          </w:tcPr>
          <w:p>
            <w:pPr>
              <w:spacing w:after="0"/>
              <w:rPr>
                <w:sz w:val="12"/>
                <w:szCs w:val="12"/>
                <w:color w:val="auto"/>
              </w:rPr>
            </w:pPr>
          </w:p>
        </w:tc>
        <w:tc>
          <w:tcPr>
            <w:tcW w:w="110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color w:val="auto"/>
              </w:rPr>
              <w:t>2014</w:t>
            </w:r>
          </w:p>
        </w:tc>
        <w:tc>
          <w:tcPr>
            <w:tcW w:w="9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color w:val="auto"/>
              </w:rPr>
              <w:t>2013</w:t>
            </w:r>
          </w:p>
        </w:tc>
        <w:tc>
          <w:tcPr>
            <w:tcW w:w="88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color w:val="auto"/>
              </w:rPr>
              <w:t>2014</w:t>
            </w:r>
          </w:p>
        </w:tc>
        <w:tc>
          <w:tcPr>
            <w:tcW w:w="7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10"/>
        </w:trPr>
        <w:tc>
          <w:tcPr>
            <w:tcW w:w="772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110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$ 2,633</w:t>
            </w:r>
          </w:p>
        </w:tc>
        <w:tc>
          <w:tcPr>
            <w:tcW w:w="98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$ 1,778</w:t>
            </w:r>
          </w:p>
        </w:tc>
        <w:tc>
          <w:tcPr>
            <w:tcW w:w="88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$6,596</w:t>
            </w:r>
          </w:p>
        </w:tc>
        <w:tc>
          <w:tcPr>
            <w:tcW w:w="7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$5,167</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w w:val="94"/>
              </w:rPr>
              <w:t>Unrealized gains (losses) on marketable securities, net of deferred taxes of $—, $(11), $(19) and $(82)</w:t>
            </w:r>
          </w:p>
        </w:tc>
        <w:tc>
          <w:tcPr>
            <w:tcW w:w="110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4"/>
              <w:spacing w:after="0"/>
              <w:rPr>
                <w:sz w:val="20"/>
                <w:szCs w:val="20"/>
                <w:color w:val="auto"/>
              </w:rPr>
            </w:pPr>
            <w:r>
              <w:rPr>
                <w:rFonts w:ascii="Arial" w:cs="Arial" w:eastAsia="Arial" w:hAnsi="Arial"/>
                <w:sz w:val="18"/>
                <w:szCs w:val="18"/>
                <w:color w:val="auto"/>
              </w:rPr>
              <w:t>19</w:t>
            </w:r>
          </w:p>
        </w:tc>
        <w:tc>
          <w:tcPr>
            <w:tcW w:w="880" w:type="dxa"/>
            <w:vAlign w:val="bottom"/>
          </w:tcPr>
          <w:p>
            <w:pPr>
              <w:jc w:val="right"/>
              <w:ind w:right="117"/>
              <w:spacing w:after="0"/>
              <w:rPr>
                <w:sz w:val="20"/>
                <w:szCs w:val="20"/>
                <w:color w:val="auto"/>
              </w:rPr>
            </w:pPr>
            <w:r>
              <w:rPr>
                <w:rFonts w:ascii="Arial" w:cs="Arial" w:eastAsia="Arial" w:hAnsi="Arial"/>
                <w:sz w:val="18"/>
                <w:szCs w:val="18"/>
                <w:color w:val="auto"/>
              </w:rPr>
              <w:t>34</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7720" w:type="dxa"/>
            <w:vAlign w:val="bottom"/>
            <w:shd w:val="clear" w:color="auto" w:fill="E5E5E5"/>
          </w:tcPr>
          <w:p>
            <w:pPr>
              <w:spacing w:after="0"/>
              <w:rPr>
                <w:sz w:val="20"/>
                <w:szCs w:val="20"/>
                <w:color w:val="auto"/>
              </w:rPr>
            </w:pPr>
            <w:r>
              <w:rPr>
                <w:rFonts w:ascii="Arial" w:cs="Arial" w:eastAsia="Arial" w:hAnsi="Arial"/>
                <w:sz w:val="18"/>
                <w:szCs w:val="18"/>
                <w:color w:val="auto"/>
              </w:rPr>
              <w:t>Deferred gains (losses) on cash flow hedges, net of deferred taxes of $2, $(26), $1 and $(6)</w:t>
            </w:r>
          </w:p>
        </w:tc>
        <w:tc>
          <w:tcPr>
            <w:tcW w:w="110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(4)</w:t>
            </w:r>
          </w:p>
        </w:tc>
        <w:tc>
          <w:tcPr>
            <w:tcW w:w="98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45</w:t>
            </w:r>
          </w:p>
        </w:tc>
        <w:tc>
          <w:tcPr>
            <w:tcW w:w="88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(2)</w:t>
            </w:r>
          </w:p>
        </w:tc>
        <w:tc>
          <w:tcPr>
            <w:tcW w:w="7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Amounts reclassified to net income:</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E5E5E5"/>
          </w:tcPr>
          <w:p>
            <w:pPr>
              <w:ind w:left="440"/>
              <w:spacing w:after="0"/>
              <w:rPr>
                <w:sz w:val="20"/>
                <w:szCs w:val="20"/>
                <w:color w:val="auto"/>
              </w:rPr>
            </w:pPr>
            <w:r>
              <w:rPr>
                <w:rFonts w:ascii="Arial" w:cs="Arial" w:eastAsia="Arial" w:hAnsi="Arial"/>
                <w:sz w:val="18"/>
                <w:szCs w:val="18"/>
                <w:color w:val="auto"/>
                <w:w w:val="92"/>
              </w:rPr>
              <w:t>Realized (gains) losses on marketable securities, net of deferred taxes of $—, $165, $58 and $177</w:t>
            </w:r>
          </w:p>
        </w:tc>
        <w:tc>
          <w:tcPr>
            <w:tcW w:w="110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(1)</w:t>
            </w:r>
          </w:p>
        </w:tc>
        <w:tc>
          <w:tcPr>
            <w:tcW w:w="9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(278)</w:t>
            </w:r>
          </w:p>
        </w:tc>
        <w:tc>
          <w:tcPr>
            <w:tcW w:w="88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(98)</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7720" w:type="dxa"/>
            <w:vAlign w:val="bottom"/>
          </w:tcPr>
          <w:p>
            <w:pPr>
              <w:ind w:left="440"/>
              <w:spacing w:after="0"/>
              <w:rPr>
                <w:sz w:val="20"/>
                <w:szCs w:val="20"/>
                <w:color w:val="auto"/>
              </w:rPr>
            </w:pPr>
            <w:r>
              <w:rPr>
                <w:rFonts w:ascii="Arial" w:cs="Arial" w:eastAsia="Arial" w:hAnsi="Arial"/>
                <w:sz w:val="18"/>
                <w:szCs w:val="18"/>
                <w:color w:val="auto"/>
                <w:w w:val="95"/>
              </w:rPr>
              <w:t>Realized (gains) losses on cash flow hedges, net of deferred taxes of $(22), $22, $(10) and $(6)</w:t>
            </w:r>
          </w:p>
        </w:tc>
        <w:tc>
          <w:tcPr>
            <w:tcW w:w="1100" w:type="dxa"/>
            <w:vAlign w:val="bottom"/>
          </w:tcPr>
          <w:p>
            <w:pPr>
              <w:jc w:val="right"/>
              <w:ind w:right="157"/>
              <w:spacing w:after="0"/>
              <w:rPr>
                <w:sz w:val="20"/>
                <w:szCs w:val="20"/>
                <w:color w:val="auto"/>
              </w:rPr>
            </w:pPr>
            <w:r>
              <w:rPr>
                <w:rFonts w:ascii="Arial" w:cs="Arial" w:eastAsia="Arial" w:hAnsi="Arial"/>
                <w:sz w:val="18"/>
                <w:szCs w:val="18"/>
                <w:color w:val="auto"/>
              </w:rPr>
              <w:t>38</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(38)</w:t>
            </w:r>
          </w:p>
        </w:tc>
        <w:tc>
          <w:tcPr>
            <w:tcW w:w="880" w:type="dxa"/>
            <w:vAlign w:val="bottom"/>
          </w:tcPr>
          <w:p>
            <w:pPr>
              <w:jc w:val="right"/>
              <w:ind w:right="117"/>
              <w:spacing w:after="0"/>
              <w:rPr>
                <w:sz w:val="20"/>
                <w:szCs w:val="20"/>
                <w:color w:val="auto"/>
              </w:rPr>
            </w:pPr>
            <w:r>
              <w:rPr>
                <w:rFonts w:ascii="Arial" w:cs="Arial" w:eastAsia="Arial" w:hAnsi="Arial"/>
                <w:sz w:val="18"/>
                <w:szCs w:val="18"/>
                <w:color w:val="auto"/>
              </w:rPr>
              <w:t>18</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720" w:type="dxa"/>
            <w:vAlign w:val="bottom"/>
            <w:shd w:val="clear" w:color="auto" w:fill="E5E5E5"/>
          </w:tcPr>
          <w:p>
            <w:pPr>
              <w:spacing w:after="0"/>
              <w:rPr>
                <w:sz w:val="20"/>
                <w:szCs w:val="20"/>
                <w:color w:val="auto"/>
              </w:rPr>
            </w:pPr>
            <w:r>
              <w:rPr>
                <w:rFonts w:ascii="Arial" w:cs="Arial" w:eastAsia="Arial" w:hAnsi="Arial"/>
                <w:sz w:val="18"/>
                <w:szCs w:val="18"/>
                <w:color w:val="auto"/>
              </w:rPr>
              <w:t>Employee benefit obligations, net of deferred taxes of $—, $(34), $— and $(36)</w:t>
            </w:r>
          </w:p>
        </w:tc>
        <w:tc>
          <w:tcPr>
            <w:tcW w:w="110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57</w:t>
            </w:r>
          </w:p>
        </w:tc>
        <w:tc>
          <w:tcPr>
            <w:tcW w:w="88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(1)</w:t>
            </w:r>
          </w:p>
        </w:tc>
        <w:tc>
          <w:tcPr>
            <w:tcW w:w="7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7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Currency translation adjustments, net of deferred taxes of $10, $(5), $3 and $9</w:t>
            </w:r>
          </w:p>
        </w:tc>
        <w:tc>
          <w:tcPr>
            <w:tcW w:w="11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(16)</w:t>
            </w:r>
          </w:p>
        </w:tc>
        <w:tc>
          <w:tcPr>
            <w:tcW w:w="9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8</w:t>
            </w: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7720" w:type="dxa"/>
            <w:vAlign w:val="bottom"/>
            <w:shd w:val="clear" w:color="auto" w:fill="E5E5E5"/>
          </w:tcPr>
          <w:p>
            <w:pPr>
              <w:spacing w:after="0"/>
              <w:rPr>
                <w:sz w:val="20"/>
                <w:szCs w:val="20"/>
                <w:color w:val="auto"/>
              </w:rPr>
            </w:pPr>
            <w:r>
              <w:rPr>
                <w:rFonts w:ascii="Arial" w:cs="Arial" w:eastAsia="Arial" w:hAnsi="Arial"/>
                <w:sz w:val="18"/>
                <w:szCs w:val="18"/>
                <w:color w:val="auto"/>
              </w:rPr>
              <w:t>Comprehensive income</w:t>
            </w:r>
          </w:p>
        </w:tc>
        <w:tc>
          <w:tcPr>
            <w:tcW w:w="110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2,650</w:t>
            </w:r>
          </w:p>
        </w:tc>
        <w:tc>
          <w:tcPr>
            <w:tcW w:w="98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1,591</w:t>
            </w:r>
          </w:p>
        </w:tc>
        <w:tc>
          <w:tcPr>
            <w:tcW w:w="88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6,543</w:t>
            </w:r>
          </w:p>
        </w:tc>
        <w:tc>
          <w:tcPr>
            <w:tcW w:w="7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5,059</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w w:val="97"/>
              </w:rPr>
              <w:t>Net (income) loss attributable to noncontrolling interests and redeemable subsidiary preferred stock</w:t>
            </w:r>
          </w:p>
        </w:tc>
        <w:tc>
          <w:tcPr>
            <w:tcW w:w="1100" w:type="dxa"/>
            <w:vAlign w:val="bottom"/>
          </w:tcPr>
          <w:p>
            <w:pPr>
              <w:jc w:val="right"/>
              <w:ind w:right="97"/>
              <w:spacing w:after="0"/>
              <w:rPr>
                <w:sz w:val="20"/>
                <w:szCs w:val="20"/>
                <w:color w:val="auto"/>
              </w:rPr>
            </w:pPr>
            <w:r>
              <w:rPr>
                <w:rFonts w:ascii="Arial" w:cs="Arial" w:eastAsia="Arial" w:hAnsi="Arial"/>
                <w:sz w:val="18"/>
                <w:szCs w:val="18"/>
                <w:color w:val="auto"/>
              </w:rPr>
              <w:t>(41)</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(46)</w:t>
            </w:r>
          </w:p>
        </w:tc>
        <w:tc>
          <w:tcPr>
            <w:tcW w:w="880" w:type="dxa"/>
            <w:vAlign w:val="bottom"/>
          </w:tcPr>
          <w:p>
            <w:pPr>
              <w:jc w:val="right"/>
              <w:ind w:right="57"/>
              <w:spacing w:after="0"/>
              <w:rPr>
                <w:sz w:val="20"/>
                <w:szCs w:val="20"/>
                <w:color w:val="auto"/>
              </w:rPr>
            </w:pPr>
            <w:r>
              <w:rPr>
                <w:rFonts w:ascii="Arial" w:cs="Arial" w:eastAsia="Arial" w:hAnsi="Arial"/>
                <w:sz w:val="18"/>
                <w:szCs w:val="18"/>
                <w:color w:val="auto"/>
              </w:rPr>
              <w:t>(141)</w:t>
            </w:r>
          </w:p>
        </w:tc>
        <w:tc>
          <w:tcPr>
            <w:tcW w:w="74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77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comprehensive (income) loss attributable to noncontrolling interests</w:t>
            </w:r>
          </w:p>
        </w:tc>
        <w:tc>
          <w:tcPr>
            <w:tcW w:w="110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7"/>
        </w:trPr>
        <w:tc>
          <w:tcPr>
            <w:tcW w:w="7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Comprehensive income attributable to Comcast Corporation</w:t>
            </w:r>
          </w:p>
        </w:tc>
        <w:tc>
          <w:tcPr>
            <w:tcW w:w="11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$ 2,609</w:t>
            </w:r>
          </w:p>
        </w:tc>
        <w:tc>
          <w:tcPr>
            <w:tcW w:w="9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$ 1,545</w:t>
            </w: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$6,402</w:t>
            </w: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$4,804</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80" w:type="dxa"/>
            <w:vAlign w:val="bottom"/>
            <w:gridSpan w:val="3"/>
          </w:tcPr>
          <w:p>
            <w:pPr>
              <w:jc w:val="right"/>
              <w:ind w:right="353"/>
              <w:spacing w:after="0"/>
              <w:rPr>
                <w:sz w:val="20"/>
                <w:szCs w:val="20"/>
                <w:color w:val="auto"/>
              </w:rPr>
            </w:pPr>
            <w:r>
              <w:rPr>
                <w:rFonts w:ascii="Arial" w:cs="Arial" w:eastAsia="Arial" w:hAnsi="Arial"/>
                <w:sz w:val="14"/>
                <w:szCs w:val="14"/>
                <w:color w:val="auto"/>
                <w:w w:val="99"/>
              </w:rPr>
              <w:t>Nine Months Ended</w:t>
            </w:r>
          </w:p>
        </w:tc>
        <w:tc>
          <w:tcPr>
            <w:tcW w:w="0" w:type="dxa"/>
            <w:vAlign w:val="bottom"/>
          </w:tcPr>
          <w:p>
            <w:pPr>
              <w:spacing w:after="0"/>
              <w:rPr>
                <w:sz w:val="1"/>
                <w:szCs w:val="1"/>
                <w:color w:val="auto"/>
              </w:rPr>
            </w:pPr>
          </w:p>
        </w:tc>
      </w:tr>
      <w:tr>
        <w:trPr>
          <w:trHeight w:val="159"/>
        </w:trPr>
        <w:tc>
          <w:tcPr>
            <w:tcW w:w="92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533"/>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92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right"/>
              <w:ind w:right="254"/>
              <w:spacing w:after="0" w:line="142" w:lineRule="exact"/>
              <w:rPr>
                <w:sz w:val="20"/>
                <w:szCs w:val="20"/>
                <w:color w:val="auto"/>
              </w:rPr>
            </w:pPr>
            <w:r>
              <w:rPr>
                <w:rFonts w:ascii="Arial" w:cs="Arial" w:eastAsia="Arial" w:hAnsi="Arial"/>
                <w:sz w:val="14"/>
                <w:szCs w:val="14"/>
                <w:color w:val="auto"/>
              </w:rPr>
              <w:t>2014</w:t>
            </w:r>
          </w:p>
        </w:tc>
        <w:tc>
          <w:tcPr>
            <w:tcW w:w="240" w:type="dxa"/>
            <w:vAlign w:val="bottom"/>
          </w:tcPr>
          <w:p>
            <w:pPr>
              <w:spacing w:after="0"/>
              <w:rPr>
                <w:sz w:val="12"/>
                <w:szCs w:val="12"/>
                <w:color w:val="auto"/>
              </w:rPr>
            </w:pPr>
          </w:p>
        </w:tc>
        <w:tc>
          <w:tcPr>
            <w:tcW w:w="760" w:type="dxa"/>
            <w:vAlign w:val="bottom"/>
          </w:tcPr>
          <w:p>
            <w:pPr>
              <w:jc w:val="right"/>
              <w:ind w:right="313"/>
              <w:spacing w:after="0" w:line="142"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b w:val="1"/>
                <w:bCs w:val="1"/>
                <w:color w:val="auto"/>
                <w:w w:val="87"/>
              </w:rPr>
              <w:t>12,302</w:t>
            </w:r>
          </w:p>
        </w:tc>
        <w:tc>
          <w:tcPr>
            <w:tcW w:w="2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w w:val="94"/>
              </w:rPr>
              <w:t>11,679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Capital expenditures</w:t>
            </w: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w w:val="94"/>
              </w:rPr>
              <w:t>(5,196)</w:t>
            </w:r>
          </w:p>
        </w:tc>
        <w:tc>
          <w:tcPr>
            <w:tcW w:w="2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Cash paid for intangible assets</w:t>
            </w:r>
          </w:p>
        </w:tc>
        <w:tc>
          <w:tcPr>
            <w:tcW w:w="540" w:type="dxa"/>
            <w:vAlign w:val="bottom"/>
          </w:tcPr>
          <w:p>
            <w:pPr>
              <w:spacing w:after="0"/>
              <w:rPr>
                <w:sz w:val="18"/>
                <w:szCs w:val="18"/>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(735)</w:t>
            </w:r>
          </w:p>
        </w:tc>
        <w:tc>
          <w:tcPr>
            <w:tcW w:w="240" w:type="dxa"/>
            <w:vAlign w:val="bottom"/>
          </w:tcPr>
          <w:p>
            <w:pPr>
              <w:spacing w:after="0"/>
              <w:rPr>
                <w:sz w:val="18"/>
                <w:szCs w:val="18"/>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Acquisitions and construction of real estate properties</w:t>
            </w: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(28)</w:t>
            </w:r>
          </w:p>
        </w:tc>
        <w:tc>
          <w:tcPr>
            <w:tcW w:w="2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Acquisitions, net of cash acquired</w:t>
            </w:r>
          </w:p>
        </w:tc>
        <w:tc>
          <w:tcPr>
            <w:tcW w:w="540" w:type="dxa"/>
            <w:vAlign w:val="bottom"/>
          </w:tcPr>
          <w:p>
            <w:pPr>
              <w:spacing w:after="0"/>
              <w:rPr>
                <w:sz w:val="18"/>
                <w:szCs w:val="18"/>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(477)</w:t>
            </w:r>
          </w:p>
        </w:tc>
        <w:tc>
          <w:tcPr>
            <w:tcW w:w="240" w:type="dxa"/>
            <w:vAlign w:val="bottom"/>
          </w:tcPr>
          <w:p>
            <w:pPr>
              <w:spacing w:after="0"/>
              <w:rPr>
                <w:sz w:val="18"/>
                <w:szCs w:val="18"/>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sales of businesses and investments</w:t>
            </w: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622</w:t>
            </w:r>
          </w:p>
        </w:tc>
        <w:tc>
          <w:tcPr>
            <w:tcW w:w="2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Return of capital from investees</w:t>
            </w:r>
          </w:p>
        </w:tc>
        <w:tc>
          <w:tcPr>
            <w:tcW w:w="540" w:type="dxa"/>
            <w:vAlign w:val="bottom"/>
          </w:tcPr>
          <w:p>
            <w:pPr>
              <w:spacing w:after="0"/>
              <w:rPr>
                <w:sz w:val="18"/>
                <w:szCs w:val="18"/>
                <w:color w:val="auto"/>
              </w:rPr>
            </w:pPr>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760" w:type="dxa"/>
            <w:vAlign w:val="bottom"/>
          </w:tcPr>
          <w:p>
            <w:pPr>
              <w:jc w:val="right"/>
              <w:ind w:right="133"/>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Purchases of investments</w:t>
            </w: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(127)</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5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b w:val="1"/>
                <w:bCs w:val="1"/>
                <w:color w:val="auto"/>
                <w:w w:val="94"/>
              </w:rPr>
              <w:t>(6,080)</w:t>
            </w:r>
          </w:p>
        </w:tc>
        <w:tc>
          <w:tcPr>
            <w:tcW w:w="2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(7,327)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(repayments of) short-term borrowings, net</w:t>
            </w: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(437)</w:t>
            </w:r>
          </w:p>
        </w:tc>
        <w:tc>
          <w:tcPr>
            <w:tcW w:w="2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Proceeds from borrowings</w:t>
            </w:r>
          </w:p>
        </w:tc>
        <w:tc>
          <w:tcPr>
            <w:tcW w:w="540" w:type="dxa"/>
            <w:vAlign w:val="bottom"/>
          </w:tcPr>
          <w:p>
            <w:pPr>
              <w:spacing w:after="0"/>
              <w:rPr>
                <w:sz w:val="18"/>
                <w:szCs w:val="18"/>
                <w:color w:val="auto"/>
              </w:rPr>
            </w:pPr>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4,182</w:t>
            </w:r>
          </w:p>
        </w:tc>
        <w:tc>
          <w:tcPr>
            <w:tcW w:w="240" w:type="dxa"/>
            <w:vAlign w:val="bottom"/>
          </w:tcPr>
          <w:p>
            <w:pPr>
              <w:spacing w:after="0"/>
              <w:rPr>
                <w:sz w:val="18"/>
                <w:szCs w:val="18"/>
                <w:color w:val="auto"/>
              </w:rPr>
            </w:pPr>
          </w:p>
        </w:tc>
        <w:tc>
          <w:tcPr>
            <w:tcW w:w="760" w:type="dxa"/>
            <w:vAlign w:val="bottom"/>
          </w:tcPr>
          <w:p>
            <w:pPr>
              <w:jc w:val="right"/>
              <w:ind w:right="133"/>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Repurchases and repayments of debt</w:t>
            </w: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w w:val="94"/>
              </w:rPr>
              <w:t>(3,172)</w:t>
            </w:r>
          </w:p>
        </w:tc>
        <w:tc>
          <w:tcPr>
            <w:tcW w:w="2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Repurchases and retirements of common stock</w:t>
            </w:r>
          </w:p>
        </w:tc>
        <w:tc>
          <w:tcPr>
            <w:tcW w:w="540" w:type="dxa"/>
            <w:vAlign w:val="bottom"/>
          </w:tcPr>
          <w:p>
            <w:pPr>
              <w:spacing w:after="0"/>
              <w:rPr>
                <w:sz w:val="18"/>
                <w:szCs w:val="18"/>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w w:val="94"/>
              </w:rPr>
              <w:t>(2,250)</w:t>
            </w:r>
          </w:p>
        </w:tc>
        <w:tc>
          <w:tcPr>
            <w:tcW w:w="240" w:type="dxa"/>
            <w:vAlign w:val="bottom"/>
          </w:tcPr>
          <w:p>
            <w:pPr>
              <w:spacing w:after="0"/>
              <w:rPr>
                <w:sz w:val="18"/>
                <w:szCs w:val="18"/>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Dividends paid</w:t>
            </w: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w w:val="94"/>
              </w:rPr>
              <w:t>(1,676)</w:t>
            </w:r>
          </w:p>
        </w:tc>
        <w:tc>
          <w:tcPr>
            <w:tcW w:w="2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Issuances of common stock</w:t>
            </w:r>
          </w:p>
        </w:tc>
        <w:tc>
          <w:tcPr>
            <w:tcW w:w="540" w:type="dxa"/>
            <w:vAlign w:val="bottom"/>
          </w:tcPr>
          <w:p>
            <w:pPr>
              <w:spacing w:after="0"/>
              <w:rPr>
                <w:sz w:val="18"/>
                <w:szCs w:val="18"/>
                <w:color w:val="auto"/>
              </w:rPr>
            </w:pPr>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760" w:type="dxa"/>
            <w:vAlign w:val="bottom"/>
          </w:tcPr>
          <w:p>
            <w:pPr>
              <w:jc w:val="right"/>
              <w:ind w:right="13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Purchase of NBCUniversal noncontrolling common equity interest</w:t>
            </w: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6"/>
              </w:rPr>
              <w:t>(10,761)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540" w:type="dxa"/>
            <w:vAlign w:val="bottom"/>
          </w:tcPr>
          <w:p>
            <w:pPr>
              <w:spacing w:after="0"/>
              <w:rPr>
                <w:sz w:val="18"/>
                <w:szCs w:val="18"/>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18"/>
                <w:szCs w:val="18"/>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Settlement of Station Venture liability</w:t>
            </w: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97</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5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b w:val="1"/>
                <w:bCs w:val="1"/>
                <w:color w:val="auto"/>
                <w:w w:val="94"/>
              </w:rPr>
              <w:t>(3,393)</w:t>
            </w:r>
          </w:p>
        </w:tc>
        <w:tc>
          <w:tcPr>
            <w:tcW w:w="2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86"/>
              </w:rPr>
              <w:t>(13,700)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540" w:type="dxa"/>
            <w:vAlign w:val="bottom"/>
          </w:tcPr>
          <w:p>
            <w:pPr>
              <w:spacing w:after="0"/>
              <w:rPr>
                <w:sz w:val="18"/>
                <w:szCs w:val="18"/>
                <w:color w:val="auto"/>
              </w:rPr>
            </w:pPr>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2,829</w:t>
            </w:r>
          </w:p>
        </w:tc>
        <w:tc>
          <w:tcPr>
            <w:tcW w:w="240" w:type="dxa"/>
            <w:vAlign w:val="bottom"/>
          </w:tcPr>
          <w:p>
            <w:pPr>
              <w:spacing w:after="0"/>
              <w:rPr>
                <w:sz w:val="18"/>
                <w:szCs w:val="18"/>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(9,348)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5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1,718</w:t>
            </w:r>
          </w:p>
        </w:tc>
        <w:tc>
          <w:tcPr>
            <w:tcW w:w="2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w w:val="94"/>
              </w:rPr>
              <w:t>10,951</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4,547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1,603</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Borders>
              <w:right w:val="single" w:sz="8" w:color="auto"/>
            </w:tcBorders>
          </w:tcPr>
          <w:p>
            <w:pPr>
              <w:jc w:val="center"/>
              <w:ind w:right="352"/>
              <w:spacing w:after="0"/>
              <w:rPr>
                <w:sz w:val="20"/>
                <w:szCs w:val="20"/>
                <w:color w:val="auto"/>
              </w:rPr>
            </w:pPr>
            <w:r>
              <w:rPr>
                <w:rFonts w:ascii="Arial" w:cs="Arial" w:eastAsia="Arial" w:hAnsi="Arial"/>
                <w:sz w:val="14"/>
                <w:szCs w:val="14"/>
                <w:color w:val="auto"/>
                <w:w w:val="85"/>
              </w:rPr>
              <w:t>Redeemable</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480" w:type="dxa"/>
            <w:vAlign w:val="bottom"/>
            <w:tcBorders>
              <w:right w:val="single" w:sz="8" w:color="auto"/>
            </w:tcBorders>
            <w:gridSpan w:val="2"/>
          </w:tcPr>
          <w:p>
            <w:pPr>
              <w:ind w:left="280"/>
              <w:spacing w:after="0" w:line="149" w:lineRule="exact"/>
              <w:rPr>
                <w:sz w:val="20"/>
                <w:szCs w:val="20"/>
                <w:color w:val="auto"/>
              </w:rPr>
            </w:pPr>
            <w:r>
              <w:rPr>
                <w:rFonts w:ascii="Arial" w:cs="Arial" w:eastAsia="Arial" w:hAnsi="Arial"/>
                <w:sz w:val="14"/>
                <w:szCs w:val="14"/>
                <w:color w:val="auto"/>
              </w:rPr>
              <w:t>Noncontrolling</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Borders>
              <w:right w:val="single" w:sz="8" w:color="auto"/>
            </w:tcBorders>
          </w:tcPr>
          <w:p>
            <w:pPr>
              <w:jc w:val="center"/>
              <w:ind w:right="352"/>
              <w:spacing w:after="0" w:line="149" w:lineRule="exact"/>
              <w:rPr>
                <w:sz w:val="20"/>
                <w:szCs w:val="20"/>
                <w:color w:val="auto"/>
              </w:rPr>
            </w:pPr>
            <w:r>
              <w:rPr>
                <w:rFonts w:ascii="Arial" w:cs="Arial" w:eastAsia="Arial" w:hAnsi="Arial"/>
                <w:sz w:val="14"/>
                <w:szCs w:val="14"/>
                <w:color w:val="auto"/>
                <w:w w:val="83"/>
              </w:rPr>
              <w:t>Interests and</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8"/>
              </w:rPr>
              <w:t>Accumulated</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Borders>
              <w:right w:val="single" w:sz="8" w:color="auto"/>
            </w:tcBorders>
          </w:tcPr>
          <w:p>
            <w:pPr>
              <w:jc w:val="center"/>
              <w:ind w:right="352"/>
              <w:spacing w:after="0"/>
              <w:rPr>
                <w:sz w:val="20"/>
                <w:szCs w:val="20"/>
                <w:color w:val="auto"/>
              </w:rPr>
            </w:pPr>
            <w:r>
              <w:rPr>
                <w:rFonts w:ascii="Arial" w:cs="Arial" w:eastAsia="Arial" w:hAnsi="Arial"/>
                <w:sz w:val="14"/>
                <w:szCs w:val="14"/>
                <w:color w:val="auto"/>
                <w:w w:val="85"/>
              </w:rPr>
              <w:t>Redeemable</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color w:val="auto"/>
                <w:w w:val="89"/>
              </w:rPr>
              <w:t>Common Stock</w:t>
            </w:r>
          </w:p>
        </w:tc>
        <w:tc>
          <w:tcPr>
            <w:tcW w:w="360" w:type="dxa"/>
            <w:vAlign w:val="bottom"/>
          </w:tcPr>
          <w:p>
            <w:pPr>
              <w:spacing w:after="0"/>
              <w:rPr>
                <w:sz w:val="15"/>
                <w:szCs w:val="15"/>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color w:val="auto"/>
              </w:rPr>
              <w:t>Additional</w:t>
            </w:r>
          </w:p>
        </w:tc>
        <w:tc>
          <w:tcPr>
            <w:tcW w:w="740" w:type="dxa"/>
            <w:vAlign w:val="bottom"/>
          </w:tcPr>
          <w:p>
            <w:pPr>
              <w:spacing w:after="0"/>
              <w:rPr>
                <w:sz w:val="15"/>
                <w:szCs w:val="15"/>
                <w:color w:val="auto"/>
              </w:rPr>
            </w:pPr>
          </w:p>
        </w:tc>
        <w:tc>
          <w:tcPr>
            <w:tcW w:w="740" w:type="dxa"/>
            <w:vAlign w:val="bottom"/>
            <w:gridSpan w:val="2"/>
          </w:tcPr>
          <w:p>
            <w:pPr>
              <w:ind w:left="120"/>
              <w:spacing w:after="0"/>
              <w:rPr>
                <w:sz w:val="20"/>
                <w:szCs w:val="20"/>
                <w:color w:val="auto"/>
              </w:rPr>
            </w:pPr>
            <w:r>
              <w:rPr>
                <w:rFonts w:ascii="Arial" w:cs="Arial" w:eastAsia="Arial" w:hAnsi="Arial"/>
                <w:sz w:val="14"/>
                <w:szCs w:val="14"/>
                <w:color w:val="auto"/>
              </w:rPr>
              <w:t>Treasury</w:t>
            </w:r>
          </w:p>
        </w:tc>
        <w:tc>
          <w:tcPr>
            <w:tcW w:w="280" w:type="dxa"/>
            <w:vAlign w:val="bottom"/>
          </w:tcPr>
          <w:p>
            <w:pPr>
              <w:spacing w:after="0"/>
              <w:rPr>
                <w:sz w:val="15"/>
                <w:szCs w:val="15"/>
                <w:color w:val="auto"/>
              </w:rPr>
            </w:pPr>
          </w:p>
        </w:tc>
        <w:tc>
          <w:tcPr>
            <w:tcW w:w="840" w:type="dxa"/>
            <w:vAlign w:val="bottom"/>
          </w:tcPr>
          <w:p>
            <w:pPr>
              <w:jc w:val="center"/>
              <w:ind w:right="272"/>
              <w:spacing w:after="0"/>
              <w:rPr>
                <w:sz w:val="20"/>
                <w:szCs w:val="20"/>
                <w:color w:val="auto"/>
              </w:rPr>
            </w:pPr>
            <w:r>
              <w:rPr>
                <w:rFonts w:ascii="Arial" w:cs="Arial" w:eastAsia="Arial" w:hAnsi="Arial"/>
                <w:sz w:val="14"/>
                <w:szCs w:val="14"/>
                <w:color w:val="auto"/>
                <w:w w:val="85"/>
              </w:rPr>
              <w:t>Other</w:t>
            </w:r>
          </w:p>
        </w:tc>
        <w:tc>
          <w:tcPr>
            <w:tcW w:w="160" w:type="dxa"/>
            <w:vAlign w:val="bottom"/>
          </w:tcPr>
          <w:p>
            <w:pPr>
              <w:spacing w:after="0"/>
              <w:rPr>
                <w:sz w:val="15"/>
                <w:szCs w:val="15"/>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color w:val="auto"/>
              </w:rPr>
              <w:t>Non-</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Borders>
              <w:right w:val="single" w:sz="8" w:color="auto"/>
            </w:tcBorders>
            <w:vMerge w:val="restart"/>
          </w:tcPr>
          <w:p>
            <w:pPr>
              <w:jc w:val="center"/>
              <w:ind w:right="372"/>
              <w:spacing w:after="0" w:line="125" w:lineRule="exact"/>
              <w:rPr>
                <w:sz w:val="20"/>
                <w:szCs w:val="20"/>
                <w:color w:val="auto"/>
              </w:rPr>
            </w:pPr>
            <w:r>
              <w:rPr>
                <w:rFonts w:ascii="Arial" w:cs="Arial" w:eastAsia="Arial" w:hAnsi="Arial"/>
                <w:sz w:val="14"/>
                <w:szCs w:val="14"/>
                <w:color w:val="auto"/>
                <w:w w:val="88"/>
              </w:rPr>
              <w:t>Subsidiary</w:t>
            </w:r>
          </w:p>
        </w:tc>
        <w:tc>
          <w:tcPr>
            <w:tcW w:w="200" w:type="dxa"/>
            <w:vAlign w:val="bottom"/>
            <w:vMerge w:val="restart"/>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vMerge w:val="restart"/>
          </w:tcPr>
          <w:p>
            <w:pPr>
              <w:jc w:val="right"/>
              <w:ind w:right="172"/>
              <w:spacing w:after="0" w:line="125" w:lineRule="exact"/>
              <w:rPr>
                <w:sz w:val="20"/>
                <w:szCs w:val="20"/>
                <w:color w:val="auto"/>
              </w:rPr>
            </w:pPr>
            <w:r>
              <w:rPr>
                <w:rFonts w:ascii="Arial" w:cs="Arial" w:eastAsia="Arial" w:hAnsi="Arial"/>
                <w:sz w:val="14"/>
                <w:szCs w:val="14"/>
                <w:color w:val="auto"/>
                <w:w w:val="90"/>
              </w:rPr>
              <w:t>Paid-In</w:t>
            </w:r>
          </w:p>
        </w:tc>
        <w:tc>
          <w:tcPr>
            <w:tcW w:w="740" w:type="dxa"/>
            <w:vAlign w:val="bottom"/>
            <w:vMerge w:val="restart"/>
          </w:tcPr>
          <w:p>
            <w:pPr>
              <w:jc w:val="right"/>
              <w:ind w:right="92"/>
              <w:spacing w:after="0" w:line="125" w:lineRule="exact"/>
              <w:rPr>
                <w:sz w:val="20"/>
                <w:szCs w:val="20"/>
                <w:color w:val="auto"/>
              </w:rPr>
            </w:pPr>
            <w:r>
              <w:rPr>
                <w:rFonts w:ascii="Arial" w:cs="Arial" w:eastAsia="Arial" w:hAnsi="Arial"/>
                <w:sz w:val="14"/>
                <w:szCs w:val="14"/>
                <w:color w:val="auto"/>
                <w:w w:val="99"/>
              </w:rPr>
              <w:t>Retained</w:t>
            </w:r>
          </w:p>
        </w:tc>
        <w:tc>
          <w:tcPr>
            <w:tcW w:w="740" w:type="dxa"/>
            <w:vAlign w:val="bottom"/>
            <w:gridSpan w:val="2"/>
            <w:vMerge w:val="restart"/>
          </w:tcPr>
          <w:p>
            <w:pPr>
              <w:ind w:left="120"/>
              <w:spacing w:after="0" w:line="125" w:lineRule="exact"/>
              <w:rPr>
                <w:sz w:val="20"/>
                <w:szCs w:val="20"/>
                <w:color w:val="auto"/>
              </w:rPr>
            </w:pPr>
            <w:r>
              <w:rPr>
                <w:rFonts w:ascii="Arial" w:cs="Arial" w:eastAsia="Arial" w:hAnsi="Arial"/>
                <w:sz w:val="14"/>
                <w:szCs w:val="14"/>
                <w:color w:val="auto"/>
              </w:rPr>
              <w:t>Stock at</w:t>
            </w:r>
          </w:p>
        </w:tc>
        <w:tc>
          <w:tcPr>
            <w:tcW w:w="1120" w:type="dxa"/>
            <w:vAlign w:val="bottom"/>
            <w:gridSpan w:val="2"/>
            <w:vMerge w:val="restart"/>
          </w:tcPr>
          <w:p>
            <w:pPr>
              <w:ind w:left="120"/>
              <w:spacing w:after="0" w:line="125" w:lineRule="exact"/>
              <w:rPr>
                <w:sz w:val="20"/>
                <w:szCs w:val="20"/>
                <w:color w:val="auto"/>
              </w:rPr>
            </w:pPr>
            <w:r>
              <w:rPr>
                <w:rFonts w:ascii="Arial" w:cs="Arial" w:eastAsia="Arial" w:hAnsi="Arial"/>
                <w:sz w:val="14"/>
                <w:szCs w:val="14"/>
                <w:color w:val="auto"/>
                <w:w w:val="99"/>
              </w:rPr>
              <w:t>Comprehensive</w:t>
            </w:r>
          </w:p>
        </w:tc>
        <w:tc>
          <w:tcPr>
            <w:tcW w:w="800" w:type="dxa"/>
            <w:vAlign w:val="bottom"/>
            <w:gridSpan w:val="2"/>
            <w:vMerge w:val="restart"/>
          </w:tcPr>
          <w:p>
            <w:pPr>
              <w:ind w:left="100"/>
              <w:spacing w:after="0" w:line="125" w:lineRule="exact"/>
              <w:rPr>
                <w:sz w:val="20"/>
                <w:szCs w:val="20"/>
                <w:color w:val="auto"/>
              </w:rPr>
            </w:pPr>
            <w:r>
              <w:rPr>
                <w:rFonts w:ascii="Arial" w:cs="Arial" w:eastAsia="Arial" w:hAnsi="Arial"/>
                <w:sz w:val="14"/>
                <w:szCs w:val="14"/>
                <w:color w:val="auto"/>
              </w:rPr>
              <w:t>controlling</w:t>
            </w:r>
          </w:p>
        </w:tc>
        <w:tc>
          <w:tcPr>
            <w:tcW w:w="620" w:type="dxa"/>
            <w:vAlign w:val="bottom"/>
            <w:vMerge w:val="restart"/>
          </w:tcPr>
          <w:p>
            <w:pPr>
              <w:jc w:val="right"/>
              <w:ind w:right="132"/>
              <w:spacing w:after="0" w:line="125"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31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480" w:type="dxa"/>
            <w:vAlign w:val="bottom"/>
            <w:tcBorders>
              <w:right w:val="single" w:sz="8" w:color="auto"/>
            </w:tcBorders>
            <w:gridSpan w:val="2"/>
          </w:tcPr>
          <w:p>
            <w:pPr>
              <w:ind w:left="280"/>
              <w:spacing w:after="0"/>
              <w:rPr>
                <w:sz w:val="20"/>
                <w:szCs w:val="20"/>
                <w:color w:val="auto"/>
              </w:rPr>
            </w:pPr>
            <w:r>
              <w:rPr>
                <w:rFonts w:ascii="Arial" w:cs="Arial" w:eastAsia="Arial" w:hAnsi="Arial"/>
                <w:sz w:val="14"/>
                <w:szCs w:val="14"/>
                <w:color w:val="auto"/>
              </w:rPr>
              <w:t>Preferred Stock</w:t>
            </w:r>
          </w:p>
        </w:tc>
        <w:tc>
          <w:tcPr>
            <w:tcW w:w="200" w:type="dxa"/>
            <w:vAlign w:val="bottom"/>
          </w:tcPr>
          <w:p>
            <w:pPr>
              <w:spacing w:after="0"/>
              <w:rPr>
                <w:sz w:val="15"/>
                <w:szCs w:val="15"/>
                <w:color w:val="auto"/>
              </w:rPr>
            </w:pPr>
          </w:p>
        </w:tc>
        <w:tc>
          <w:tcPr>
            <w:tcW w:w="420" w:type="dxa"/>
            <w:vAlign w:val="bottom"/>
          </w:tcPr>
          <w:p>
            <w:pPr>
              <w:jc w:val="center"/>
              <w:ind w:left="52"/>
              <w:spacing w:after="0"/>
              <w:rPr>
                <w:sz w:val="20"/>
                <w:szCs w:val="20"/>
                <w:color w:val="auto"/>
              </w:rPr>
            </w:pPr>
            <w:r>
              <w:rPr>
                <w:rFonts w:ascii="Arial" w:cs="Arial" w:eastAsia="Arial" w:hAnsi="Arial"/>
                <w:sz w:val="14"/>
                <w:szCs w:val="14"/>
                <w:color w:val="auto"/>
              </w:rPr>
              <w:t>A</w:t>
            </w:r>
          </w:p>
        </w:tc>
        <w:tc>
          <w:tcPr>
            <w:tcW w:w="940" w:type="dxa"/>
            <w:vAlign w:val="bottom"/>
            <w:gridSpan w:val="2"/>
          </w:tcPr>
          <w:p>
            <w:pPr>
              <w:ind w:left="200"/>
              <w:spacing w:after="0"/>
              <w:rPr>
                <w:sz w:val="20"/>
                <w:szCs w:val="20"/>
                <w:color w:val="auto"/>
              </w:rPr>
            </w:pPr>
            <w:r>
              <w:rPr>
                <w:rFonts w:ascii="Arial" w:cs="Arial" w:eastAsia="Arial" w:hAnsi="Arial"/>
                <w:sz w:val="14"/>
                <w:szCs w:val="14"/>
                <w:color w:val="auto"/>
              </w:rPr>
              <w:t>A Special</w:t>
            </w:r>
          </w:p>
        </w:tc>
        <w:tc>
          <w:tcPr>
            <w:tcW w:w="360" w:type="dxa"/>
            <w:vAlign w:val="bottom"/>
          </w:tcPr>
          <w:p>
            <w:pPr>
              <w:jc w:val="center"/>
              <w:spacing w:after="0"/>
              <w:rPr>
                <w:sz w:val="20"/>
                <w:szCs w:val="20"/>
                <w:color w:val="auto"/>
              </w:rPr>
            </w:pPr>
            <w:r>
              <w:rPr>
                <w:rFonts w:ascii="Arial" w:cs="Arial" w:eastAsia="Arial" w:hAnsi="Arial"/>
                <w:sz w:val="14"/>
                <w:szCs w:val="14"/>
                <w:color w:val="auto"/>
                <w:w w:val="85"/>
              </w:rPr>
              <w:t>B</w:t>
            </w:r>
          </w:p>
        </w:tc>
        <w:tc>
          <w:tcPr>
            <w:tcW w:w="240" w:type="dxa"/>
            <w:vAlign w:val="bottom"/>
          </w:tcPr>
          <w:p>
            <w:pPr>
              <w:spacing w:after="0"/>
              <w:rPr>
                <w:sz w:val="15"/>
                <w:szCs w:val="15"/>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color w:val="auto"/>
                <w:w w:val="91"/>
              </w:rPr>
              <w:t>Capital</w:t>
            </w:r>
          </w:p>
        </w:tc>
        <w:tc>
          <w:tcPr>
            <w:tcW w:w="740" w:type="dxa"/>
            <w:vAlign w:val="bottom"/>
          </w:tcPr>
          <w:p>
            <w:pPr>
              <w:jc w:val="right"/>
              <w:ind w:right="92"/>
              <w:spacing w:after="0"/>
              <w:rPr>
                <w:sz w:val="20"/>
                <w:szCs w:val="20"/>
                <w:color w:val="auto"/>
              </w:rPr>
            </w:pPr>
            <w:r>
              <w:rPr>
                <w:rFonts w:ascii="Arial" w:cs="Arial" w:eastAsia="Arial" w:hAnsi="Arial"/>
                <w:sz w:val="14"/>
                <w:szCs w:val="14"/>
                <w:color w:val="auto"/>
              </w:rPr>
              <w:t>Earnings</w:t>
            </w:r>
          </w:p>
        </w:tc>
        <w:tc>
          <w:tcPr>
            <w:tcW w:w="200" w:type="dxa"/>
            <w:vAlign w:val="bottom"/>
          </w:tcPr>
          <w:p>
            <w:pPr>
              <w:spacing w:after="0"/>
              <w:rPr>
                <w:sz w:val="15"/>
                <w:szCs w:val="15"/>
                <w:color w:val="auto"/>
              </w:rPr>
            </w:pPr>
          </w:p>
        </w:tc>
        <w:tc>
          <w:tcPr>
            <w:tcW w:w="540" w:type="dxa"/>
            <w:vAlign w:val="bottom"/>
          </w:tcPr>
          <w:p>
            <w:pPr>
              <w:jc w:val="right"/>
              <w:ind w:right="192"/>
              <w:spacing w:after="0"/>
              <w:rPr>
                <w:sz w:val="20"/>
                <w:szCs w:val="20"/>
                <w:color w:val="auto"/>
              </w:rPr>
            </w:pPr>
            <w:r>
              <w:rPr>
                <w:rFonts w:ascii="Arial" w:cs="Arial" w:eastAsia="Arial" w:hAnsi="Arial"/>
                <w:sz w:val="14"/>
                <w:szCs w:val="14"/>
                <w:color w:val="auto"/>
                <w:w w:val="90"/>
              </w:rPr>
              <w:t>Cost</w:t>
            </w: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87"/>
              </w:rPr>
              <w:t>Income (Loss)</w:t>
            </w:r>
          </w:p>
        </w:tc>
        <w:tc>
          <w:tcPr>
            <w:tcW w:w="160" w:type="dxa"/>
            <w:vAlign w:val="bottom"/>
          </w:tcPr>
          <w:p>
            <w:pPr>
              <w:spacing w:after="0"/>
              <w:rPr>
                <w:sz w:val="15"/>
                <w:szCs w:val="15"/>
                <w:color w:val="auto"/>
              </w:rPr>
            </w:pPr>
          </w:p>
        </w:tc>
        <w:tc>
          <w:tcPr>
            <w:tcW w:w="640" w:type="dxa"/>
            <w:vAlign w:val="bottom"/>
          </w:tcPr>
          <w:p>
            <w:pPr>
              <w:jc w:val="right"/>
              <w:ind w:right="112"/>
              <w:spacing w:after="0"/>
              <w:rPr>
                <w:sz w:val="20"/>
                <w:szCs w:val="20"/>
                <w:color w:val="auto"/>
              </w:rPr>
            </w:pPr>
            <w:r>
              <w:rPr>
                <w:rFonts w:ascii="Arial" w:cs="Arial" w:eastAsia="Arial" w:hAnsi="Arial"/>
                <w:sz w:val="14"/>
                <w:szCs w:val="14"/>
                <w:color w:val="auto"/>
                <w:w w:val="81"/>
              </w:rPr>
              <w:t>Interests</w:t>
            </w:r>
          </w:p>
        </w:tc>
        <w:tc>
          <w:tcPr>
            <w:tcW w:w="620" w:type="dxa"/>
            <w:vAlign w:val="bottom"/>
          </w:tcPr>
          <w:p>
            <w:pPr>
              <w:jc w:val="right"/>
              <w:ind w:right="92"/>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color w:val="auto"/>
              </w:rPr>
              <w:t>Balance, January 1, 2013</w:t>
            </w:r>
          </w:p>
        </w:tc>
        <w:tc>
          <w:tcPr>
            <w:tcW w:w="34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right w:val="single" w:sz="8" w:color="auto"/>
            </w:tcBorders>
            <w:shd w:val="clear" w:color="auto" w:fill="E5E5E5"/>
          </w:tcPr>
          <w:p>
            <w:pPr>
              <w:jc w:val="right"/>
              <w:ind w:right="292"/>
              <w:spacing w:after="0" w:line="142" w:lineRule="exact"/>
              <w:rPr>
                <w:sz w:val="20"/>
                <w:szCs w:val="20"/>
                <w:color w:val="auto"/>
              </w:rPr>
            </w:pPr>
            <w:r>
              <w:rPr>
                <w:rFonts w:ascii="Arial" w:cs="Arial" w:eastAsia="Arial" w:hAnsi="Arial"/>
                <w:sz w:val="14"/>
                <w:szCs w:val="14"/>
                <w:color w:val="auto"/>
              </w:rPr>
              <w:t>16,998</w:t>
            </w:r>
          </w:p>
        </w:tc>
        <w:tc>
          <w:tcPr>
            <w:tcW w:w="200" w:type="dxa"/>
            <w:vAlign w:val="bottom"/>
            <w:tcBorders>
              <w:top w:val="single" w:sz="8" w:color="auto"/>
            </w:tcBorders>
            <w:shd w:val="clear" w:color="auto" w:fill="E5E5E5"/>
          </w:tcPr>
          <w:p>
            <w:pPr>
              <w:spacing w:after="0"/>
              <w:rPr>
                <w:sz w:val="12"/>
                <w:szCs w:val="12"/>
                <w:color w:val="auto"/>
              </w:rPr>
            </w:pPr>
          </w:p>
        </w:tc>
        <w:tc>
          <w:tcPr>
            <w:tcW w:w="420" w:type="dxa"/>
            <w:vAlign w:val="bottom"/>
            <w:tcBorders>
              <w:top w:val="single" w:sz="8" w:color="auto"/>
            </w:tcBorders>
            <w:shd w:val="clear" w:color="auto" w:fill="E5E5E5"/>
          </w:tcPr>
          <w:p>
            <w:pPr>
              <w:jc w:val="center"/>
              <w:ind w:left="72"/>
              <w:spacing w:after="0" w:line="142" w:lineRule="exact"/>
              <w:rPr>
                <w:sz w:val="20"/>
                <w:szCs w:val="20"/>
                <w:color w:val="auto"/>
              </w:rPr>
            </w:pPr>
            <w:r>
              <w:rPr>
                <w:rFonts w:ascii="Arial" w:cs="Arial" w:eastAsia="Arial" w:hAnsi="Arial"/>
                <w:sz w:val="14"/>
                <w:szCs w:val="14"/>
                <w:color w:val="auto"/>
                <w:w w:val="85"/>
              </w:rPr>
              <w:t>$25</w:t>
            </w:r>
          </w:p>
        </w:tc>
        <w:tc>
          <w:tcPr>
            <w:tcW w:w="440" w:type="dxa"/>
            <w:vAlign w:val="bottom"/>
            <w:tcBorders>
              <w:top w:val="single" w:sz="8" w:color="auto"/>
            </w:tcBorders>
            <w:shd w:val="clear" w:color="auto" w:fill="E5E5E5"/>
          </w:tcPr>
          <w:p>
            <w:pPr>
              <w:ind w:left="200"/>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6</w:t>
            </w:r>
          </w:p>
        </w:tc>
        <w:tc>
          <w:tcPr>
            <w:tcW w:w="360" w:type="dxa"/>
            <w:vAlign w:val="bottom"/>
            <w:tcBorders>
              <w:top w:val="single" w:sz="8" w:color="auto"/>
            </w:tcBorders>
            <w:shd w:val="clear" w:color="auto" w:fill="E5E5E5"/>
          </w:tcPr>
          <w:p>
            <w:pPr>
              <w:jc w:val="center"/>
              <w:spacing w:after="0" w:line="142" w:lineRule="exact"/>
              <w:rPr>
                <w:sz w:val="20"/>
                <w:szCs w:val="20"/>
                <w:color w:val="auto"/>
              </w:rPr>
            </w:pPr>
            <w:r>
              <w:rPr>
                <w:rFonts w:ascii="Arial" w:cs="Arial" w:eastAsia="Arial" w:hAnsi="Arial"/>
                <w:sz w:val="14"/>
                <w:szCs w:val="14"/>
                <w:color w:val="auto"/>
                <w:w w:val="93"/>
              </w:rPr>
              <w:t>$ —</w:t>
            </w:r>
          </w:p>
        </w:tc>
        <w:tc>
          <w:tcPr>
            <w:tcW w:w="240" w:type="dxa"/>
            <w:vAlign w:val="bottom"/>
            <w:tcBorders>
              <w:top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40,547</w:t>
            </w:r>
          </w:p>
        </w:tc>
        <w:tc>
          <w:tcPr>
            <w:tcW w:w="740" w:type="dxa"/>
            <w:vAlign w:val="bottom"/>
            <w:tcBorders>
              <w:top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$ 16,280</w:t>
            </w:r>
          </w:p>
        </w:tc>
        <w:tc>
          <w:tcPr>
            <w:tcW w:w="200" w:type="dxa"/>
            <w:vAlign w:val="bottom"/>
            <w:tcBorders>
              <w:top w:val="single" w:sz="8" w:color="auto"/>
            </w:tcBorders>
            <w:shd w:val="clear" w:color="auto" w:fill="E5E5E5"/>
          </w:tcPr>
          <w:p>
            <w:pPr>
              <w:ind w:left="10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w w:val="94"/>
              </w:rPr>
              <w:t>(7,517)</w:t>
            </w:r>
          </w:p>
        </w:tc>
        <w:tc>
          <w:tcPr>
            <w:tcW w:w="280" w:type="dxa"/>
            <w:vAlign w:val="bottom"/>
            <w:tcBorders>
              <w:top w:val="single" w:sz="8" w:color="auto"/>
            </w:tcBorders>
            <w:shd w:val="clear" w:color="auto" w:fill="E5E5E5"/>
          </w:tcPr>
          <w:p>
            <w:pPr>
              <w:ind w:left="100"/>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15</w:t>
            </w:r>
          </w:p>
        </w:tc>
        <w:tc>
          <w:tcPr>
            <w:tcW w:w="160" w:type="dxa"/>
            <w:vAlign w:val="bottom"/>
            <w:tcBorders>
              <w:top w:val="single" w:sz="8" w:color="auto"/>
            </w:tcBorders>
            <w:shd w:val="clear" w:color="auto" w:fill="E5E5E5"/>
          </w:tcPr>
          <w:p>
            <w:pPr>
              <w:ind w:left="10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440</w:t>
            </w:r>
          </w:p>
        </w:tc>
        <w:tc>
          <w:tcPr>
            <w:tcW w:w="62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w w:val="98"/>
              </w:rPr>
              <w:t>$49,796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Stock compensation plans</w:t>
            </w:r>
          </w:p>
        </w:tc>
        <w:tc>
          <w:tcPr>
            <w:tcW w:w="34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433</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(255)</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340" w:type="dxa"/>
            <w:vAlign w:val="bottom"/>
            <w:shd w:val="clear" w:color="auto" w:fill="E5E5E5"/>
          </w:tcPr>
          <w:p>
            <w:pPr>
              <w:spacing w:after="0"/>
              <w:rPr>
                <w:sz w:val="12"/>
                <w:szCs w:val="12"/>
                <w:color w:val="auto"/>
              </w:rPr>
            </w:pPr>
          </w:p>
        </w:tc>
        <w:tc>
          <w:tcPr>
            <w:tcW w:w="1140" w:type="dxa"/>
            <w:vAlign w:val="bottom"/>
            <w:tcBorders>
              <w:right w:val="single" w:sz="8" w:color="auto"/>
            </w:tcBorders>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(1)</w:t>
            </w:r>
          </w:p>
        </w:tc>
        <w:tc>
          <w:tcPr>
            <w:tcW w:w="36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(432)</w:t>
            </w:r>
          </w:p>
        </w:tc>
        <w:tc>
          <w:tcPr>
            <w:tcW w:w="74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(1,067)</w:t>
            </w:r>
          </w:p>
        </w:tc>
        <w:tc>
          <w:tcPr>
            <w:tcW w:w="20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tcPr>
          <w:p>
            <w:pPr>
              <w:spacing w:after="0" w:line="138" w:lineRule="exact"/>
              <w:rPr>
                <w:sz w:val="20"/>
                <w:szCs w:val="20"/>
                <w:color w:val="auto"/>
              </w:rPr>
            </w:pPr>
            <w:r>
              <w:rPr>
                <w:rFonts w:ascii="Arial" w:cs="Arial" w:eastAsia="Arial" w:hAnsi="Arial"/>
                <w:sz w:val="14"/>
                <w:szCs w:val="14"/>
                <w:color w:val="auto"/>
              </w:rPr>
              <w:t>Employee stock purchase</w:t>
            </w:r>
          </w:p>
        </w:tc>
        <w:tc>
          <w:tcPr>
            <w:tcW w:w="34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tcPr>
          <w:p>
            <w:pPr>
              <w:ind w:left="200"/>
              <w:spacing w:after="0" w:line="159" w:lineRule="exact"/>
              <w:rPr>
                <w:sz w:val="20"/>
                <w:szCs w:val="20"/>
                <w:color w:val="auto"/>
              </w:rPr>
            </w:pPr>
            <w:r>
              <w:rPr>
                <w:rFonts w:ascii="Arial" w:cs="Arial" w:eastAsia="Arial" w:hAnsi="Arial"/>
                <w:sz w:val="14"/>
                <w:szCs w:val="14"/>
                <w:color w:val="auto"/>
              </w:rPr>
              <w:t>plans</w:t>
            </w:r>
          </w:p>
        </w:tc>
        <w:tc>
          <w:tcPr>
            <w:tcW w:w="340" w:type="dxa"/>
            <w:vAlign w:val="bottom"/>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ind w:right="92"/>
              <w:spacing w:after="0" w:line="159" w:lineRule="exact"/>
              <w:rPr>
                <w:sz w:val="20"/>
                <w:szCs w:val="20"/>
                <w:color w:val="auto"/>
              </w:rPr>
            </w:pPr>
            <w:r>
              <w:rPr>
                <w:rFonts w:ascii="Arial" w:cs="Arial" w:eastAsia="Arial" w:hAnsi="Arial"/>
                <w:sz w:val="14"/>
                <w:szCs w:val="14"/>
                <w:color w:val="auto"/>
              </w:rPr>
              <w:t>75</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jc w:val="right"/>
              <w:ind w:right="32"/>
              <w:spacing w:after="0" w:line="15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Dividends declared</w:t>
            </w:r>
          </w:p>
        </w:tc>
        <w:tc>
          <w:tcPr>
            <w:tcW w:w="340" w:type="dxa"/>
            <w:vAlign w:val="bottom"/>
            <w:shd w:val="clear" w:color="auto" w:fill="E5E5E5"/>
          </w:tcPr>
          <w:p>
            <w:pPr>
              <w:spacing w:after="0"/>
              <w:rPr>
                <w:sz w:val="12"/>
                <w:szCs w:val="12"/>
                <w:color w:val="auto"/>
              </w:rPr>
            </w:pPr>
          </w:p>
        </w:tc>
        <w:tc>
          <w:tcPr>
            <w:tcW w:w="1140" w:type="dxa"/>
            <w:vAlign w:val="bottom"/>
            <w:tcBorders>
              <w:right w:val="single" w:sz="8" w:color="auto"/>
            </w:tcBorders>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(1,537)</w:t>
            </w:r>
          </w:p>
        </w:tc>
        <w:tc>
          <w:tcPr>
            <w:tcW w:w="20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(1,537)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340" w:type="dxa"/>
            <w:vAlign w:val="bottom"/>
          </w:tcPr>
          <w:p>
            <w:pPr>
              <w:spacing w:after="0"/>
              <w:rPr>
                <w:sz w:val="12"/>
                <w:szCs w:val="12"/>
                <w:color w:val="auto"/>
              </w:rPr>
            </w:pPr>
          </w:p>
        </w:tc>
        <w:tc>
          <w:tcPr>
            <w:tcW w:w="1140" w:type="dxa"/>
            <w:vAlign w:val="bottom"/>
            <w:tcBorders>
              <w:right w:val="single" w:sz="8" w:color="auto"/>
            </w:tcBorders>
          </w:tcPr>
          <w:p>
            <w:pPr>
              <w:jc w:val="right"/>
              <w:ind w:right="252"/>
              <w:spacing w:after="0" w:line="149" w:lineRule="exact"/>
              <w:rPr>
                <w:sz w:val="20"/>
                <w:szCs w:val="20"/>
                <w:color w:val="auto"/>
              </w:rPr>
            </w:pPr>
            <w:r>
              <w:rPr>
                <w:rFonts w:ascii="Arial" w:cs="Arial" w:eastAsia="Arial" w:hAnsi="Arial"/>
                <w:sz w:val="14"/>
                <w:szCs w:val="14"/>
                <w:color w:val="auto"/>
              </w:rPr>
              <w:t>(9)</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(99)</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shd w:val="clear" w:color="auto" w:fill="E5E5E5"/>
          </w:tcPr>
          <w:p>
            <w:pPr>
              <w:spacing w:after="0" w:line="138" w:lineRule="exact"/>
              <w:rPr>
                <w:sz w:val="20"/>
                <w:szCs w:val="20"/>
                <w:color w:val="auto"/>
              </w:rPr>
            </w:pPr>
            <w:r>
              <w:rPr>
                <w:rFonts w:ascii="Arial" w:cs="Arial" w:eastAsia="Arial" w:hAnsi="Arial"/>
                <w:sz w:val="14"/>
                <w:szCs w:val="14"/>
                <w:color w:val="auto"/>
                <w:w w:val="97"/>
              </w:rPr>
              <w:t>Purchase of NBCUniversal noncontrolling common</w:t>
            </w:r>
          </w:p>
        </w:tc>
        <w:tc>
          <w:tcPr>
            <w:tcW w:w="340" w:type="dxa"/>
            <w:vAlign w:val="bottom"/>
            <w:shd w:val="clear" w:color="auto" w:fill="E5E5E5"/>
          </w:tcPr>
          <w:p>
            <w:pPr>
              <w:spacing w:after="0"/>
              <w:rPr>
                <w:sz w:val="11"/>
                <w:szCs w:val="11"/>
                <w:color w:val="auto"/>
              </w:rPr>
            </w:pPr>
          </w:p>
        </w:tc>
        <w:tc>
          <w:tcPr>
            <w:tcW w:w="1140" w:type="dxa"/>
            <w:vAlign w:val="bottom"/>
            <w:tcBorders>
              <w:right w:val="single" w:sz="8" w:color="auto"/>
            </w:tcBorders>
            <w:shd w:val="clear" w:color="auto" w:fill="E5E5E5"/>
          </w:tcPr>
          <w:p>
            <w:pPr>
              <w:spacing w:after="0"/>
              <w:rPr>
                <w:sz w:val="11"/>
                <w:szCs w:val="11"/>
                <w:color w:val="auto"/>
              </w:rPr>
            </w:pPr>
          </w:p>
        </w:tc>
        <w:tc>
          <w:tcPr>
            <w:tcW w:w="200" w:type="dxa"/>
            <w:vAlign w:val="bottom"/>
            <w:shd w:val="clear" w:color="auto" w:fill="E5E5E5"/>
          </w:tcPr>
          <w:p>
            <w:pPr>
              <w:spacing w:after="0"/>
              <w:rPr>
                <w:sz w:val="11"/>
                <w:szCs w:val="11"/>
                <w:color w:val="auto"/>
              </w:rPr>
            </w:pPr>
          </w:p>
        </w:tc>
        <w:tc>
          <w:tcPr>
            <w:tcW w:w="420" w:type="dxa"/>
            <w:vAlign w:val="bottom"/>
            <w:shd w:val="clear" w:color="auto" w:fill="E5E5E5"/>
          </w:tcPr>
          <w:p>
            <w:pPr>
              <w:spacing w:after="0"/>
              <w:rPr>
                <w:sz w:val="11"/>
                <w:szCs w:val="11"/>
                <w:color w:val="auto"/>
              </w:rPr>
            </w:pPr>
          </w:p>
        </w:tc>
        <w:tc>
          <w:tcPr>
            <w:tcW w:w="44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36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740" w:type="dxa"/>
            <w:vAlign w:val="bottom"/>
            <w:shd w:val="clear" w:color="auto" w:fill="E5E5E5"/>
          </w:tcPr>
          <w:p>
            <w:pPr>
              <w:spacing w:after="0"/>
              <w:rPr>
                <w:sz w:val="11"/>
                <w:szCs w:val="11"/>
                <w:color w:val="auto"/>
              </w:rPr>
            </w:pPr>
          </w:p>
        </w:tc>
        <w:tc>
          <w:tcPr>
            <w:tcW w:w="200" w:type="dxa"/>
            <w:vAlign w:val="bottom"/>
            <w:shd w:val="clear" w:color="auto" w:fill="E5E5E5"/>
          </w:tcPr>
          <w:p>
            <w:pPr>
              <w:spacing w:after="0"/>
              <w:rPr>
                <w:sz w:val="11"/>
                <w:szCs w:val="11"/>
                <w:color w:val="auto"/>
              </w:rPr>
            </w:pPr>
          </w:p>
        </w:tc>
        <w:tc>
          <w:tcPr>
            <w:tcW w:w="540" w:type="dxa"/>
            <w:vAlign w:val="bottom"/>
            <w:shd w:val="clear" w:color="auto" w:fill="E5E5E5"/>
          </w:tcPr>
          <w:p>
            <w:pPr>
              <w:spacing w:after="0"/>
              <w:rPr>
                <w:sz w:val="11"/>
                <w:szCs w:val="11"/>
                <w:color w:val="auto"/>
              </w:rPr>
            </w:pPr>
          </w:p>
        </w:tc>
        <w:tc>
          <w:tcPr>
            <w:tcW w:w="280" w:type="dxa"/>
            <w:vAlign w:val="bottom"/>
            <w:shd w:val="clear" w:color="auto" w:fill="E5E5E5"/>
          </w:tcPr>
          <w:p>
            <w:pPr>
              <w:spacing w:after="0"/>
              <w:rPr>
                <w:sz w:val="11"/>
                <w:szCs w:val="11"/>
                <w:color w:val="auto"/>
              </w:rPr>
            </w:pPr>
          </w:p>
        </w:tc>
        <w:tc>
          <w:tcPr>
            <w:tcW w:w="840" w:type="dxa"/>
            <w:vAlign w:val="bottom"/>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shd w:val="clear" w:color="auto" w:fill="E5E5E5"/>
          </w:tcPr>
          <w:p>
            <w:pPr>
              <w:ind w:left="200"/>
              <w:spacing w:after="0" w:line="159" w:lineRule="exact"/>
              <w:rPr>
                <w:sz w:val="20"/>
                <w:szCs w:val="20"/>
                <w:color w:val="auto"/>
              </w:rPr>
            </w:pPr>
            <w:r>
              <w:rPr>
                <w:rFonts w:ascii="Arial" w:cs="Arial" w:eastAsia="Arial" w:hAnsi="Arial"/>
                <w:sz w:val="14"/>
                <w:szCs w:val="14"/>
                <w:color w:val="auto"/>
              </w:rPr>
              <w:t>equity interest</w:t>
            </w:r>
          </w:p>
        </w:tc>
        <w:tc>
          <w:tcPr>
            <w:tcW w:w="340" w:type="dxa"/>
            <w:vAlign w:val="bottom"/>
            <w:shd w:val="clear" w:color="auto" w:fill="E5E5E5"/>
          </w:tcPr>
          <w:p>
            <w:pPr>
              <w:spacing w:after="0"/>
              <w:rPr>
                <w:sz w:val="13"/>
                <w:szCs w:val="13"/>
                <w:color w:val="auto"/>
              </w:rPr>
            </w:pPr>
          </w:p>
        </w:tc>
        <w:tc>
          <w:tcPr>
            <w:tcW w:w="1140" w:type="dxa"/>
            <w:vAlign w:val="bottom"/>
            <w:tcBorders>
              <w:right w:val="single" w:sz="8" w:color="auto"/>
            </w:tcBorders>
            <w:shd w:val="clear" w:color="auto" w:fill="E5E5E5"/>
          </w:tcPr>
          <w:p>
            <w:pPr>
              <w:jc w:val="right"/>
              <w:ind w:right="252"/>
              <w:spacing w:after="0" w:line="159" w:lineRule="exact"/>
              <w:rPr>
                <w:sz w:val="20"/>
                <w:szCs w:val="20"/>
                <w:color w:val="auto"/>
              </w:rPr>
            </w:pPr>
            <w:r>
              <w:rPr>
                <w:rFonts w:ascii="Arial" w:cs="Arial" w:eastAsia="Arial" w:hAnsi="Arial"/>
                <w:sz w:val="14"/>
                <w:szCs w:val="14"/>
                <w:color w:val="auto"/>
              </w:rPr>
              <w:t>(17,006)</w:t>
            </w:r>
          </w:p>
        </w:tc>
        <w:tc>
          <w:tcPr>
            <w:tcW w:w="200" w:type="dxa"/>
            <w:vAlign w:val="bottom"/>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440" w:type="dxa"/>
            <w:vAlign w:val="bottom"/>
            <w:shd w:val="clear" w:color="auto" w:fill="E5E5E5"/>
          </w:tcPr>
          <w:p>
            <w:pPr>
              <w:spacing w:after="0"/>
              <w:rPr>
                <w:sz w:val="13"/>
                <w:szCs w:val="13"/>
                <w:color w:val="auto"/>
              </w:rPr>
            </w:pPr>
          </w:p>
        </w:tc>
        <w:tc>
          <w:tcPr>
            <w:tcW w:w="500" w:type="dxa"/>
            <w:vAlign w:val="bottom"/>
            <w:shd w:val="clear" w:color="auto" w:fill="E5E5E5"/>
          </w:tcPr>
          <w:p>
            <w:pPr>
              <w:spacing w:after="0"/>
              <w:rPr>
                <w:sz w:val="13"/>
                <w:szCs w:val="13"/>
                <w:color w:val="auto"/>
              </w:rPr>
            </w:pPr>
          </w:p>
        </w:tc>
        <w:tc>
          <w:tcPr>
            <w:tcW w:w="36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660" w:type="dxa"/>
            <w:vAlign w:val="bottom"/>
            <w:shd w:val="clear" w:color="auto" w:fill="E5E5E5"/>
          </w:tcPr>
          <w:p>
            <w:pPr>
              <w:jc w:val="right"/>
              <w:ind w:right="32"/>
              <w:spacing w:after="0" w:line="159" w:lineRule="exact"/>
              <w:rPr>
                <w:sz w:val="20"/>
                <w:szCs w:val="20"/>
                <w:color w:val="auto"/>
              </w:rPr>
            </w:pPr>
            <w:r>
              <w:rPr>
                <w:rFonts w:ascii="Arial" w:cs="Arial" w:eastAsia="Arial" w:hAnsi="Arial"/>
                <w:sz w:val="14"/>
                <w:szCs w:val="14"/>
                <w:color w:val="auto"/>
              </w:rPr>
              <w:t>(1,482)</w:t>
            </w:r>
          </w:p>
        </w:tc>
        <w:tc>
          <w:tcPr>
            <w:tcW w:w="74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840" w:type="dxa"/>
            <w:vAlign w:val="bottom"/>
            <w:shd w:val="clear" w:color="auto" w:fill="E5E5E5"/>
          </w:tcPr>
          <w:p>
            <w:pPr>
              <w:jc w:val="right"/>
              <w:ind w:right="52"/>
              <w:spacing w:after="0" w:line="159" w:lineRule="exact"/>
              <w:rPr>
                <w:sz w:val="20"/>
                <w:szCs w:val="20"/>
                <w:color w:val="auto"/>
              </w:rPr>
            </w:pPr>
            <w:r>
              <w:rPr>
                <w:rFonts w:ascii="Arial" w:cs="Arial" w:eastAsia="Arial" w:hAnsi="Arial"/>
                <w:sz w:val="14"/>
                <w:szCs w:val="14"/>
                <w:color w:val="auto"/>
              </w:rPr>
              <w:t>(26)</w:t>
            </w:r>
          </w:p>
        </w:tc>
        <w:tc>
          <w:tcPr>
            <w:tcW w:w="16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62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auto"/>
              </w:rPr>
              <w:t>(1,508)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tcPr>
          <w:p>
            <w:pPr>
              <w:spacing w:after="0" w:line="138" w:lineRule="exact"/>
              <w:rPr>
                <w:sz w:val="20"/>
                <w:szCs w:val="20"/>
                <w:color w:val="auto"/>
              </w:rPr>
            </w:pPr>
            <w:r>
              <w:rPr>
                <w:rFonts w:ascii="Arial" w:cs="Arial" w:eastAsia="Arial" w:hAnsi="Arial"/>
                <w:sz w:val="14"/>
                <w:szCs w:val="14"/>
                <w:color w:val="auto"/>
              </w:rPr>
              <w:t>Redeemable subsidiary</w:t>
            </w:r>
          </w:p>
        </w:tc>
        <w:tc>
          <w:tcPr>
            <w:tcW w:w="34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tcPr>
          <w:p>
            <w:pPr>
              <w:ind w:left="200"/>
              <w:spacing w:after="0" w:line="159" w:lineRule="exact"/>
              <w:rPr>
                <w:sz w:val="20"/>
                <w:szCs w:val="20"/>
                <w:color w:val="auto"/>
              </w:rPr>
            </w:pPr>
            <w:r>
              <w:rPr>
                <w:rFonts w:ascii="Arial" w:cs="Arial" w:eastAsia="Arial" w:hAnsi="Arial"/>
                <w:sz w:val="14"/>
                <w:szCs w:val="14"/>
                <w:color w:val="auto"/>
              </w:rPr>
              <w:t>preferred stock</w:t>
            </w:r>
          </w:p>
        </w:tc>
        <w:tc>
          <w:tcPr>
            <w:tcW w:w="340" w:type="dxa"/>
            <w:vAlign w:val="bottom"/>
          </w:tcPr>
          <w:p>
            <w:pPr>
              <w:spacing w:after="0"/>
              <w:rPr>
                <w:sz w:val="13"/>
                <w:szCs w:val="13"/>
                <w:color w:val="auto"/>
              </w:rPr>
            </w:pPr>
          </w:p>
        </w:tc>
        <w:tc>
          <w:tcPr>
            <w:tcW w:w="1140" w:type="dxa"/>
            <w:vAlign w:val="bottom"/>
            <w:tcBorders>
              <w:right w:val="single" w:sz="8" w:color="auto"/>
            </w:tcBorders>
          </w:tcPr>
          <w:p>
            <w:pPr>
              <w:jc w:val="right"/>
              <w:ind w:right="292"/>
              <w:spacing w:after="0" w:line="159" w:lineRule="exact"/>
              <w:rPr>
                <w:sz w:val="20"/>
                <w:szCs w:val="20"/>
                <w:color w:val="auto"/>
              </w:rPr>
            </w:pPr>
            <w:r>
              <w:rPr>
                <w:rFonts w:ascii="Arial" w:cs="Arial" w:eastAsia="Arial" w:hAnsi="Arial"/>
                <w:sz w:val="14"/>
                <w:szCs w:val="14"/>
                <w:color w:val="auto"/>
              </w:rPr>
              <w:t>725</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shd w:val="clear" w:color="auto" w:fill="E5E5E5"/>
          </w:tcPr>
          <w:p>
            <w:pPr>
              <w:spacing w:after="0" w:line="138" w:lineRule="exact"/>
              <w:rPr>
                <w:sz w:val="20"/>
                <w:szCs w:val="20"/>
                <w:color w:val="auto"/>
              </w:rPr>
            </w:pPr>
            <w:r>
              <w:rPr>
                <w:rFonts w:ascii="Arial" w:cs="Arial" w:eastAsia="Arial" w:hAnsi="Arial"/>
                <w:sz w:val="14"/>
                <w:szCs w:val="14"/>
                <w:color w:val="auto"/>
              </w:rPr>
              <w:t>Contributions from</w:t>
            </w:r>
          </w:p>
        </w:tc>
        <w:tc>
          <w:tcPr>
            <w:tcW w:w="340" w:type="dxa"/>
            <w:vAlign w:val="bottom"/>
            <w:shd w:val="clear" w:color="auto" w:fill="E5E5E5"/>
          </w:tcPr>
          <w:p>
            <w:pPr>
              <w:spacing w:after="0"/>
              <w:rPr>
                <w:sz w:val="11"/>
                <w:szCs w:val="11"/>
                <w:color w:val="auto"/>
              </w:rPr>
            </w:pPr>
          </w:p>
        </w:tc>
        <w:tc>
          <w:tcPr>
            <w:tcW w:w="1140" w:type="dxa"/>
            <w:vAlign w:val="bottom"/>
            <w:tcBorders>
              <w:right w:val="single" w:sz="8" w:color="auto"/>
            </w:tcBorders>
            <w:shd w:val="clear" w:color="auto" w:fill="E5E5E5"/>
          </w:tcPr>
          <w:p>
            <w:pPr>
              <w:spacing w:after="0"/>
              <w:rPr>
                <w:sz w:val="11"/>
                <w:szCs w:val="11"/>
                <w:color w:val="auto"/>
              </w:rPr>
            </w:pPr>
          </w:p>
        </w:tc>
        <w:tc>
          <w:tcPr>
            <w:tcW w:w="200" w:type="dxa"/>
            <w:vAlign w:val="bottom"/>
            <w:shd w:val="clear" w:color="auto" w:fill="E5E5E5"/>
          </w:tcPr>
          <w:p>
            <w:pPr>
              <w:spacing w:after="0"/>
              <w:rPr>
                <w:sz w:val="11"/>
                <w:szCs w:val="11"/>
                <w:color w:val="auto"/>
              </w:rPr>
            </w:pPr>
          </w:p>
        </w:tc>
        <w:tc>
          <w:tcPr>
            <w:tcW w:w="420" w:type="dxa"/>
            <w:vAlign w:val="bottom"/>
            <w:shd w:val="clear" w:color="auto" w:fill="E5E5E5"/>
          </w:tcPr>
          <w:p>
            <w:pPr>
              <w:spacing w:after="0"/>
              <w:rPr>
                <w:sz w:val="11"/>
                <w:szCs w:val="11"/>
                <w:color w:val="auto"/>
              </w:rPr>
            </w:pPr>
          </w:p>
        </w:tc>
        <w:tc>
          <w:tcPr>
            <w:tcW w:w="44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36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740" w:type="dxa"/>
            <w:vAlign w:val="bottom"/>
            <w:shd w:val="clear" w:color="auto" w:fill="E5E5E5"/>
          </w:tcPr>
          <w:p>
            <w:pPr>
              <w:spacing w:after="0"/>
              <w:rPr>
                <w:sz w:val="11"/>
                <w:szCs w:val="11"/>
                <w:color w:val="auto"/>
              </w:rPr>
            </w:pPr>
          </w:p>
        </w:tc>
        <w:tc>
          <w:tcPr>
            <w:tcW w:w="200" w:type="dxa"/>
            <w:vAlign w:val="bottom"/>
            <w:shd w:val="clear" w:color="auto" w:fill="E5E5E5"/>
          </w:tcPr>
          <w:p>
            <w:pPr>
              <w:spacing w:after="0"/>
              <w:rPr>
                <w:sz w:val="11"/>
                <w:szCs w:val="11"/>
                <w:color w:val="auto"/>
              </w:rPr>
            </w:pPr>
          </w:p>
        </w:tc>
        <w:tc>
          <w:tcPr>
            <w:tcW w:w="540" w:type="dxa"/>
            <w:vAlign w:val="bottom"/>
            <w:shd w:val="clear" w:color="auto" w:fill="E5E5E5"/>
          </w:tcPr>
          <w:p>
            <w:pPr>
              <w:spacing w:after="0"/>
              <w:rPr>
                <w:sz w:val="11"/>
                <w:szCs w:val="11"/>
                <w:color w:val="auto"/>
              </w:rPr>
            </w:pPr>
          </w:p>
        </w:tc>
        <w:tc>
          <w:tcPr>
            <w:tcW w:w="280" w:type="dxa"/>
            <w:vAlign w:val="bottom"/>
            <w:shd w:val="clear" w:color="auto" w:fill="E5E5E5"/>
          </w:tcPr>
          <w:p>
            <w:pPr>
              <w:spacing w:after="0"/>
              <w:rPr>
                <w:sz w:val="11"/>
                <w:szCs w:val="11"/>
                <w:color w:val="auto"/>
              </w:rPr>
            </w:pPr>
          </w:p>
        </w:tc>
        <w:tc>
          <w:tcPr>
            <w:tcW w:w="840" w:type="dxa"/>
            <w:vAlign w:val="bottom"/>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shd w:val="clear" w:color="auto" w:fill="E5E5E5"/>
          </w:tcPr>
          <w:p>
            <w:pPr>
              <w:ind w:left="200"/>
              <w:spacing w:after="0" w:line="159" w:lineRule="exact"/>
              <w:rPr>
                <w:sz w:val="20"/>
                <w:szCs w:val="20"/>
                <w:color w:val="auto"/>
              </w:rPr>
            </w:pPr>
            <w:r>
              <w:rPr>
                <w:rFonts w:ascii="Arial" w:cs="Arial" w:eastAsia="Arial" w:hAnsi="Arial"/>
                <w:sz w:val="14"/>
                <w:szCs w:val="14"/>
                <w:color w:val="auto"/>
              </w:rPr>
              <w:t>(distributions to) noncontrolling interests, net</w:t>
            </w:r>
          </w:p>
        </w:tc>
        <w:tc>
          <w:tcPr>
            <w:tcW w:w="340" w:type="dxa"/>
            <w:vAlign w:val="bottom"/>
            <w:shd w:val="clear" w:color="auto" w:fill="E5E5E5"/>
          </w:tcPr>
          <w:p>
            <w:pPr>
              <w:spacing w:after="0"/>
              <w:rPr>
                <w:sz w:val="13"/>
                <w:szCs w:val="13"/>
                <w:color w:val="auto"/>
              </w:rPr>
            </w:pPr>
          </w:p>
        </w:tc>
        <w:tc>
          <w:tcPr>
            <w:tcW w:w="1140" w:type="dxa"/>
            <w:vAlign w:val="bottom"/>
            <w:tcBorders>
              <w:right w:val="single" w:sz="8" w:color="auto"/>
            </w:tcBorders>
            <w:shd w:val="clear" w:color="auto" w:fill="E5E5E5"/>
          </w:tcPr>
          <w:p>
            <w:pPr>
              <w:jc w:val="right"/>
              <w:ind w:right="252"/>
              <w:spacing w:after="0" w:line="159" w:lineRule="exact"/>
              <w:rPr>
                <w:sz w:val="20"/>
                <w:szCs w:val="20"/>
                <w:color w:val="auto"/>
              </w:rPr>
            </w:pPr>
            <w:r>
              <w:rPr>
                <w:rFonts w:ascii="Arial" w:cs="Arial" w:eastAsia="Arial" w:hAnsi="Arial"/>
                <w:sz w:val="14"/>
                <w:szCs w:val="14"/>
                <w:color w:val="auto"/>
              </w:rPr>
              <w:t>(14)</w:t>
            </w:r>
          </w:p>
        </w:tc>
        <w:tc>
          <w:tcPr>
            <w:tcW w:w="200" w:type="dxa"/>
            <w:vAlign w:val="bottom"/>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440" w:type="dxa"/>
            <w:vAlign w:val="bottom"/>
            <w:shd w:val="clear" w:color="auto" w:fill="E5E5E5"/>
          </w:tcPr>
          <w:p>
            <w:pPr>
              <w:spacing w:after="0"/>
              <w:rPr>
                <w:sz w:val="13"/>
                <w:szCs w:val="13"/>
                <w:color w:val="auto"/>
              </w:rPr>
            </w:pPr>
          </w:p>
        </w:tc>
        <w:tc>
          <w:tcPr>
            <w:tcW w:w="500" w:type="dxa"/>
            <w:vAlign w:val="bottom"/>
            <w:shd w:val="clear" w:color="auto" w:fill="E5E5E5"/>
          </w:tcPr>
          <w:p>
            <w:pPr>
              <w:spacing w:after="0"/>
              <w:rPr>
                <w:sz w:val="13"/>
                <w:szCs w:val="13"/>
                <w:color w:val="auto"/>
              </w:rPr>
            </w:pPr>
          </w:p>
        </w:tc>
        <w:tc>
          <w:tcPr>
            <w:tcW w:w="36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84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64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auto"/>
              </w:rPr>
              <w:t>(103)</w:t>
            </w:r>
          </w:p>
        </w:tc>
        <w:tc>
          <w:tcPr>
            <w:tcW w:w="62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340" w:type="dxa"/>
            <w:vAlign w:val="bottom"/>
          </w:tcPr>
          <w:p>
            <w:pPr>
              <w:spacing w:after="0"/>
              <w:rPr>
                <w:sz w:val="12"/>
                <w:szCs w:val="12"/>
                <w:color w:val="auto"/>
              </w:rPr>
            </w:pPr>
          </w:p>
        </w:tc>
        <w:tc>
          <w:tcPr>
            <w:tcW w:w="1140" w:type="dxa"/>
            <w:vAlign w:val="bottom"/>
            <w:tcBorders>
              <w:right w:val="single" w:sz="8" w:color="auto"/>
            </w:tcBorders>
          </w:tcPr>
          <w:p>
            <w:pPr>
              <w:jc w:val="right"/>
              <w:ind w:right="252"/>
              <w:spacing w:after="0" w:line="149" w:lineRule="exact"/>
              <w:rPr>
                <w:sz w:val="20"/>
                <w:szCs w:val="20"/>
                <w:color w:val="auto"/>
              </w:rPr>
            </w:pPr>
            <w:r>
              <w:rPr>
                <w:rFonts w:ascii="Arial" w:cs="Arial" w:eastAsia="Arial" w:hAnsi="Arial"/>
                <w:sz w:val="14"/>
                <w:szCs w:val="14"/>
                <w:color w:val="auto"/>
              </w:rPr>
              <w:t>(24)</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(150)</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Net income (loss)</w:t>
            </w:r>
          </w:p>
        </w:tc>
        <w:tc>
          <w:tcPr>
            <w:tcW w:w="340" w:type="dxa"/>
            <w:vAlign w:val="bottom"/>
            <w:tcBorders>
              <w:bottom w:val="single" w:sz="8" w:color="auto"/>
            </w:tcBorders>
            <w:shd w:val="clear" w:color="auto" w:fill="E5E5E5"/>
          </w:tcPr>
          <w:p>
            <w:pPr>
              <w:spacing w:after="0"/>
              <w:rPr>
                <w:sz w:val="12"/>
                <w:szCs w:val="12"/>
                <w:color w:val="auto"/>
              </w:rPr>
            </w:pPr>
          </w:p>
        </w:tc>
        <w:tc>
          <w:tcPr>
            <w:tcW w:w="1140" w:type="dxa"/>
            <w:vAlign w:val="bottom"/>
            <w:tcBorders>
              <w:bottom w:val="single" w:sz="8" w:color="auto"/>
              <w:right w:val="single" w:sz="8" w:color="auto"/>
            </w:tcBorders>
            <w:shd w:val="clear" w:color="auto" w:fill="E5E5E5"/>
          </w:tcPr>
          <w:p>
            <w:pPr>
              <w:jc w:val="right"/>
              <w:ind w:right="292"/>
              <w:spacing w:after="0" w:line="149" w:lineRule="exact"/>
              <w:rPr>
                <w:sz w:val="20"/>
                <w:szCs w:val="20"/>
                <w:color w:val="auto"/>
              </w:rPr>
            </w:pPr>
            <w:r>
              <w:rPr>
                <w:rFonts w:ascii="Arial" w:cs="Arial" w:eastAsia="Arial" w:hAnsi="Arial"/>
                <w:sz w:val="14"/>
                <w:szCs w:val="14"/>
                <w:color w:val="auto"/>
              </w:rPr>
              <w:t>183</w:t>
            </w:r>
          </w:p>
        </w:tc>
        <w:tc>
          <w:tcPr>
            <w:tcW w:w="200" w:type="dxa"/>
            <w:vAlign w:val="bottom"/>
            <w:tcBorders>
              <w:bottom w:val="single" w:sz="8" w:color="auto"/>
            </w:tcBorders>
            <w:shd w:val="clear" w:color="auto" w:fill="E5E5E5"/>
          </w:tcPr>
          <w:p>
            <w:pPr>
              <w:spacing w:after="0"/>
              <w:rPr>
                <w:sz w:val="12"/>
                <w:szCs w:val="12"/>
                <w:color w:val="auto"/>
              </w:rPr>
            </w:pPr>
          </w:p>
        </w:tc>
        <w:tc>
          <w:tcPr>
            <w:tcW w:w="420" w:type="dxa"/>
            <w:vAlign w:val="bottom"/>
            <w:tcBorders>
              <w:bottom w:val="single" w:sz="8" w:color="auto"/>
            </w:tcBorders>
            <w:shd w:val="clear" w:color="auto" w:fill="E5E5E5"/>
          </w:tcPr>
          <w:p>
            <w:pPr>
              <w:spacing w:after="0"/>
              <w:rPr>
                <w:sz w:val="12"/>
                <w:szCs w:val="12"/>
                <w:color w:val="auto"/>
              </w:rPr>
            </w:pPr>
          </w:p>
        </w:tc>
        <w:tc>
          <w:tcPr>
            <w:tcW w:w="440" w:type="dxa"/>
            <w:vAlign w:val="bottom"/>
            <w:tcBorders>
              <w:bottom w:val="single" w:sz="8" w:color="auto"/>
            </w:tcBorders>
            <w:shd w:val="clear" w:color="auto" w:fill="E5E5E5"/>
          </w:tcPr>
          <w:p>
            <w:pPr>
              <w:spacing w:after="0"/>
              <w:rPr>
                <w:sz w:val="12"/>
                <w:szCs w:val="12"/>
                <w:color w:val="auto"/>
              </w:rPr>
            </w:pPr>
          </w:p>
        </w:tc>
        <w:tc>
          <w:tcPr>
            <w:tcW w:w="500" w:type="dxa"/>
            <w:vAlign w:val="bottom"/>
            <w:tcBorders>
              <w:bottom w:val="single" w:sz="8" w:color="auto"/>
            </w:tcBorders>
            <w:shd w:val="clear" w:color="auto" w:fill="E5E5E5"/>
          </w:tcPr>
          <w:p>
            <w:pPr>
              <w:spacing w:after="0"/>
              <w:rPr>
                <w:sz w:val="12"/>
                <w:szCs w:val="12"/>
                <w:color w:val="auto"/>
              </w:rPr>
            </w:pPr>
          </w:p>
        </w:tc>
        <w:tc>
          <w:tcPr>
            <w:tcW w:w="360" w:type="dxa"/>
            <w:vAlign w:val="bottom"/>
            <w:tcBorders>
              <w:bottom w:val="single" w:sz="8" w:color="auto"/>
            </w:tcBorders>
            <w:shd w:val="clear" w:color="auto" w:fill="E5E5E5"/>
          </w:tcPr>
          <w:p>
            <w:pPr>
              <w:spacing w:after="0"/>
              <w:rPr>
                <w:sz w:val="12"/>
                <w:szCs w:val="12"/>
                <w:color w:val="auto"/>
              </w:rPr>
            </w:pPr>
          </w:p>
        </w:tc>
        <w:tc>
          <w:tcPr>
            <w:tcW w:w="240" w:type="dxa"/>
            <w:vAlign w:val="bottom"/>
            <w:tcBorders>
              <w:bottom w:val="single" w:sz="8" w:color="auto"/>
            </w:tcBorders>
            <w:shd w:val="clear" w:color="auto" w:fill="E5E5E5"/>
          </w:tcPr>
          <w:p>
            <w:pPr>
              <w:spacing w:after="0"/>
              <w:rPr>
                <w:sz w:val="12"/>
                <w:szCs w:val="12"/>
                <w:color w:val="auto"/>
              </w:rPr>
            </w:pPr>
          </w:p>
        </w:tc>
        <w:tc>
          <w:tcPr>
            <w:tcW w:w="66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4,903</w:t>
            </w:r>
          </w:p>
        </w:tc>
        <w:tc>
          <w:tcPr>
            <w:tcW w:w="20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spacing w:after="0"/>
              <w:rPr>
                <w:sz w:val="12"/>
                <w:szCs w:val="12"/>
                <w:color w:val="auto"/>
              </w:rPr>
            </w:pPr>
          </w:p>
        </w:tc>
        <w:tc>
          <w:tcPr>
            <w:tcW w:w="280" w:type="dxa"/>
            <w:vAlign w:val="bottom"/>
            <w:tcBorders>
              <w:bottom w:val="single" w:sz="8" w:color="auto"/>
            </w:tcBorders>
            <w:shd w:val="clear" w:color="auto" w:fill="E5E5E5"/>
          </w:tcPr>
          <w:p>
            <w:pPr>
              <w:spacing w:after="0"/>
              <w:rPr>
                <w:sz w:val="12"/>
                <w:szCs w:val="12"/>
                <w:color w:val="auto"/>
              </w:rPr>
            </w:pPr>
          </w:p>
        </w:tc>
        <w:tc>
          <w:tcPr>
            <w:tcW w:w="840" w:type="dxa"/>
            <w:vAlign w:val="bottom"/>
            <w:tcBorders>
              <w:bottom w:val="single" w:sz="8" w:color="auto"/>
            </w:tcBorders>
            <w:shd w:val="clear" w:color="auto" w:fill="E5E5E5"/>
          </w:tcPr>
          <w:p>
            <w:pPr>
              <w:spacing w:after="0"/>
              <w:rPr>
                <w:sz w:val="12"/>
                <w:szCs w:val="12"/>
                <w:color w:val="auto"/>
              </w:rPr>
            </w:pPr>
          </w:p>
        </w:tc>
        <w:tc>
          <w:tcPr>
            <w:tcW w:w="16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81</w:t>
            </w:r>
          </w:p>
        </w:tc>
        <w:tc>
          <w:tcPr>
            <w:tcW w:w="62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4,984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Balance, September 30, 2013</w:t>
            </w:r>
          </w:p>
        </w:tc>
        <w:tc>
          <w:tcPr>
            <w:tcW w:w="340" w:type="dxa"/>
            <w:vAlign w:val="bottom"/>
            <w:tcBorders>
              <w:bottom w:val="single" w:sz="8" w:color="auto"/>
            </w:tcBorders>
          </w:tcPr>
          <w:p>
            <w:pPr>
              <w:ind w:left="280"/>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bottom w:val="single" w:sz="8" w:color="auto"/>
              <w:right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853</w:t>
            </w: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left="72"/>
              <w:spacing w:after="0" w:line="142" w:lineRule="exact"/>
              <w:rPr>
                <w:sz w:val="20"/>
                <w:szCs w:val="20"/>
                <w:color w:val="auto"/>
              </w:rPr>
            </w:pPr>
            <w:r>
              <w:rPr>
                <w:rFonts w:ascii="Arial" w:cs="Arial" w:eastAsia="Arial" w:hAnsi="Arial"/>
                <w:sz w:val="14"/>
                <w:szCs w:val="14"/>
                <w:b w:val="1"/>
                <w:bCs w:val="1"/>
                <w:color w:val="auto"/>
                <w:w w:val="85"/>
              </w:rPr>
              <w:t>$25</w:t>
            </w:r>
          </w:p>
        </w:tc>
        <w:tc>
          <w:tcPr>
            <w:tcW w:w="44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5</w:t>
            </w:r>
          </w:p>
        </w:tc>
        <w:tc>
          <w:tcPr>
            <w:tcW w:w="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 —</w:t>
            </w:r>
          </w:p>
        </w:tc>
        <w:tc>
          <w:tcPr>
            <w:tcW w:w="2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38,991</w:t>
            </w:r>
          </w:p>
        </w:tc>
        <w:tc>
          <w:tcPr>
            <w:tcW w:w="7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$ 18,324</w:t>
            </w:r>
          </w:p>
        </w:tc>
        <w:tc>
          <w:tcPr>
            <w:tcW w:w="2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4"/>
              </w:rPr>
              <w:t>(7,517)</w:t>
            </w:r>
          </w:p>
        </w:tc>
        <w:tc>
          <w:tcPr>
            <w:tcW w:w="2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(110)</w:t>
            </w:r>
          </w:p>
        </w:tc>
        <w:tc>
          <w:tcPr>
            <w:tcW w:w="16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416</w:t>
            </w:r>
          </w:p>
        </w:tc>
        <w:tc>
          <w:tcPr>
            <w:tcW w:w="6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8"/>
              </w:rPr>
              <w:t>$50,134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Balance, January 1, 2014</w:t>
            </w:r>
          </w:p>
        </w:tc>
        <w:tc>
          <w:tcPr>
            <w:tcW w:w="340" w:type="dxa"/>
            <w:vAlign w:val="bottom"/>
            <w:shd w:val="clear" w:color="auto" w:fill="E5E5E5"/>
          </w:tcPr>
          <w:p>
            <w:pPr>
              <w:ind w:left="280"/>
              <w:spacing w:after="0"/>
              <w:rPr>
                <w:sz w:val="20"/>
                <w:szCs w:val="20"/>
                <w:color w:val="auto"/>
              </w:rPr>
            </w:pPr>
            <w:r>
              <w:rPr>
                <w:rFonts w:ascii="Arial" w:cs="Arial" w:eastAsia="Arial" w:hAnsi="Arial"/>
                <w:sz w:val="10"/>
                <w:szCs w:val="10"/>
                <w:color w:val="auto"/>
                <w:w w:val="71"/>
              </w:rPr>
              <w:t>$</w:t>
            </w:r>
          </w:p>
        </w:tc>
        <w:tc>
          <w:tcPr>
            <w:tcW w:w="1140" w:type="dxa"/>
            <w:vAlign w:val="bottom"/>
            <w:tcBorders>
              <w:right w:val="single" w:sz="8" w:color="auto"/>
            </w:tcBorders>
            <w:shd w:val="clear" w:color="auto" w:fill="E5E5E5"/>
          </w:tcPr>
          <w:p>
            <w:pPr>
              <w:jc w:val="right"/>
              <w:ind w:right="292"/>
              <w:spacing w:after="0" w:line="149" w:lineRule="exact"/>
              <w:rPr>
                <w:sz w:val="20"/>
                <w:szCs w:val="20"/>
                <w:color w:val="auto"/>
              </w:rPr>
            </w:pPr>
            <w:r>
              <w:rPr>
                <w:rFonts w:ascii="Arial" w:cs="Arial" w:eastAsia="Arial" w:hAnsi="Arial"/>
                <w:sz w:val="14"/>
                <w:szCs w:val="14"/>
                <w:color w:val="auto"/>
              </w:rPr>
              <w:t>957</w:t>
            </w:r>
          </w:p>
        </w:tc>
        <w:tc>
          <w:tcPr>
            <w:tcW w:w="200" w:type="dxa"/>
            <w:vAlign w:val="bottom"/>
            <w:shd w:val="clear" w:color="auto" w:fill="E5E5E5"/>
          </w:tcPr>
          <w:p>
            <w:pPr>
              <w:spacing w:after="0"/>
              <w:rPr>
                <w:sz w:val="12"/>
                <w:szCs w:val="12"/>
                <w:color w:val="auto"/>
              </w:rPr>
            </w:pPr>
          </w:p>
        </w:tc>
        <w:tc>
          <w:tcPr>
            <w:tcW w:w="420" w:type="dxa"/>
            <w:vAlign w:val="bottom"/>
            <w:shd w:val="clear" w:color="auto" w:fill="E5E5E5"/>
          </w:tcPr>
          <w:p>
            <w:pPr>
              <w:jc w:val="center"/>
              <w:ind w:left="72"/>
              <w:spacing w:after="0" w:line="149" w:lineRule="exact"/>
              <w:rPr>
                <w:sz w:val="20"/>
                <w:szCs w:val="20"/>
                <w:color w:val="auto"/>
              </w:rPr>
            </w:pPr>
            <w:r>
              <w:rPr>
                <w:rFonts w:ascii="Arial" w:cs="Arial" w:eastAsia="Arial" w:hAnsi="Arial"/>
                <w:sz w:val="14"/>
                <w:szCs w:val="14"/>
                <w:color w:val="auto"/>
                <w:w w:val="85"/>
              </w:rPr>
              <w:t>$25</w:t>
            </w:r>
          </w:p>
        </w:tc>
        <w:tc>
          <w:tcPr>
            <w:tcW w:w="4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5</w:t>
            </w:r>
          </w:p>
        </w:tc>
        <w:tc>
          <w:tcPr>
            <w:tcW w:w="36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3"/>
              </w:rPr>
              <w:t>$ —</w:t>
            </w:r>
          </w:p>
        </w:tc>
        <w:tc>
          <w:tcPr>
            <w:tcW w:w="240" w:type="dxa"/>
            <w:vAlign w:val="bottom"/>
            <w:shd w:val="clear" w:color="auto" w:fill="E5E5E5"/>
          </w:tcPr>
          <w:p>
            <w:pPr>
              <w:ind w:left="16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38,890</w:t>
            </w:r>
          </w:p>
        </w:tc>
        <w:tc>
          <w:tcPr>
            <w:tcW w:w="74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$ 19,235</w:t>
            </w:r>
          </w:p>
        </w:tc>
        <w:tc>
          <w:tcPr>
            <w:tcW w:w="200" w:type="dxa"/>
            <w:vAlign w:val="bottom"/>
            <w:shd w:val="clear" w:color="auto" w:fill="E5E5E5"/>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w w:val="94"/>
              </w:rPr>
              <w:t>(7,517)</w:t>
            </w:r>
          </w:p>
        </w:tc>
        <w:tc>
          <w:tcPr>
            <w:tcW w:w="280" w:type="dxa"/>
            <w:vAlign w:val="bottom"/>
            <w:shd w:val="clear" w:color="auto" w:fill="E5E5E5"/>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56</w:t>
            </w:r>
          </w:p>
        </w:tc>
        <w:tc>
          <w:tcPr>
            <w:tcW w:w="160" w:type="dxa"/>
            <w:vAlign w:val="bottom"/>
            <w:shd w:val="clear" w:color="auto" w:fill="E5E5E5"/>
          </w:tcPr>
          <w:p>
            <w:pPr>
              <w:ind w:left="10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364</w:t>
            </w:r>
          </w:p>
        </w:tc>
        <w:tc>
          <w:tcPr>
            <w:tcW w:w="6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w w:val="98"/>
              </w:rPr>
              <w:t>$51,058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Stock compensation plans</w:t>
            </w:r>
          </w:p>
        </w:tc>
        <w:tc>
          <w:tcPr>
            <w:tcW w:w="34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580</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(391)</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340" w:type="dxa"/>
            <w:vAlign w:val="bottom"/>
            <w:shd w:val="clear" w:color="auto" w:fill="E5E5E5"/>
          </w:tcPr>
          <w:p>
            <w:pPr>
              <w:spacing w:after="0"/>
              <w:rPr>
                <w:sz w:val="12"/>
                <w:szCs w:val="12"/>
                <w:color w:val="auto"/>
              </w:rPr>
            </w:pPr>
          </w:p>
        </w:tc>
        <w:tc>
          <w:tcPr>
            <w:tcW w:w="1140" w:type="dxa"/>
            <w:vAlign w:val="bottom"/>
            <w:tcBorders>
              <w:right w:val="single" w:sz="8" w:color="auto"/>
            </w:tcBorders>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(504)</w:t>
            </w:r>
          </w:p>
        </w:tc>
        <w:tc>
          <w:tcPr>
            <w:tcW w:w="74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(1,746)</w:t>
            </w:r>
          </w:p>
        </w:tc>
        <w:tc>
          <w:tcPr>
            <w:tcW w:w="20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(2,250)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tcPr>
          <w:p>
            <w:pPr>
              <w:spacing w:after="0" w:line="138" w:lineRule="exact"/>
              <w:rPr>
                <w:sz w:val="20"/>
                <w:szCs w:val="20"/>
                <w:color w:val="auto"/>
              </w:rPr>
            </w:pPr>
            <w:r>
              <w:rPr>
                <w:rFonts w:ascii="Arial" w:cs="Arial" w:eastAsia="Arial" w:hAnsi="Arial"/>
                <w:sz w:val="14"/>
                <w:szCs w:val="14"/>
                <w:color w:val="auto"/>
              </w:rPr>
              <w:t>Employee stock purchase</w:t>
            </w:r>
          </w:p>
        </w:tc>
        <w:tc>
          <w:tcPr>
            <w:tcW w:w="34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tcPr>
          <w:p>
            <w:pPr>
              <w:ind w:left="200"/>
              <w:spacing w:after="0" w:line="159" w:lineRule="exact"/>
              <w:rPr>
                <w:sz w:val="20"/>
                <w:szCs w:val="20"/>
                <w:color w:val="auto"/>
              </w:rPr>
            </w:pPr>
            <w:r>
              <w:rPr>
                <w:rFonts w:ascii="Arial" w:cs="Arial" w:eastAsia="Arial" w:hAnsi="Arial"/>
                <w:sz w:val="14"/>
                <w:szCs w:val="14"/>
                <w:color w:val="auto"/>
              </w:rPr>
              <w:t>plans</w:t>
            </w:r>
          </w:p>
        </w:tc>
        <w:tc>
          <w:tcPr>
            <w:tcW w:w="340" w:type="dxa"/>
            <w:vAlign w:val="bottom"/>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ind w:right="92"/>
              <w:spacing w:after="0" w:line="159" w:lineRule="exact"/>
              <w:rPr>
                <w:sz w:val="20"/>
                <w:szCs w:val="20"/>
                <w:color w:val="auto"/>
              </w:rPr>
            </w:pPr>
            <w:r>
              <w:rPr>
                <w:rFonts w:ascii="Arial" w:cs="Arial" w:eastAsia="Arial" w:hAnsi="Arial"/>
                <w:sz w:val="14"/>
                <w:szCs w:val="14"/>
                <w:color w:val="auto"/>
              </w:rPr>
              <w:t>91</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jc w:val="right"/>
              <w:ind w:right="32"/>
              <w:spacing w:after="0" w:line="15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Dividends declared</w:t>
            </w:r>
          </w:p>
        </w:tc>
        <w:tc>
          <w:tcPr>
            <w:tcW w:w="340" w:type="dxa"/>
            <w:vAlign w:val="bottom"/>
            <w:shd w:val="clear" w:color="auto" w:fill="E5E5E5"/>
          </w:tcPr>
          <w:p>
            <w:pPr>
              <w:spacing w:after="0"/>
              <w:rPr>
                <w:sz w:val="12"/>
                <w:szCs w:val="12"/>
                <w:color w:val="auto"/>
              </w:rPr>
            </w:pPr>
          </w:p>
        </w:tc>
        <w:tc>
          <w:tcPr>
            <w:tcW w:w="1140" w:type="dxa"/>
            <w:vAlign w:val="bottom"/>
            <w:tcBorders>
              <w:right w:val="single" w:sz="8" w:color="auto"/>
            </w:tcBorders>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(1,748)</w:t>
            </w:r>
          </w:p>
        </w:tc>
        <w:tc>
          <w:tcPr>
            <w:tcW w:w="20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(1,748)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tcPr>
          <w:p>
            <w:pPr>
              <w:spacing w:after="0" w:line="138" w:lineRule="exact"/>
              <w:rPr>
                <w:sz w:val="20"/>
                <w:szCs w:val="20"/>
                <w:color w:val="auto"/>
              </w:rPr>
            </w:pPr>
            <w:r>
              <w:rPr>
                <w:rFonts w:ascii="Arial" w:cs="Arial" w:eastAsia="Arial" w:hAnsi="Arial"/>
                <w:sz w:val="14"/>
                <w:szCs w:val="14"/>
                <w:color w:val="auto"/>
              </w:rPr>
              <w:t>Other comprehensive</w:t>
            </w:r>
          </w:p>
        </w:tc>
        <w:tc>
          <w:tcPr>
            <w:tcW w:w="34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tcPr>
          <w:p>
            <w:pPr>
              <w:ind w:left="200"/>
              <w:spacing w:after="0" w:line="159" w:lineRule="exact"/>
              <w:rPr>
                <w:sz w:val="20"/>
                <w:szCs w:val="20"/>
                <w:color w:val="auto"/>
              </w:rPr>
            </w:pPr>
            <w:r>
              <w:rPr>
                <w:rFonts w:ascii="Arial" w:cs="Arial" w:eastAsia="Arial" w:hAnsi="Arial"/>
                <w:sz w:val="14"/>
                <w:szCs w:val="14"/>
                <w:color w:val="auto"/>
              </w:rPr>
              <w:t>income (loss)</w:t>
            </w:r>
          </w:p>
        </w:tc>
        <w:tc>
          <w:tcPr>
            <w:tcW w:w="340" w:type="dxa"/>
            <w:vAlign w:val="bottom"/>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ind w:right="52"/>
              <w:spacing w:after="0" w:line="159" w:lineRule="exact"/>
              <w:rPr>
                <w:sz w:val="20"/>
                <w:szCs w:val="20"/>
                <w:color w:val="auto"/>
              </w:rPr>
            </w:pPr>
            <w:r>
              <w:rPr>
                <w:rFonts w:ascii="Arial" w:cs="Arial" w:eastAsia="Arial" w:hAnsi="Arial"/>
                <w:sz w:val="14"/>
                <w:szCs w:val="14"/>
                <w:color w:val="auto"/>
              </w:rPr>
              <w:t>(53)</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shd w:val="clear" w:color="auto" w:fill="E5E5E5"/>
          </w:tcPr>
          <w:p>
            <w:pPr>
              <w:spacing w:after="0" w:line="138" w:lineRule="exact"/>
              <w:rPr>
                <w:sz w:val="20"/>
                <w:szCs w:val="20"/>
                <w:color w:val="auto"/>
              </w:rPr>
            </w:pPr>
            <w:r>
              <w:rPr>
                <w:rFonts w:ascii="Arial" w:cs="Arial" w:eastAsia="Arial" w:hAnsi="Arial"/>
                <w:sz w:val="14"/>
                <w:szCs w:val="14"/>
                <w:color w:val="auto"/>
              </w:rPr>
              <w:t>Issuance of subsidiary shares</w:t>
            </w:r>
          </w:p>
        </w:tc>
        <w:tc>
          <w:tcPr>
            <w:tcW w:w="340" w:type="dxa"/>
            <w:vAlign w:val="bottom"/>
            <w:shd w:val="clear" w:color="auto" w:fill="E5E5E5"/>
          </w:tcPr>
          <w:p>
            <w:pPr>
              <w:spacing w:after="0"/>
              <w:rPr>
                <w:sz w:val="11"/>
                <w:szCs w:val="11"/>
                <w:color w:val="auto"/>
              </w:rPr>
            </w:pPr>
          </w:p>
        </w:tc>
        <w:tc>
          <w:tcPr>
            <w:tcW w:w="1140" w:type="dxa"/>
            <w:vAlign w:val="bottom"/>
            <w:tcBorders>
              <w:right w:val="single" w:sz="8" w:color="auto"/>
            </w:tcBorders>
            <w:shd w:val="clear" w:color="auto" w:fill="E5E5E5"/>
          </w:tcPr>
          <w:p>
            <w:pPr>
              <w:spacing w:after="0"/>
              <w:rPr>
                <w:sz w:val="11"/>
                <w:szCs w:val="11"/>
                <w:color w:val="auto"/>
              </w:rPr>
            </w:pPr>
          </w:p>
        </w:tc>
        <w:tc>
          <w:tcPr>
            <w:tcW w:w="200" w:type="dxa"/>
            <w:vAlign w:val="bottom"/>
            <w:shd w:val="clear" w:color="auto" w:fill="E5E5E5"/>
          </w:tcPr>
          <w:p>
            <w:pPr>
              <w:spacing w:after="0"/>
              <w:rPr>
                <w:sz w:val="11"/>
                <w:szCs w:val="11"/>
                <w:color w:val="auto"/>
              </w:rPr>
            </w:pPr>
          </w:p>
        </w:tc>
        <w:tc>
          <w:tcPr>
            <w:tcW w:w="420" w:type="dxa"/>
            <w:vAlign w:val="bottom"/>
            <w:shd w:val="clear" w:color="auto" w:fill="E5E5E5"/>
          </w:tcPr>
          <w:p>
            <w:pPr>
              <w:spacing w:after="0"/>
              <w:rPr>
                <w:sz w:val="11"/>
                <w:szCs w:val="11"/>
                <w:color w:val="auto"/>
              </w:rPr>
            </w:pPr>
          </w:p>
        </w:tc>
        <w:tc>
          <w:tcPr>
            <w:tcW w:w="44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36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740" w:type="dxa"/>
            <w:vAlign w:val="bottom"/>
            <w:shd w:val="clear" w:color="auto" w:fill="E5E5E5"/>
          </w:tcPr>
          <w:p>
            <w:pPr>
              <w:spacing w:after="0"/>
              <w:rPr>
                <w:sz w:val="11"/>
                <w:szCs w:val="11"/>
                <w:color w:val="auto"/>
              </w:rPr>
            </w:pPr>
          </w:p>
        </w:tc>
        <w:tc>
          <w:tcPr>
            <w:tcW w:w="200" w:type="dxa"/>
            <w:vAlign w:val="bottom"/>
            <w:shd w:val="clear" w:color="auto" w:fill="E5E5E5"/>
          </w:tcPr>
          <w:p>
            <w:pPr>
              <w:spacing w:after="0"/>
              <w:rPr>
                <w:sz w:val="11"/>
                <w:szCs w:val="11"/>
                <w:color w:val="auto"/>
              </w:rPr>
            </w:pPr>
          </w:p>
        </w:tc>
        <w:tc>
          <w:tcPr>
            <w:tcW w:w="540" w:type="dxa"/>
            <w:vAlign w:val="bottom"/>
            <w:shd w:val="clear" w:color="auto" w:fill="E5E5E5"/>
          </w:tcPr>
          <w:p>
            <w:pPr>
              <w:spacing w:after="0"/>
              <w:rPr>
                <w:sz w:val="11"/>
                <w:szCs w:val="11"/>
                <w:color w:val="auto"/>
              </w:rPr>
            </w:pPr>
          </w:p>
        </w:tc>
        <w:tc>
          <w:tcPr>
            <w:tcW w:w="280" w:type="dxa"/>
            <w:vAlign w:val="bottom"/>
            <w:shd w:val="clear" w:color="auto" w:fill="E5E5E5"/>
          </w:tcPr>
          <w:p>
            <w:pPr>
              <w:spacing w:after="0"/>
              <w:rPr>
                <w:sz w:val="11"/>
                <w:szCs w:val="11"/>
                <w:color w:val="auto"/>
              </w:rPr>
            </w:pPr>
          </w:p>
        </w:tc>
        <w:tc>
          <w:tcPr>
            <w:tcW w:w="840" w:type="dxa"/>
            <w:vAlign w:val="bottom"/>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shd w:val="clear" w:color="auto" w:fill="E5E5E5"/>
          </w:tcPr>
          <w:p>
            <w:pPr>
              <w:ind w:left="200"/>
              <w:spacing w:after="0" w:line="159" w:lineRule="exact"/>
              <w:rPr>
                <w:sz w:val="20"/>
                <w:szCs w:val="20"/>
                <w:color w:val="auto"/>
              </w:rPr>
            </w:pPr>
            <w:r>
              <w:rPr>
                <w:rFonts w:ascii="Arial" w:cs="Arial" w:eastAsia="Arial" w:hAnsi="Arial"/>
                <w:sz w:val="14"/>
                <w:szCs w:val="14"/>
                <w:color w:val="auto"/>
              </w:rPr>
              <w:t>to noncontrolling interests</w:t>
            </w:r>
          </w:p>
        </w:tc>
        <w:tc>
          <w:tcPr>
            <w:tcW w:w="340" w:type="dxa"/>
            <w:vAlign w:val="bottom"/>
            <w:shd w:val="clear" w:color="auto" w:fill="E5E5E5"/>
          </w:tcPr>
          <w:p>
            <w:pPr>
              <w:spacing w:after="0"/>
              <w:rPr>
                <w:sz w:val="13"/>
                <w:szCs w:val="13"/>
                <w:color w:val="auto"/>
              </w:rPr>
            </w:pPr>
          </w:p>
        </w:tc>
        <w:tc>
          <w:tcPr>
            <w:tcW w:w="1140" w:type="dxa"/>
            <w:vAlign w:val="bottom"/>
            <w:tcBorders>
              <w:right w:val="single" w:sz="8" w:color="auto"/>
            </w:tcBorders>
            <w:shd w:val="clear" w:color="auto" w:fill="E5E5E5"/>
          </w:tcPr>
          <w:p>
            <w:pPr>
              <w:jc w:val="right"/>
              <w:ind w:right="292"/>
              <w:spacing w:after="0" w:line="159" w:lineRule="exact"/>
              <w:rPr>
                <w:sz w:val="20"/>
                <w:szCs w:val="20"/>
                <w:color w:val="auto"/>
              </w:rPr>
            </w:pPr>
            <w:r>
              <w:rPr>
                <w:rFonts w:ascii="Arial" w:cs="Arial" w:eastAsia="Arial" w:hAnsi="Arial"/>
                <w:sz w:val="14"/>
                <w:szCs w:val="14"/>
                <w:color w:val="auto"/>
              </w:rPr>
              <w:t>85</w:t>
            </w:r>
          </w:p>
        </w:tc>
        <w:tc>
          <w:tcPr>
            <w:tcW w:w="200" w:type="dxa"/>
            <w:vAlign w:val="bottom"/>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440" w:type="dxa"/>
            <w:vAlign w:val="bottom"/>
            <w:shd w:val="clear" w:color="auto" w:fill="E5E5E5"/>
          </w:tcPr>
          <w:p>
            <w:pPr>
              <w:spacing w:after="0"/>
              <w:rPr>
                <w:sz w:val="13"/>
                <w:szCs w:val="13"/>
                <w:color w:val="auto"/>
              </w:rPr>
            </w:pPr>
          </w:p>
        </w:tc>
        <w:tc>
          <w:tcPr>
            <w:tcW w:w="500" w:type="dxa"/>
            <w:vAlign w:val="bottom"/>
            <w:shd w:val="clear" w:color="auto" w:fill="E5E5E5"/>
          </w:tcPr>
          <w:p>
            <w:pPr>
              <w:spacing w:after="0"/>
              <w:rPr>
                <w:sz w:val="13"/>
                <w:szCs w:val="13"/>
                <w:color w:val="auto"/>
              </w:rPr>
            </w:pPr>
          </w:p>
        </w:tc>
        <w:tc>
          <w:tcPr>
            <w:tcW w:w="36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84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640" w:type="dxa"/>
            <w:vAlign w:val="bottom"/>
            <w:shd w:val="clear" w:color="auto" w:fill="E5E5E5"/>
          </w:tcPr>
          <w:p>
            <w:pPr>
              <w:jc w:val="right"/>
              <w:ind w:right="32"/>
              <w:spacing w:after="0" w:line="159" w:lineRule="exact"/>
              <w:rPr>
                <w:sz w:val="20"/>
                <w:szCs w:val="20"/>
                <w:color w:val="auto"/>
              </w:rPr>
            </w:pPr>
            <w:r>
              <w:rPr>
                <w:rFonts w:ascii="Arial" w:cs="Arial" w:eastAsia="Arial" w:hAnsi="Arial"/>
                <w:sz w:val="14"/>
                <w:szCs w:val="14"/>
                <w:color w:val="auto"/>
              </w:rPr>
              <w:t>13</w:t>
            </w:r>
          </w:p>
        </w:tc>
        <w:tc>
          <w:tcPr>
            <w:tcW w:w="620" w:type="dxa"/>
            <w:vAlign w:val="bottom"/>
            <w:shd w:val="clear" w:color="auto" w:fill="E5E5E5"/>
          </w:tcPr>
          <w:p>
            <w:pPr>
              <w:jc w:val="right"/>
              <w:ind w:right="32"/>
              <w:spacing w:after="0" w:line="15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tcPr>
          <w:p>
            <w:pPr>
              <w:spacing w:after="0" w:line="138" w:lineRule="exact"/>
              <w:rPr>
                <w:sz w:val="20"/>
                <w:szCs w:val="20"/>
                <w:color w:val="auto"/>
              </w:rPr>
            </w:pPr>
            <w:r>
              <w:rPr>
                <w:rFonts w:ascii="Arial" w:cs="Arial" w:eastAsia="Arial" w:hAnsi="Arial"/>
                <w:sz w:val="14"/>
                <w:szCs w:val="14"/>
                <w:color w:val="auto"/>
              </w:rPr>
              <w:t>Contributions from</w:t>
            </w:r>
          </w:p>
        </w:tc>
        <w:tc>
          <w:tcPr>
            <w:tcW w:w="34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tcPr>
          <w:p>
            <w:pPr>
              <w:ind w:left="200"/>
              <w:spacing w:after="0" w:line="159" w:lineRule="exact"/>
              <w:rPr>
                <w:sz w:val="20"/>
                <w:szCs w:val="20"/>
                <w:color w:val="auto"/>
              </w:rPr>
            </w:pPr>
            <w:r>
              <w:rPr>
                <w:rFonts w:ascii="Arial" w:cs="Arial" w:eastAsia="Arial" w:hAnsi="Arial"/>
                <w:sz w:val="14"/>
                <w:szCs w:val="14"/>
                <w:color w:val="auto"/>
              </w:rPr>
              <w:t>(distributions to) noncontrolling interests, net</w:t>
            </w:r>
          </w:p>
        </w:tc>
        <w:tc>
          <w:tcPr>
            <w:tcW w:w="340" w:type="dxa"/>
            <w:vAlign w:val="bottom"/>
          </w:tcPr>
          <w:p>
            <w:pPr>
              <w:spacing w:after="0"/>
              <w:rPr>
                <w:sz w:val="13"/>
                <w:szCs w:val="13"/>
                <w:color w:val="auto"/>
              </w:rPr>
            </w:pPr>
          </w:p>
        </w:tc>
        <w:tc>
          <w:tcPr>
            <w:tcW w:w="1140" w:type="dxa"/>
            <w:vAlign w:val="bottom"/>
            <w:tcBorders>
              <w:right w:val="single" w:sz="8" w:color="auto"/>
            </w:tcBorders>
          </w:tcPr>
          <w:p>
            <w:pPr>
              <w:jc w:val="right"/>
              <w:ind w:right="252"/>
              <w:spacing w:after="0" w:line="159" w:lineRule="exact"/>
              <w:rPr>
                <w:sz w:val="20"/>
                <w:szCs w:val="20"/>
                <w:color w:val="auto"/>
              </w:rPr>
            </w:pPr>
            <w:r>
              <w:rPr>
                <w:rFonts w:ascii="Arial" w:cs="Arial" w:eastAsia="Arial" w:hAnsi="Arial"/>
                <w:sz w:val="14"/>
                <w:szCs w:val="14"/>
                <w:color w:val="auto"/>
              </w:rPr>
              <w:t>(11)</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(101)</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Other</w:t>
            </w:r>
          </w:p>
        </w:tc>
        <w:tc>
          <w:tcPr>
            <w:tcW w:w="340" w:type="dxa"/>
            <w:vAlign w:val="bottom"/>
            <w:shd w:val="clear" w:color="auto" w:fill="E5E5E5"/>
          </w:tcPr>
          <w:p>
            <w:pPr>
              <w:spacing w:after="0"/>
              <w:rPr>
                <w:sz w:val="12"/>
                <w:szCs w:val="12"/>
                <w:color w:val="auto"/>
              </w:rPr>
            </w:pPr>
          </w:p>
        </w:tc>
        <w:tc>
          <w:tcPr>
            <w:tcW w:w="1140" w:type="dxa"/>
            <w:vAlign w:val="bottom"/>
            <w:tcBorders>
              <w:right w:val="single" w:sz="8" w:color="auto"/>
            </w:tcBorders>
            <w:shd w:val="clear" w:color="auto" w:fill="E5E5E5"/>
          </w:tcPr>
          <w:p>
            <w:pPr>
              <w:jc w:val="right"/>
              <w:ind w:right="252"/>
              <w:spacing w:after="0" w:line="149" w:lineRule="exact"/>
              <w:rPr>
                <w:sz w:val="20"/>
                <w:szCs w:val="20"/>
                <w:color w:val="auto"/>
              </w:rPr>
            </w:pPr>
            <w:r>
              <w:rPr>
                <w:rFonts w:ascii="Arial" w:cs="Arial" w:eastAsia="Arial" w:hAnsi="Arial"/>
                <w:sz w:val="14"/>
                <w:szCs w:val="14"/>
                <w:color w:val="auto"/>
              </w:rPr>
              <w:t>(22)</w:t>
            </w:r>
          </w:p>
        </w:tc>
        <w:tc>
          <w:tcPr>
            <w:tcW w:w="20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(80)</w:t>
            </w:r>
          </w:p>
        </w:tc>
        <w:tc>
          <w:tcPr>
            <w:tcW w:w="74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(13)</w:t>
            </w: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Net income (loss)</w:t>
            </w: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right"/>
              <w:ind w:right="292"/>
              <w:spacing w:after="0" w:line="149" w:lineRule="exact"/>
              <w:rPr>
                <w:sz w:val="20"/>
                <w:szCs w:val="20"/>
                <w:color w:val="auto"/>
              </w:rPr>
            </w:pPr>
            <w:r>
              <w:rPr>
                <w:rFonts w:ascii="Arial" w:cs="Arial" w:eastAsia="Arial" w:hAnsi="Arial"/>
                <w:sz w:val="14"/>
                <w:szCs w:val="14"/>
                <w:color w:val="auto"/>
              </w:rPr>
              <w:t>49</w:t>
            </w: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6,455</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92</w:t>
            </w:r>
          </w:p>
        </w:tc>
        <w:tc>
          <w:tcPr>
            <w:tcW w:w="6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6,547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Balance, September 30, 2014</w:t>
            </w:r>
          </w:p>
        </w:tc>
        <w:tc>
          <w:tcPr>
            <w:tcW w:w="34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bottom w:val="single" w:sz="8" w:color="auto"/>
              <w:right w:val="single" w:sz="8" w:color="auto"/>
            </w:tcBorders>
            <w:shd w:val="clear" w:color="auto" w:fill="E5E5E5"/>
          </w:tcPr>
          <w:p>
            <w:pPr>
              <w:jc w:val="right"/>
              <w:ind w:right="292"/>
              <w:spacing w:after="0" w:line="142" w:lineRule="exact"/>
              <w:rPr>
                <w:sz w:val="20"/>
                <w:szCs w:val="20"/>
                <w:color w:val="auto"/>
              </w:rPr>
            </w:pPr>
            <w:r>
              <w:rPr>
                <w:rFonts w:ascii="Arial" w:cs="Arial" w:eastAsia="Arial" w:hAnsi="Arial"/>
                <w:sz w:val="14"/>
                <w:szCs w:val="14"/>
                <w:b w:val="1"/>
                <w:bCs w:val="1"/>
                <w:color w:val="auto"/>
              </w:rPr>
              <w:t>1,058</w:t>
            </w:r>
          </w:p>
        </w:tc>
        <w:tc>
          <w:tcPr>
            <w:tcW w:w="200" w:type="dxa"/>
            <w:vAlign w:val="bottom"/>
            <w:tcBorders>
              <w:bottom w:val="single" w:sz="8" w:color="auto"/>
            </w:tcBorders>
            <w:shd w:val="clear" w:color="auto" w:fill="E5E5E5"/>
          </w:tcPr>
          <w:p>
            <w:pPr>
              <w:spacing w:after="0"/>
              <w:rPr>
                <w:sz w:val="12"/>
                <w:szCs w:val="12"/>
                <w:color w:val="auto"/>
              </w:rPr>
            </w:pPr>
          </w:p>
        </w:tc>
        <w:tc>
          <w:tcPr>
            <w:tcW w:w="420" w:type="dxa"/>
            <w:vAlign w:val="bottom"/>
            <w:tcBorders>
              <w:bottom w:val="single" w:sz="8" w:color="auto"/>
            </w:tcBorders>
            <w:shd w:val="clear" w:color="auto" w:fill="E5E5E5"/>
          </w:tcPr>
          <w:p>
            <w:pPr>
              <w:jc w:val="center"/>
              <w:ind w:left="72"/>
              <w:spacing w:after="0" w:line="142" w:lineRule="exact"/>
              <w:rPr>
                <w:sz w:val="20"/>
                <w:szCs w:val="20"/>
                <w:color w:val="auto"/>
              </w:rPr>
            </w:pPr>
            <w:r>
              <w:rPr>
                <w:rFonts w:ascii="Arial" w:cs="Arial" w:eastAsia="Arial" w:hAnsi="Arial"/>
                <w:sz w:val="14"/>
                <w:szCs w:val="14"/>
                <w:b w:val="1"/>
                <w:bCs w:val="1"/>
                <w:color w:val="auto"/>
                <w:w w:val="85"/>
              </w:rPr>
              <w:t>$25</w:t>
            </w:r>
          </w:p>
        </w:tc>
        <w:tc>
          <w:tcPr>
            <w:tcW w:w="440" w:type="dxa"/>
            <w:vAlign w:val="bottom"/>
            <w:tcBorders>
              <w:bottom w:val="single" w:sz="8" w:color="auto"/>
            </w:tcBorders>
            <w:shd w:val="clear" w:color="auto" w:fill="E5E5E5"/>
          </w:tcPr>
          <w:p>
            <w:pPr>
              <w:ind w:left="200"/>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5</w:t>
            </w:r>
          </w:p>
        </w:tc>
        <w:tc>
          <w:tcPr>
            <w:tcW w:w="360" w:type="dxa"/>
            <w:vAlign w:val="bottom"/>
            <w:tcBorders>
              <w:bottom w:val="single" w:sz="8" w:color="auto"/>
            </w:tcBorders>
            <w:shd w:val="clear" w:color="auto" w:fill="E5E5E5"/>
          </w:tcPr>
          <w:p>
            <w:pPr>
              <w:jc w:val="center"/>
              <w:spacing w:after="0" w:line="142" w:lineRule="exact"/>
              <w:rPr>
                <w:sz w:val="20"/>
                <w:szCs w:val="20"/>
                <w:color w:val="auto"/>
              </w:rPr>
            </w:pPr>
            <w:r>
              <w:rPr>
                <w:rFonts w:ascii="Arial" w:cs="Arial" w:eastAsia="Arial" w:hAnsi="Arial"/>
                <w:sz w:val="14"/>
                <w:szCs w:val="14"/>
                <w:b w:val="1"/>
                <w:bCs w:val="1"/>
                <w:color w:val="auto"/>
                <w:w w:val="93"/>
              </w:rPr>
              <w:t>$ —</w:t>
            </w:r>
          </w:p>
        </w:tc>
        <w:tc>
          <w:tcPr>
            <w:tcW w:w="240" w:type="dxa"/>
            <w:vAlign w:val="bottom"/>
            <w:tcBorders>
              <w:bottom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b w:val="1"/>
                <w:bCs w:val="1"/>
                <w:color w:val="auto"/>
              </w:rPr>
              <w:t>38,977</w:t>
            </w:r>
          </w:p>
        </w:tc>
        <w:tc>
          <w:tcPr>
            <w:tcW w:w="740" w:type="dxa"/>
            <w:vAlign w:val="bottom"/>
            <w:tcBorders>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b w:val="1"/>
                <w:bCs w:val="1"/>
                <w:color w:val="auto"/>
              </w:rPr>
              <w:t>$ 21,805</w:t>
            </w:r>
          </w:p>
        </w:tc>
        <w:tc>
          <w:tcPr>
            <w:tcW w:w="200" w:type="dxa"/>
            <w:vAlign w:val="bottom"/>
            <w:tcBorders>
              <w:bottom w:val="single" w:sz="8" w:color="auto"/>
            </w:tcBorders>
            <w:shd w:val="clear" w:color="auto" w:fill="E5E5E5"/>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b w:val="1"/>
                <w:bCs w:val="1"/>
                <w:color w:val="auto"/>
                <w:w w:val="94"/>
              </w:rPr>
              <w:t>(7,517)</w:t>
            </w:r>
          </w:p>
        </w:tc>
        <w:tc>
          <w:tcPr>
            <w:tcW w:w="280" w:type="dxa"/>
            <w:vAlign w:val="bottom"/>
            <w:tcBorders>
              <w:bottom w:val="single" w:sz="8" w:color="auto"/>
            </w:tcBorders>
            <w:shd w:val="clear" w:color="auto" w:fill="E5E5E5"/>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b w:val="1"/>
                <w:bCs w:val="1"/>
                <w:color w:val="auto"/>
              </w:rPr>
              <w:t>3</w:t>
            </w:r>
          </w:p>
        </w:tc>
        <w:tc>
          <w:tcPr>
            <w:tcW w:w="16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b w:val="1"/>
                <w:bCs w:val="1"/>
                <w:color w:val="auto"/>
              </w:rPr>
              <w:t>355</w:t>
            </w:r>
          </w:p>
        </w:tc>
        <w:tc>
          <w:tcPr>
            <w:tcW w:w="62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b w:val="1"/>
                <w:bCs w:val="1"/>
                <w:color w:val="auto"/>
                <w:w w:val="98"/>
              </w:rPr>
              <w:t>$53,653</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53"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4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year-end condensed consolidated balance sheet was derived from audited financial statements but does not include all disclosures required by generally accepted accounting principles in the United States of America (“GAAP”). For a more complete discussion of our accounting policies and certain other information, refer to our consolidated financial statements included in our 2013 Annual Report on Form 10-K.</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2014, the Financial Accounting Standards Board (“FASB”) updated the accounting guidance related to discontinued operations. The updated accounting guidance provides a narrower definition of discontinued operations than existing GAAP. The updated accounting guidance requires that only disposals of components of an entity, or groups of components, that represent a strategic shift that has or will have a material effect on the reporting entity’s operations be reported in the financial statements as discontinued operations. The updated accounting guidance also provides guidance on the financial statement presentations and disclosures of discontinued operations. The updated accounting guidance will be effective prospectively for us on January 1, 2015, with early adoption permitted in 2014.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2014, the FASB and the International Accounting Standards Board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entities have to refer. The updated accounting guidance will be effective for us on January 1, 2017, and early adoption is not permitted. The updated accounting guidance allows for either a full retrospective adoption or modified retrospective adoption. We are currently in the process of determining the impact that the updated accounting guidance will have on our consolidated financial statements and our method of adoption.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Earnings Per Share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w w:val="96"/>
              </w:rPr>
              <w:t>Three Months Ended September 30</w:t>
            </w: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r>
      <w:tr>
        <w:trPr>
          <w:trHeight w:val="142"/>
        </w:trPr>
        <w:tc>
          <w:tcPr>
            <w:tcW w:w="54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color w:val="auto"/>
              </w:rPr>
              <w:t>2014</w:t>
            </w:r>
          </w:p>
        </w:tc>
        <w:tc>
          <w:tcPr>
            <w:tcW w:w="4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0"/>
              <w:spacing w:after="0" w:line="142" w:lineRule="exact"/>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r>
      <w:tr>
        <w:trPr>
          <w:trHeight w:val="131"/>
        </w:trPr>
        <w:tc>
          <w:tcPr>
            <w:tcW w:w="5440" w:type="dxa"/>
            <w:vAlign w:val="bottom"/>
          </w:tcPr>
          <w:p>
            <w:pPr>
              <w:spacing w:after="0"/>
              <w:rPr>
                <w:sz w:val="11"/>
                <w:szCs w:val="11"/>
                <w:color w:val="auto"/>
              </w:rPr>
            </w:pPr>
          </w:p>
        </w:tc>
        <w:tc>
          <w:tcPr>
            <w:tcW w:w="1280" w:type="dxa"/>
            <w:vAlign w:val="bottom"/>
            <w:gridSpan w:val="2"/>
          </w:tcPr>
          <w:p>
            <w:pPr>
              <w:jc w:val="center"/>
              <w:ind w:left="24"/>
              <w:spacing w:after="0" w:line="131" w:lineRule="exact"/>
              <w:rPr>
                <w:sz w:val="20"/>
                <w:szCs w:val="20"/>
                <w:color w:val="auto"/>
              </w:rPr>
            </w:pPr>
            <w:r>
              <w:rPr>
                <w:rFonts w:ascii="Arial" w:cs="Arial" w:eastAsia="Arial" w:hAnsi="Arial"/>
                <w:sz w:val="14"/>
                <w:szCs w:val="14"/>
                <w:color w:val="auto"/>
                <w:w w:val="86"/>
              </w:rPr>
              <w:t>Net Income</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6"/>
              </w:rPr>
              <w:t>Net Income</w:t>
            </w: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49"/>
        </w:trPr>
        <w:tc>
          <w:tcPr>
            <w:tcW w:w="5440" w:type="dxa"/>
            <w:vAlign w:val="bottom"/>
          </w:tcPr>
          <w:p>
            <w:pPr>
              <w:spacing w:after="0"/>
              <w:rPr>
                <w:sz w:val="12"/>
                <w:szCs w:val="12"/>
                <w:color w:val="auto"/>
              </w:rPr>
            </w:pPr>
          </w:p>
        </w:tc>
        <w:tc>
          <w:tcPr>
            <w:tcW w:w="1280" w:type="dxa"/>
            <w:vAlign w:val="bottom"/>
            <w:gridSpan w:val="2"/>
          </w:tcPr>
          <w:p>
            <w:pPr>
              <w:jc w:val="center"/>
              <w:ind w:left="24"/>
              <w:spacing w:after="0" w:line="149" w:lineRule="exact"/>
              <w:rPr>
                <w:sz w:val="20"/>
                <w:szCs w:val="20"/>
                <w:color w:val="auto"/>
              </w:rPr>
            </w:pPr>
            <w:r>
              <w:rPr>
                <w:rFonts w:ascii="Arial" w:cs="Arial" w:eastAsia="Arial" w:hAnsi="Arial"/>
                <w:sz w:val="14"/>
                <w:szCs w:val="14"/>
                <w:color w:val="auto"/>
                <w:w w:val="90"/>
              </w:rPr>
              <w:t>Attributable to</w:t>
            </w: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Attributable to</w:t>
            </w: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5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83"/>
              </w:rPr>
              <w:t>Comcast</w:t>
            </w:r>
          </w:p>
        </w:tc>
        <w:tc>
          <w:tcPr>
            <w:tcW w:w="760" w:type="dxa"/>
            <w:vAlign w:val="bottom"/>
          </w:tcPr>
          <w:p>
            <w:pPr>
              <w:spacing w:after="0"/>
              <w:rPr>
                <w:sz w:val="12"/>
                <w:szCs w:val="12"/>
                <w:color w:val="auto"/>
              </w:rPr>
            </w:pPr>
          </w:p>
        </w:tc>
        <w:tc>
          <w:tcPr>
            <w:tcW w:w="10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Per Share</w:t>
            </w:r>
          </w:p>
        </w:tc>
        <w:tc>
          <w:tcPr>
            <w:tcW w:w="340" w:type="dxa"/>
            <w:vAlign w:val="bottom"/>
          </w:tcPr>
          <w:p>
            <w:pPr>
              <w:spacing w:after="0"/>
              <w:rPr>
                <w:sz w:val="12"/>
                <w:szCs w:val="12"/>
                <w:color w:val="auto"/>
              </w:rPr>
            </w:pPr>
          </w:p>
        </w:tc>
        <w:tc>
          <w:tcPr>
            <w:tcW w:w="86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83"/>
              </w:rPr>
              <w:t>Comcast</w:t>
            </w:r>
          </w:p>
        </w:tc>
        <w:tc>
          <w:tcPr>
            <w:tcW w:w="880" w:type="dxa"/>
            <w:vAlign w:val="bottom"/>
          </w:tcPr>
          <w:p>
            <w:pPr>
              <w:spacing w:after="0"/>
              <w:rPr>
                <w:sz w:val="12"/>
                <w:szCs w:val="12"/>
                <w:color w:val="auto"/>
              </w:rPr>
            </w:pPr>
          </w:p>
        </w:tc>
        <w:tc>
          <w:tcPr>
            <w:tcW w:w="82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5"/>
              </w:rPr>
              <w:t>Per Share</w:t>
            </w:r>
          </w:p>
        </w:tc>
      </w:tr>
      <w:tr>
        <w:trPr>
          <w:trHeight w:val="159"/>
        </w:trPr>
        <w:tc>
          <w:tcPr>
            <w:tcW w:w="54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1280" w:type="dxa"/>
            <w:vAlign w:val="bottom"/>
            <w:tcBorders>
              <w:bottom w:val="single" w:sz="8" w:color="auto"/>
            </w:tcBorders>
            <w:gridSpan w:val="2"/>
          </w:tcPr>
          <w:p>
            <w:pPr>
              <w:jc w:val="center"/>
              <w:ind w:left="24"/>
              <w:spacing w:after="0" w:line="159" w:lineRule="exact"/>
              <w:rPr>
                <w:sz w:val="20"/>
                <w:szCs w:val="20"/>
                <w:color w:val="auto"/>
              </w:rPr>
            </w:pPr>
            <w:r>
              <w:rPr>
                <w:rFonts w:ascii="Arial" w:cs="Arial" w:eastAsia="Arial" w:hAnsi="Arial"/>
                <w:sz w:val="14"/>
                <w:szCs w:val="14"/>
                <w:color w:val="auto"/>
                <w:w w:val="90"/>
              </w:rPr>
              <w:t>Corporation</w:t>
            </w:r>
          </w:p>
        </w:tc>
        <w:tc>
          <w:tcPr>
            <w:tcW w:w="760" w:type="dxa"/>
            <w:vAlign w:val="bottom"/>
            <w:tcBorders>
              <w:bottom w:val="single" w:sz="8" w:color="auto"/>
            </w:tcBorders>
          </w:tcPr>
          <w:p>
            <w:pPr>
              <w:jc w:val="right"/>
              <w:ind w:right="60"/>
              <w:spacing w:after="0" w:line="159" w:lineRule="exact"/>
              <w:rPr>
                <w:sz w:val="20"/>
                <w:szCs w:val="20"/>
                <w:color w:val="auto"/>
              </w:rPr>
            </w:pPr>
            <w:r>
              <w:rPr>
                <w:rFonts w:ascii="Arial" w:cs="Arial" w:eastAsia="Arial" w:hAnsi="Arial"/>
                <w:sz w:val="14"/>
                <w:szCs w:val="14"/>
                <w:color w:val="auto"/>
              </w:rPr>
              <w:t>Shares</w:t>
            </w:r>
          </w:p>
        </w:tc>
        <w:tc>
          <w:tcPr>
            <w:tcW w:w="1040" w:type="dxa"/>
            <w:vAlign w:val="bottom"/>
            <w:tcBorders>
              <w:bottom w:val="single" w:sz="8" w:color="auto"/>
            </w:tcBorders>
            <w:gridSpan w:val="2"/>
          </w:tcPr>
          <w:p>
            <w:pPr>
              <w:ind w:left="360"/>
              <w:spacing w:after="0" w:line="159" w:lineRule="exact"/>
              <w:rPr>
                <w:sz w:val="20"/>
                <w:szCs w:val="20"/>
                <w:color w:val="auto"/>
              </w:rPr>
            </w:pPr>
            <w:r>
              <w:rPr>
                <w:rFonts w:ascii="Arial" w:cs="Arial" w:eastAsia="Arial" w:hAnsi="Arial"/>
                <w:sz w:val="14"/>
                <w:szCs w:val="14"/>
                <w:color w:val="auto"/>
              </w:rPr>
              <w:t>Amount</w:t>
            </w:r>
          </w:p>
        </w:tc>
        <w:tc>
          <w:tcPr>
            <w:tcW w:w="120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90"/>
              </w:rPr>
              <w:t>Corporation</w:t>
            </w:r>
          </w:p>
        </w:tc>
        <w:tc>
          <w:tcPr>
            <w:tcW w:w="880" w:type="dxa"/>
            <w:vAlign w:val="bottom"/>
            <w:tcBorders>
              <w:bottom w:val="single" w:sz="8" w:color="auto"/>
            </w:tcBorders>
          </w:tcPr>
          <w:p>
            <w:pPr>
              <w:jc w:val="right"/>
              <w:ind w:right="180"/>
              <w:spacing w:after="0" w:line="159" w:lineRule="exact"/>
              <w:rPr>
                <w:sz w:val="20"/>
                <w:szCs w:val="20"/>
                <w:color w:val="auto"/>
              </w:rPr>
            </w:pPr>
            <w:r>
              <w:rPr>
                <w:rFonts w:ascii="Arial" w:cs="Arial" w:eastAsia="Arial" w:hAnsi="Arial"/>
                <w:sz w:val="14"/>
                <w:szCs w:val="14"/>
                <w:color w:val="auto"/>
              </w:rPr>
              <w:t>Shares</w:t>
            </w:r>
          </w:p>
        </w:tc>
        <w:tc>
          <w:tcPr>
            <w:tcW w:w="820" w:type="dxa"/>
            <w:vAlign w:val="bottom"/>
            <w:tcBorders>
              <w:bottom w:val="single" w:sz="8" w:color="auto"/>
            </w:tcBorders>
            <w:gridSpan w:val="2"/>
          </w:tcPr>
          <w:p>
            <w:pPr>
              <w:ind w:left="240"/>
              <w:spacing w:after="0" w:line="159" w:lineRule="exact"/>
              <w:rPr>
                <w:sz w:val="20"/>
                <w:szCs w:val="20"/>
                <w:color w:val="auto"/>
              </w:rPr>
            </w:pPr>
            <w:r>
              <w:rPr>
                <w:rFonts w:ascii="Arial" w:cs="Arial" w:eastAsia="Arial" w:hAnsi="Arial"/>
                <w:sz w:val="14"/>
                <w:szCs w:val="14"/>
                <w:color w:val="auto"/>
              </w:rPr>
              <w:t>Amount</w:t>
            </w:r>
          </w:p>
        </w:tc>
      </w:tr>
      <w:tr>
        <w:trPr>
          <w:trHeight w:val="210"/>
        </w:trPr>
        <w:tc>
          <w:tcPr>
            <w:tcW w:w="5440" w:type="dxa"/>
            <w:vAlign w:val="bottom"/>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99"/>
              <w:spacing w:after="0"/>
              <w:rPr>
                <w:sz w:val="20"/>
                <w:szCs w:val="20"/>
                <w:color w:val="auto"/>
              </w:rPr>
            </w:pPr>
            <w:r>
              <w:rPr>
                <w:rFonts w:ascii="Arial" w:cs="Arial" w:eastAsia="Arial" w:hAnsi="Arial"/>
                <w:sz w:val="18"/>
                <w:szCs w:val="18"/>
                <w:color w:val="auto"/>
              </w:rPr>
              <w:t>2,592</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2,580</w:t>
            </w:r>
          </w:p>
        </w:tc>
        <w:tc>
          <w:tcPr>
            <w:tcW w:w="48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6"/>
              </w:rPr>
              <w:t>1.00</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19"/>
              <w:spacing w:after="0"/>
              <w:rPr>
                <w:sz w:val="20"/>
                <w:szCs w:val="20"/>
                <w:color w:val="auto"/>
              </w:rPr>
            </w:pPr>
            <w:r>
              <w:rPr>
                <w:rFonts w:ascii="Arial" w:cs="Arial" w:eastAsia="Arial" w:hAnsi="Arial"/>
                <w:sz w:val="18"/>
                <w:szCs w:val="18"/>
                <w:color w:val="auto"/>
              </w:rPr>
              <w:t>1,732</w:t>
            </w:r>
          </w:p>
        </w:tc>
        <w:tc>
          <w:tcPr>
            <w:tcW w:w="880" w:type="dxa"/>
            <w:vAlign w:val="bottom"/>
            <w:shd w:val="clear" w:color="auto" w:fill="E5E5E5"/>
          </w:tcPr>
          <w:p>
            <w:pPr>
              <w:jc w:val="right"/>
              <w:ind w:right="120"/>
              <w:spacing w:after="0"/>
              <w:rPr>
                <w:sz w:val="20"/>
                <w:szCs w:val="20"/>
                <w:color w:val="auto"/>
              </w:rPr>
            </w:pPr>
            <w:r>
              <w:rPr>
                <w:rFonts w:ascii="Arial" w:cs="Arial" w:eastAsia="Arial" w:hAnsi="Arial"/>
                <w:sz w:val="18"/>
                <w:szCs w:val="18"/>
                <w:color w:val="auto"/>
              </w:rPr>
              <w:t>2,622</w:t>
            </w:r>
          </w:p>
        </w:tc>
        <w:tc>
          <w:tcPr>
            <w:tcW w:w="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6"/>
              </w:rPr>
              <w:t>0.66</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54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w w:val="99"/>
              </w:rPr>
              <w:t>Assumed exercise or issuance of shares relating to stock plans</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36</w:t>
            </w:r>
          </w:p>
        </w:tc>
        <w:tc>
          <w:tcPr>
            <w:tcW w:w="4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120"/>
              <w:spacing w:after="0"/>
              <w:rPr>
                <w:sz w:val="20"/>
                <w:szCs w:val="20"/>
                <w:color w:val="auto"/>
              </w:rPr>
            </w:pPr>
            <w:r>
              <w:rPr>
                <w:rFonts w:ascii="Arial" w:cs="Arial" w:eastAsia="Arial" w:hAnsi="Arial"/>
                <w:sz w:val="18"/>
                <w:szCs w:val="18"/>
                <w:color w:val="auto"/>
              </w:rPr>
              <w:t>36</w:t>
            </w:r>
          </w:p>
        </w:tc>
        <w:tc>
          <w:tcPr>
            <w:tcW w:w="3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r>
      <w:tr>
        <w:trPr>
          <w:trHeight w:val="217"/>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EPS attributable to Comcast Corporation shareholders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b w:val="1"/>
                <w:bCs w:val="1"/>
                <w:color w:val="auto"/>
              </w:rPr>
              <w:t>2,592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2,616</w:t>
            </w:r>
          </w:p>
        </w:tc>
        <w:tc>
          <w:tcPr>
            <w:tcW w:w="4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6"/>
              </w:rPr>
              <w:t>0.99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rPr>
              <w:t>1,732</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b w:val="1"/>
                <w:bCs w:val="1"/>
                <w:color w:val="auto"/>
              </w:rPr>
              <w:t>2,658</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6"/>
              </w:rPr>
              <w:t>0.65</w:t>
            </w:r>
          </w:p>
        </w:tc>
      </w:tr>
      <w:tr>
        <w:trPr>
          <w:trHeight w:val="284"/>
        </w:trPr>
        <w:tc>
          <w:tcPr>
            <w:tcW w:w="54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color w:val="auto"/>
                <w:w w:val="97"/>
              </w:rPr>
              <w:t>Nine Months Ended September 30</w:t>
            </w: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r>
        <w:trPr>
          <w:trHeight w:val="142"/>
        </w:trPr>
        <w:tc>
          <w:tcPr>
            <w:tcW w:w="54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color w:val="auto"/>
              </w:rPr>
              <w:t>2014</w:t>
            </w:r>
          </w:p>
        </w:tc>
        <w:tc>
          <w:tcPr>
            <w:tcW w:w="4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0"/>
              <w:spacing w:after="0" w:line="142" w:lineRule="exact"/>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r>
      <w:tr>
        <w:trPr>
          <w:trHeight w:val="131"/>
        </w:trPr>
        <w:tc>
          <w:tcPr>
            <w:tcW w:w="5440" w:type="dxa"/>
            <w:vAlign w:val="bottom"/>
          </w:tcPr>
          <w:p>
            <w:pPr>
              <w:spacing w:after="0"/>
              <w:rPr>
                <w:sz w:val="11"/>
                <w:szCs w:val="11"/>
                <w:color w:val="auto"/>
              </w:rPr>
            </w:pPr>
          </w:p>
        </w:tc>
        <w:tc>
          <w:tcPr>
            <w:tcW w:w="1280" w:type="dxa"/>
            <w:vAlign w:val="bottom"/>
            <w:gridSpan w:val="2"/>
          </w:tcPr>
          <w:p>
            <w:pPr>
              <w:jc w:val="center"/>
              <w:ind w:left="24"/>
              <w:spacing w:after="0" w:line="131" w:lineRule="exact"/>
              <w:rPr>
                <w:sz w:val="20"/>
                <w:szCs w:val="20"/>
                <w:color w:val="auto"/>
              </w:rPr>
            </w:pPr>
            <w:r>
              <w:rPr>
                <w:rFonts w:ascii="Arial" w:cs="Arial" w:eastAsia="Arial" w:hAnsi="Arial"/>
                <w:sz w:val="14"/>
                <w:szCs w:val="14"/>
                <w:color w:val="auto"/>
                <w:w w:val="86"/>
              </w:rPr>
              <w:t>Net Income</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6"/>
              </w:rPr>
              <w:t>Net Income</w:t>
            </w: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49"/>
        </w:trPr>
        <w:tc>
          <w:tcPr>
            <w:tcW w:w="5440" w:type="dxa"/>
            <w:vAlign w:val="bottom"/>
          </w:tcPr>
          <w:p>
            <w:pPr>
              <w:spacing w:after="0"/>
              <w:rPr>
                <w:sz w:val="12"/>
                <w:szCs w:val="12"/>
                <w:color w:val="auto"/>
              </w:rPr>
            </w:pPr>
          </w:p>
        </w:tc>
        <w:tc>
          <w:tcPr>
            <w:tcW w:w="1280" w:type="dxa"/>
            <w:vAlign w:val="bottom"/>
            <w:gridSpan w:val="2"/>
          </w:tcPr>
          <w:p>
            <w:pPr>
              <w:jc w:val="center"/>
              <w:ind w:left="24"/>
              <w:spacing w:after="0" w:line="149" w:lineRule="exact"/>
              <w:rPr>
                <w:sz w:val="20"/>
                <w:szCs w:val="20"/>
                <w:color w:val="auto"/>
              </w:rPr>
            </w:pPr>
            <w:r>
              <w:rPr>
                <w:rFonts w:ascii="Arial" w:cs="Arial" w:eastAsia="Arial" w:hAnsi="Arial"/>
                <w:sz w:val="14"/>
                <w:szCs w:val="14"/>
                <w:color w:val="auto"/>
                <w:w w:val="90"/>
              </w:rPr>
              <w:t>Attributable to</w:t>
            </w: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Attributable to</w:t>
            </w: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5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83"/>
              </w:rPr>
              <w:t>Comcast</w:t>
            </w:r>
          </w:p>
        </w:tc>
        <w:tc>
          <w:tcPr>
            <w:tcW w:w="760" w:type="dxa"/>
            <w:vAlign w:val="bottom"/>
          </w:tcPr>
          <w:p>
            <w:pPr>
              <w:spacing w:after="0"/>
              <w:rPr>
                <w:sz w:val="12"/>
                <w:szCs w:val="12"/>
                <w:color w:val="auto"/>
              </w:rPr>
            </w:pPr>
          </w:p>
        </w:tc>
        <w:tc>
          <w:tcPr>
            <w:tcW w:w="10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Per Share</w:t>
            </w:r>
          </w:p>
        </w:tc>
        <w:tc>
          <w:tcPr>
            <w:tcW w:w="340" w:type="dxa"/>
            <w:vAlign w:val="bottom"/>
          </w:tcPr>
          <w:p>
            <w:pPr>
              <w:spacing w:after="0"/>
              <w:rPr>
                <w:sz w:val="12"/>
                <w:szCs w:val="12"/>
                <w:color w:val="auto"/>
              </w:rPr>
            </w:pPr>
          </w:p>
        </w:tc>
        <w:tc>
          <w:tcPr>
            <w:tcW w:w="86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83"/>
              </w:rPr>
              <w:t>Comcast</w:t>
            </w:r>
          </w:p>
        </w:tc>
        <w:tc>
          <w:tcPr>
            <w:tcW w:w="880" w:type="dxa"/>
            <w:vAlign w:val="bottom"/>
          </w:tcPr>
          <w:p>
            <w:pPr>
              <w:spacing w:after="0"/>
              <w:rPr>
                <w:sz w:val="12"/>
                <w:szCs w:val="12"/>
                <w:color w:val="auto"/>
              </w:rPr>
            </w:pPr>
          </w:p>
        </w:tc>
        <w:tc>
          <w:tcPr>
            <w:tcW w:w="82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5"/>
              </w:rPr>
              <w:t>Per Share</w:t>
            </w:r>
          </w:p>
        </w:tc>
      </w:tr>
      <w:tr>
        <w:trPr>
          <w:trHeight w:val="159"/>
        </w:trPr>
        <w:tc>
          <w:tcPr>
            <w:tcW w:w="54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1280" w:type="dxa"/>
            <w:vAlign w:val="bottom"/>
            <w:tcBorders>
              <w:bottom w:val="single" w:sz="8" w:color="auto"/>
            </w:tcBorders>
            <w:gridSpan w:val="2"/>
          </w:tcPr>
          <w:p>
            <w:pPr>
              <w:jc w:val="center"/>
              <w:ind w:left="24"/>
              <w:spacing w:after="0" w:line="159" w:lineRule="exact"/>
              <w:rPr>
                <w:sz w:val="20"/>
                <w:szCs w:val="20"/>
                <w:color w:val="auto"/>
              </w:rPr>
            </w:pPr>
            <w:r>
              <w:rPr>
                <w:rFonts w:ascii="Arial" w:cs="Arial" w:eastAsia="Arial" w:hAnsi="Arial"/>
                <w:sz w:val="14"/>
                <w:szCs w:val="14"/>
                <w:color w:val="auto"/>
                <w:w w:val="90"/>
              </w:rPr>
              <w:t>Corporation</w:t>
            </w:r>
          </w:p>
        </w:tc>
        <w:tc>
          <w:tcPr>
            <w:tcW w:w="760" w:type="dxa"/>
            <w:vAlign w:val="bottom"/>
            <w:tcBorders>
              <w:bottom w:val="single" w:sz="8" w:color="auto"/>
            </w:tcBorders>
          </w:tcPr>
          <w:p>
            <w:pPr>
              <w:jc w:val="right"/>
              <w:ind w:right="60"/>
              <w:spacing w:after="0" w:line="159" w:lineRule="exact"/>
              <w:rPr>
                <w:sz w:val="20"/>
                <w:szCs w:val="20"/>
                <w:color w:val="auto"/>
              </w:rPr>
            </w:pPr>
            <w:r>
              <w:rPr>
                <w:rFonts w:ascii="Arial" w:cs="Arial" w:eastAsia="Arial" w:hAnsi="Arial"/>
                <w:sz w:val="14"/>
                <w:szCs w:val="14"/>
                <w:color w:val="auto"/>
              </w:rPr>
              <w:t>Shares</w:t>
            </w:r>
          </w:p>
        </w:tc>
        <w:tc>
          <w:tcPr>
            <w:tcW w:w="1040" w:type="dxa"/>
            <w:vAlign w:val="bottom"/>
            <w:tcBorders>
              <w:bottom w:val="single" w:sz="8" w:color="auto"/>
            </w:tcBorders>
            <w:gridSpan w:val="2"/>
          </w:tcPr>
          <w:p>
            <w:pPr>
              <w:ind w:left="360"/>
              <w:spacing w:after="0" w:line="159" w:lineRule="exact"/>
              <w:rPr>
                <w:sz w:val="20"/>
                <w:szCs w:val="20"/>
                <w:color w:val="auto"/>
              </w:rPr>
            </w:pPr>
            <w:r>
              <w:rPr>
                <w:rFonts w:ascii="Arial" w:cs="Arial" w:eastAsia="Arial" w:hAnsi="Arial"/>
                <w:sz w:val="14"/>
                <w:szCs w:val="14"/>
                <w:color w:val="auto"/>
              </w:rPr>
              <w:t>Amount</w:t>
            </w:r>
          </w:p>
        </w:tc>
        <w:tc>
          <w:tcPr>
            <w:tcW w:w="120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90"/>
              </w:rPr>
              <w:t>Corporation</w:t>
            </w:r>
          </w:p>
        </w:tc>
        <w:tc>
          <w:tcPr>
            <w:tcW w:w="880" w:type="dxa"/>
            <w:vAlign w:val="bottom"/>
            <w:tcBorders>
              <w:bottom w:val="single" w:sz="8" w:color="auto"/>
            </w:tcBorders>
          </w:tcPr>
          <w:p>
            <w:pPr>
              <w:jc w:val="right"/>
              <w:ind w:right="180"/>
              <w:spacing w:after="0" w:line="159" w:lineRule="exact"/>
              <w:rPr>
                <w:sz w:val="20"/>
                <w:szCs w:val="20"/>
                <w:color w:val="auto"/>
              </w:rPr>
            </w:pPr>
            <w:r>
              <w:rPr>
                <w:rFonts w:ascii="Arial" w:cs="Arial" w:eastAsia="Arial" w:hAnsi="Arial"/>
                <w:sz w:val="14"/>
                <w:szCs w:val="14"/>
                <w:color w:val="auto"/>
              </w:rPr>
              <w:t>Shares</w:t>
            </w:r>
          </w:p>
        </w:tc>
        <w:tc>
          <w:tcPr>
            <w:tcW w:w="820" w:type="dxa"/>
            <w:vAlign w:val="bottom"/>
            <w:tcBorders>
              <w:bottom w:val="single" w:sz="8" w:color="auto"/>
            </w:tcBorders>
            <w:gridSpan w:val="2"/>
          </w:tcPr>
          <w:p>
            <w:pPr>
              <w:ind w:left="240"/>
              <w:spacing w:after="0" w:line="159" w:lineRule="exact"/>
              <w:rPr>
                <w:sz w:val="20"/>
                <w:szCs w:val="20"/>
                <w:color w:val="auto"/>
              </w:rPr>
            </w:pPr>
            <w:r>
              <w:rPr>
                <w:rFonts w:ascii="Arial" w:cs="Arial" w:eastAsia="Arial" w:hAnsi="Arial"/>
                <w:sz w:val="14"/>
                <w:szCs w:val="14"/>
                <w:color w:val="auto"/>
              </w:rPr>
              <w:t>Amount</w:t>
            </w:r>
          </w:p>
        </w:tc>
      </w:tr>
      <w:tr>
        <w:trPr>
          <w:trHeight w:val="210"/>
        </w:trPr>
        <w:tc>
          <w:tcPr>
            <w:tcW w:w="5440" w:type="dxa"/>
            <w:vAlign w:val="bottom"/>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99"/>
              <w:spacing w:after="0"/>
              <w:rPr>
                <w:sz w:val="20"/>
                <w:szCs w:val="20"/>
                <w:color w:val="auto"/>
              </w:rPr>
            </w:pPr>
            <w:r>
              <w:rPr>
                <w:rFonts w:ascii="Arial" w:cs="Arial" w:eastAsia="Arial" w:hAnsi="Arial"/>
                <w:sz w:val="18"/>
                <w:szCs w:val="18"/>
                <w:color w:val="auto"/>
              </w:rPr>
              <w:t>6,455</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2,592</w:t>
            </w:r>
          </w:p>
        </w:tc>
        <w:tc>
          <w:tcPr>
            <w:tcW w:w="48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6"/>
              </w:rPr>
              <w:t>2.49</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19"/>
              <w:spacing w:after="0"/>
              <w:rPr>
                <w:sz w:val="20"/>
                <w:szCs w:val="20"/>
                <w:color w:val="auto"/>
              </w:rPr>
            </w:pPr>
            <w:r>
              <w:rPr>
                <w:rFonts w:ascii="Arial" w:cs="Arial" w:eastAsia="Arial" w:hAnsi="Arial"/>
                <w:sz w:val="18"/>
                <w:szCs w:val="18"/>
                <w:color w:val="auto"/>
              </w:rPr>
              <w:t>4,903</w:t>
            </w:r>
          </w:p>
        </w:tc>
        <w:tc>
          <w:tcPr>
            <w:tcW w:w="880" w:type="dxa"/>
            <w:vAlign w:val="bottom"/>
            <w:shd w:val="clear" w:color="auto" w:fill="E5E5E5"/>
          </w:tcPr>
          <w:p>
            <w:pPr>
              <w:jc w:val="right"/>
              <w:ind w:right="120"/>
              <w:spacing w:after="0"/>
              <w:rPr>
                <w:sz w:val="20"/>
                <w:szCs w:val="20"/>
                <w:color w:val="auto"/>
              </w:rPr>
            </w:pPr>
            <w:r>
              <w:rPr>
                <w:rFonts w:ascii="Arial" w:cs="Arial" w:eastAsia="Arial" w:hAnsi="Arial"/>
                <w:sz w:val="18"/>
                <w:szCs w:val="18"/>
                <w:color w:val="auto"/>
              </w:rPr>
              <w:t>2,629</w:t>
            </w:r>
          </w:p>
        </w:tc>
        <w:tc>
          <w:tcPr>
            <w:tcW w:w="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6"/>
              </w:rPr>
              <w:t>1.86</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54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w w:val="99"/>
              </w:rPr>
              <w:t>Assumed exercise or issuance of shares relating to stock plans</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37</w:t>
            </w:r>
          </w:p>
        </w:tc>
        <w:tc>
          <w:tcPr>
            <w:tcW w:w="4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120"/>
              <w:spacing w:after="0"/>
              <w:rPr>
                <w:sz w:val="20"/>
                <w:szCs w:val="20"/>
                <w:color w:val="auto"/>
              </w:rPr>
            </w:pPr>
            <w:r>
              <w:rPr>
                <w:rFonts w:ascii="Arial" w:cs="Arial" w:eastAsia="Arial" w:hAnsi="Arial"/>
                <w:sz w:val="18"/>
                <w:szCs w:val="18"/>
                <w:color w:val="auto"/>
              </w:rPr>
              <w:t>39</w:t>
            </w:r>
          </w:p>
        </w:tc>
        <w:tc>
          <w:tcPr>
            <w:tcW w:w="3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r>
      <w:tr>
        <w:trPr>
          <w:trHeight w:val="230"/>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EPS attributable to Comcast Corporation shareholders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b w:val="1"/>
                <w:bCs w:val="1"/>
                <w:color w:val="auto"/>
              </w:rPr>
              <w:t>6,455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2,629</w:t>
            </w:r>
          </w:p>
        </w:tc>
        <w:tc>
          <w:tcPr>
            <w:tcW w:w="4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6"/>
              </w:rPr>
              <w:t>2.46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rPr>
              <w:t>4,903</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b w:val="1"/>
                <w:bCs w:val="1"/>
                <w:color w:val="auto"/>
              </w:rPr>
              <w:t>2,668</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6"/>
              </w:rPr>
              <w:t>1.84</w:t>
            </w:r>
          </w:p>
        </w:tc>
      </w:tr>
    </w:tbl>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potentially dilutive securities include potential common shares related to our stock options and our restricted share units (“RSUs”). Diluted earnings per common share attributable to Comcast Corporation shareholders (“diluted EPS”) considers the impact of potentially dilutive securities by using the treasury stock method.</w:t>
      </w:r>
    </w:p>
    <w:p>
      <w:pPr>
        <w:spacing w:after="0" w:line="4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For the three and nine months ended September 30, 2014, diluted EPS excluded 17 million and 13 million, respectively, of potential common shares related to our share-based compensation plans, because the inclusion of the potential common shares would have had an antidilutive effect. For the three and nine months ended September 30, 2013, diluted EPS excluded 18 million and 13 million, respectively, of potential common shares.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Significant Transactions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Warner Cable Merger</w:t>
      </w:r>
    </w:p>
    <w:p>
      <w:pPr>
        <w:spacing w:after="0" w:line="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February 12, 2014, we entered into an agreement and plan of merger (the “merger agreement”) with Time Warner Cable Inc. (“Time Warner Cable”) whereby Time Warner Cable will become our wholly owned subsidiary (the “Time Warner Cable merger”). Time Warner Cable stockholders will receive, in exchange for each share of Time Warner Cable common stock owned immediately prior to the Time Warner Cable merger, 2.875 shares of our Class A common stock. We estimate that at the time of closing, Time Warner Cable stockholders will own approximately 24% of the outstanding shares of our common stock. Because the exchange ratio was fixed at the time of the merger agreement and the market value of our Class A common stock will continue to fluctuate, the number of shares of Class A common stock to be issued and the total value of the consideration exchanged will not be determinable until the closing date. The Time Warner Cable merger was approved by Comcast shareholders on October 8, 2014 and by Time Warner Cable stockholders on October 9, 2014. The Time Warner Cable merger remains subject to regulatory review and other customary conditions and is expected to close in early 2015.</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 Transactions</w:t>
      </w:r>
    </w:p>
    <w:p>
      <w:pPr>
        <w:spacing w:after="0" w:line="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terms of the merger agreement contemplate that we are prepared to divest systems serving up to approximately 3 million video customers of our company following the Time Warner Cable merger in order to obtain applicable regulatory approvals. As a result of this commitment, on April 25, 2014, we entered into a transactions agreement with Charter Communications, Inc. (“Charter”) that, if consummated, would satisfy the divestiture undertaking. Under the transactions agreement, following the close of the Time Warner Cable merger and subject to various conditions, we would divest cable systems resulting in a net disposition of approximately 3.9 million video customers through three transactions: (1) a spin-off of cable systems serving approximately 2.5 million of our video customers (the “spin-off transaction”) into a newly formed public entity (“SpinCo”), (2) an exchange of cable systems serving approximately 1.5 million Time Warner Cable video customers for cable systems serving approximately 1.7 million Charter video customers, and (3) a sale to Charter of cable systems serving approximately 1.5 million Time Warner Cable video customers for cash (collectively, the “divestiture transactions”).</w:t>
      </w:r>
    </w:p>
    <w:p>
      <w:pPr>
        <w:spacing w:after="0" w:line="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the spin-off transaction and prior to the spin-off, it is expected that SpinCo will incur new debt to fund a cash distribution to us and to issue notes to us, which notes will enable us to then retire a portion of our debt. In the spin-off transaction, we will distribute common stock of SpinCo pro rata to the holders of all of our outstanding common stock, including the former Time Warner Cable stockholders who continue to hold shares through the record date of the spin-off transaction. After the spin-off transaction, a newly formed, wholly owned indirect subsidiary of Charter will merge with and into Charter with the effect that all shares of Charter will be converted into shares of a new holding company, which will survive as the publicly traded parent company of Charter (“New Charter”). New Charter will then acquire an interest in SpinCo by issuing New Charter stock in exchange for a portion of the outstanding SpinCo stock, following which it is expected that Comcast shareholders will own approximately 67% of SpinCo and New Charter will own approximately 33% of SpinCo. In addition, it is expected that Comcast shareholders will own approximately 10% of New Charter, though the actual percentage of New Charter that will be owned by Comcast shareholders will depend on a number of factors, some of which will not be known until completion of the divestiture transactions. Following the close of the divestiture transactions, we will no longer have any ownership interest in SpinCo.</w:t>
      </w:r>
    </w:p>
    <w:p>
      <w:pPr>
        <w:spacing w:after="0" w:line="2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close of the divestiture transactions is subject to the completion of the Time Warner Cable merger, Charter stockholder approval, completion of the SpinCo financing transactions, regulatory approvals and other customary conditions. The Time Warner Cable merger and the divestiture transactions are subject to separate conditions, and the Time Warner Cable merger can be completed regardless of whether the divestiture transactions are ultimately completed.</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Film and Television Costs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5740" w:type="dxa"/>
            <w:vAlign w:val="bottom"/>
            <w:gridSpan w:val="2"/>
          </w:tcPr>
          <w:p>
            <w:pPr>
              <w:ind w:left="4560"/>
              <w:spacing w:after="0"/>
              <w:rPr>
                <w:sz w:val="20"/>
                <w:szCs w:val="20"/>
                <w:color w:val="auto"/>
              </w:rPr>
            </w:pPr>
            <w:r>
              <w:rPr>
                <w:rFonts w:ascii="Arial" w:cs="Arial" w:eastAsia="Arial" w:hAnsi="Arial"/>
                <w:sz w:val="14"/>
                <w:szCs w:val="14"/>
                <w:color w:val="auto"/>
              </w:rPr>
              <w:t>September 30,</w:t>
            </w:r>
          </w:p>
        </w:tc>
        <w:tc>
          <w:tcPr>
            <w:tcW w:w="1280" w:type="dxa"/>
            <w:vAlign w:val="bottom"/>
            <w:gridSpan w:val="2"/>
          </w:tcPr>
          <w:p>
            <w:pPr>
              <w:ind w:left="420"/>
              <w:spacing w:after="0"/>
              <w:rPr>
                <w:sz w:val="20"/>
                <w:szCs w:val="20"/>
                <w:color w:val="auto"/>
              </w:rPr>
            </w:pPr>
            <w:r>
              <w:rPr>
                <w:rFonts w:ascii="Arial" w:cs="Arial" w:eastAsia="Arial" w:hAnsi="Arial"/>
                <w:sz w:val="14"/>
                <w:szCs w:val="14"/>
                <w:color w:val="auto"/>
                <w:w w:val="95"/>
              </w:rPr>
              <w:t>December 31,</w:t>
            </w:r>
          </w:p>
        </w:tc>
      </w:tr>
      <w:tr>
        <w:trPr>
          <w:trHeight w:val="159"/>
        </w:trPr>
        <w:tc>
          <w:tcPr>
            <w:tcW w:w="44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47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4"/>
              <w:spacing w:after="0" w:line="159" w:lineRule="exact"/>
              <w:rPr>
                <w:sz w:val="20"/>
                <w:szCs w:val="20"/>
                <w:color w:val="auto"/>
              </w:rPr>
            </w:pPr>
            <w:r>
              <w:rPr>
                <w:rFonts w:ascii="Arial" w:cs="Arial" w:eastAsia="Arial" w:hAnsi="Arial"/>
                <w:sz w:val="14"/>
                <w:szCs w:val="14"/>
                <w:color w:val="auto"/>
              </w:rPr>
              <w:t>2014</w:t>
            </w:r>
          </w:p>
        </w:tc>
        <w:tc>
          <w:tcPr>
            <w:tcW w:w="5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4"/>
              <w:spacing w:after="0" w:line="159" w:lineRule="exact"/>
              <w:rPr>
                <w:sz w:val="20"/>
                <w:szCs w:val="20"/>
                <w:color w:val="auto"/>
              </w:rPr>
            </w:pPr>
            <w:r>
              <w:rPr>
                <w:rFonts w:ascii="Arial" w:cs="Arial" w:eastAsia="Arial" w:hAnsi="Arial"/>
                <w:sz w:val="14"/>
                <w:szCs w:val="14"/>
                <w:color w:val="auto"/>
              </w:rPr>
              <w:t>2013</w:t>
            </w:r>
          </w:p>
        </w:tc>
      </w:tr>
      <w:tr>
        <w:trPr>
          <w:trHeight w:val="210"/>
        </w:trPr>
        <w:tc>
          <w:tcPr>
            <w:tcW w:w="44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Film Costs:</w:t>
            </w:r>
          </w:p>
        </w:tc>
        <w:tc>
          <w:tcPr>
            <w:tcW w:w="472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Released, less amortization</w:t>
            </w:r>
          </w:p>
        </w:tc>
        <w:tc>
          <w:tcPr>
            <w:tcW w:w="4720" w:type="dxa"/>
            <w:vAlign w:val="bottom"/>
          </w:tcPr>
          <w:p>
            <w:pPr>
              <w:ind w:left="45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1,313</w:t>
            </w:r>
          </w:p>
        </w:tc>
        <w:tc>
          <w:tcPr>
            <w:tcW w:w="580" w:type="dxa"/>
            <w:vAlign w:val="bottom"/>
          </w:tcPr>
          <w:p>
            <w:pPr>
              <w:ind w:left="4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1,630</w:t>
            </w:r>
          </w:p>
        </w:tc>
      </w:tr>
      <w:tr>
        <w:trPr>
          <w:trHeight w:val="216"/>
        </w:trPr>
        <w:tc>
          <w:tcPr>
            <w:tcW w:w="44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Completed, not released</w:t>
            </w:r>
          </w:p>
        </w:tc>
        <w:tc>
          <w:tcPr>
            <w:tcW w:w="472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193</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70</w:t>
            </w:r>
          </w:p>
        </w:tc>
      </w:tr>
      <w:tr>
        <w:trPr>
          <w:trHeight w:val="216"/>
        </w:trPr>
        <w:tc>
          <w:tcPr>
            <w:tcW w:w="44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47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1,143</w:t>
            </w: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658</w:t>
            </w:r>
          </w:p>
        </w:tc>
      </w:tr>
      <w:tr>
        <w:trPr>
          <w:trHeight w:val="210"/>
        </w:trPr>
        <w:tc>
          <w:tcPr>
            <w:tcW w:w="4400" w:type="dxa"/>
            <w:vAlign w:val="bottom"/>
            <w:shd w:val="clear" w:color="auto" w:fill="E5E5E5"/>
          </w:tcPr>
          <w:p>
            <w:pPr>
              <w:spacing w:after="0"/>
              <w:rPr>
                <w:sz w:val="18"/>
                <w:szCs w:val="18"/>
                <w:color w:val="auto"/>
              </w:rPr>
            </w:pPr>
          </w:p>
        </w:tc>
        <w:tc>
          <w:tcPr>
            <w:tcW w:w="472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2,649</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2,358</w:t>
            </w: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Television Costs:</w:t>
            </w:r>
          </w:p>
        </w:tc>
        <w:tc>
          <w:tcPr>
            <w:tcW w:w="4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4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Released, less amortization</w:t>
            </w:r>
          </w:p>
        </w:tc>
        <w:tc>
          <w:tcPr>
            <w:tcW w:w="472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1,187</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1,155</w:t>
            </w:r>
          </w:p>
        </w:tc>
      </w:tr>
      <w:tr>
        <w:trPr>
          <w:trHeight w:val="216"/>
        </w:trPr>
        <w:tc>
          <w:tcPr>
            <w:tcW w:w="44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47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445</w:t>
            </w: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370</w:t>
            </w:r>
          </w:p>
        </w:tc>
      </w:tr>
      <w:tr>
        <w:trPr>
          <w:trHeight w:val="210"/>
        </w:trPr>
        <w:tc>
          <w:tcPr>
            <w:tcW w:w="4400" w:type="dxa"/>
            <w:vAlign w:val="bottom"/>
            <w:shd w:val="clear" w:color="auto" w:fill="E5E5E5"/>
          </w:tcPr>
          <w:p>
            <w:pPr>
              <w:spacing w:after="0"/>
              <w:rPr>
                <w:sz w:val="18"/>
                <w:szCs w:val="18"/>
                <w:color w:val="auto"/>
              </w:rPr>
            </w:pPr>
          </w:p>
        </w:tc>
        <w:tc>
          <w:tcPr>
            <w:tcW w:w="472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1,632</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1,525</w:t>
            </w:r>
          </w:p>
        </w:tc>
      </w:tr>
      <w:tr>
        <w:trPr>
          <w:trHeight w:val="216"/>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47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2,271</w:t>
            </w: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2,039</w:t>
            </w:r>
          </w:p>
        </w:tc>
      </w:tr>
      <w:tr>
        <w:trPr>
          <w:trHeight w:val="210"/>
        </w:trPr>
        <w:tc>
          <w:tcPr>
            <w:tcW w:w="4400" w:type="dxa"/>
            <w:vAlign w:val="bottom"/>
            <w:shd w:val="clear" w:color="auto" w:fill="E5E5E5"/>
          </w:tcPr>
          <w:p>
            <w:pPr>
              <w:spacing w:after="0"/>
              <w:rPr>
                <w:sz w:val="18"/>
                <w:szCs w:val="18"/>
                <w:color w:val="auto"/>
              </w:rPr>
            </w:pPr>
          </w:p>
        </w:tc>
        <w:tc>
          <w:tcPr>
            <w:tcW w:w="472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6,552</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5,922</w:t>
            </w:r>
          </w:p>
        </w:tc>
      </w:tr>
      <w:tr>
        <w:trPr>
          <w:trHeight w:val="216"/>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47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992</w:t>
            </w: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928</w:t>
            </w:r>
          </w:p>
        </w:tc>
      </w:tr>
      <w:tr>
        <w:trPr>
          <w:trHeight w:val="217"/>
        </w:trPr>
        <w:tc>
          <w:tcPr>
            <w:tcW w:w="44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Film and television costs</w:t>
            </w:r>
          </w:p>
        </w:tc>
        <w:tc>
          <w:tcPr>
            <w:tcW w:w="4720" w:type="dxa"/>
            <w:vAlign w:val="bottom"/>
            <w:tcBorders>
              <w:bottom w:val="single" w:sz="8" w:color="auto"/>
            </w:tcBorders>
            <w:shd w:val="clear" w:color="auto" w:fill="E5E5E5"/>
          </w:tcPr>
          <w:p>
            <w:pPr>
              <w:ind w:left="454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E5E5E5"/>
          </w:tcPr>
          <w:p>
            <w:pPr>
              <w:jc w:val="right"/>
              <w:ind w:right="314"/>
              <w:spacing w:after="0"/>
              <w:rPr>
                <w:sz w:val="20"/>
                <w:szCs w:val="20"/>
                <w:color w:val="auto"/>
              </w:rPr>
            </w:pPr>
            <w:r>
              <w:rPr>
                <w:rFonts w:ascii="Arial" w:cs="Arial" w:eastAsia="Arial" w:hAnsi="Arial"/>
                <w:sz w:val="18"/>
                <w:szCs w:val="18"/>
                <w:b w:val="1"/>
                <w:bCs w:val="1"/>
                <w:color w:val="auto"/>
              </w:rPr>
              <w:t>5,560</w:t>
            </w:r>
          </w:p>
        </w:tc>
        <w:tc>
          <w:tcPr>
            <w:tcW w:w="5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4,994</w:t>
            </w:r>
          </w:p>
        </w:tc>
      </w:tr>
      <w:tr>
        <w:trPr>
          <w:trHeight w:val="363"/>
        </w:trPr>
        <w:tc>
          <w:tcPr>
            <w:tcW w:w="4400" w:type="dxa"/>
            <w:vAlign w:val="bottom"/>
          </w:tcPr>
          <w:p>
            <w:pPr>
              <w:spacing w:after="0"/>
              <w:rPr>
                <w:sz w:val="24"/>
                <w:szCs w:val="24"/>
                <w:color w:val="auto"/>
              </w:rPr>
            </w:pPr>
          </w:p>
        </w:tc>
        <w:tc>
          <w:tcPr>
            <w:tcW w:w="4720" w:type="dxa"/>
            <w:vAlign w:val="bottom"/>
          </w:tcPr>
          <w:p>
            <w:pPr>
              <w:jc w:val="right"/>
              <w:ind w:right="3277"/>
              <w:spacing w:after="0"/>
              <w:rPr>
                <w:sz w:val="20"/>
                <w:szCs w:val="20"/>
                <w:color w:val="auto"/>
              </w:rPr>
            </w:pPr>
            <w:r>
              <w:rPr>
                <w:rFonts w:ascii="Arial" w:cs="Arial" w:eastAsia="Arial" w:hAnsi="Arial"/>
                <w:sz w:val="18"/>
                <w:szCs w:val="18"/>
                <w:color w:val="auto"/>
              </w:rPr>
              <w:t>8</w:t>
            </w: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Investments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2"/>
          </w:tcPr>
          <w:p>
            <w:pPr>
              <w:ind w:left="420"/>
              <w:spacing w:after="0"/>
              <w:rPr>
                <w:sz w:val="20"/>
                <w:szCs w:val="20"/>
                <w:color w:val="auto"/>
              </w:rPr>
            </w:pPr>
            <w:r>
              <w:rPr>
                <w:rFonts w:ascii="Arial" w:cs="Arial" w:eastAsia="Arial" w:hAnsi="Arial"/>
                <w:sz w:val="14"/>
                <w:szCs w:val="14"/>
                <w:color w:val="auto"/>
                <w:w w:val="84"/>
              </w:rPr>
              <w:t>September 30,</w:t>
            </w:r>
          </w:p>
        </w:tc>
        <w:tc>
          <w:tcPr>
            <w:tcW w:w="1680" w:type="dxa"/>
            <w:vAlign w:val="bottom"/>
            <w:gridSpan w:val="3"/>
          </w:tcPr>
          <w:p>
            <w:pPr>
              <w:ind w:left="820"/>
              <w:spacing w:after="0"/>
              <w:rPr>
                <w:sz w:val="20"/>
                <w:szCs w:val="20"/>
                <w:color w:val="auto"/>
              </w:rPr>
            </w:pPr>
            <w:r>
              <w:rPr>
                <w:rFonts w:ascii="Arial" w:cs="Arial" w:eastAsia="Arial" w:hAnsi="Arial"/>
                <w:sz w:val="14"/>
                <w:szCs w:val="14"/>
                <w:color w:val="auto"/>
                <w:w w:val="95"/>
              </w:rPr>
              <w:t>December 31,</w:t>
            </w:r>
          </w:p>
        </w:tc>
      </w:tr>
      <w:tr>
        <w:trPr>
          <w:trHeight w:val="159"/>
        </w:trPr>
        <w:tc>
          <w:tcPr>
            <w:tcW w:w="710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4"/>
              <w:spacing w:after="0" w:line="159" w:lineRule="exact"/>
              <w:rPr>
                <w:sz w:val="20"/>
                <w:szCs w:val="20"/>
                <w:color w:val="auto"/>
              </w:rPr>
            </w:pPr>
            <w:r>
              <w:rPr>
                <w:rFonts w:ascii="Arial" w:cs="Arial" w:eastAsia="Arial" w:hAnsi="Arial"/>
                <w:sz w:val="14"/>
                <w:szCs w:val="14"/>
                <w:color w:val="auto"/>
              </w:rPr>
              <w:t>2014</w:t>
            </w: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54"/>
              <w:spacing w:after="0" w:line="159" w:lineRule="exact"/>
              <w:rPr>
                <w:sz w:val="20"/>
                <w:szCs w:val="20"/>
                <w:color w:val="auto"/>
              </w:rPr>
            </w:pPr>
            <w:r>
              <w:rPr>
                <w:rFonts w:ascii="Arial" w:cs="Arial" w:eastAsia="Arial" w:hAnsi="Arial"/>
                <w:sz w:val="14"/>
                <w:szCs w:val="14"/>
                <w:color w:val="auto"/>
                <w:w w:val="96"/>
              </w:rPr>
              <w:t>2013</w:t>
            </w:r>
          </w:p>
        </w:tc>
      </w:tr>
      <w:tr>
        <w:trPr>
          <w:trHeight w:val="210"/>
        </w:trPr>
        <w:tc>
          <w:tcPr>
            <w:tcW w:w="71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2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588</w:t>
            </w:r>
          </w:p>
        </w:tc>
        <w:tc>
          <w:tcPr>
            <w:tcW w:w="920" w:type="dxa"/>
            <w:vAlign w:val="bottom"/>
            <w:shd w:val="clear" w:color="auto" w:fill="E5E5E5"/>
          </w:tcPr>
          <w:p>
            <w:pPr>
              <w:ind w:left="82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4,345</w:t>
            </w: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Equity Method: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710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The Weather Channel</w:t>
            </w:r>
          </w:p>
        </w:tc>
        <w:tc>
          <w:tcPr>
            <w:tcW w:w="2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333</w:t>
            </w:r>
          </w:p>
        </w:tc>
        <w:tc>
          <w:tcPr>
            <w:tcW w:w="9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333</w:t>
            </w:r>
          </w:p>
        </w:tc>
      </w:tr>
      <w:tr>
        <w:trPr>
          <w:trHeight w:val="216"/>
        </w:trPr>
        <w:tc>
          <w:tcPr>
            <w:tcW w:w="7100" w:type="dxa"/>
            <w:vAlign w:val="bottom"/>
            <w:gridSpan w:val="2"/>
          </w:tcPr>
          <w:p>
            <w:pPr>
              <w:ind w:left="440"/>
              <w:spacing w:after="0"/>
              <w:rPr>
                <w:sz w:val="20"/>
                <w:szCs w:val="20"/>
                <w:color w:val="auto"/>
              </w:rPr>
            </w:pPr>
            <w:r>
              <w:rPr>
                <w:rFonts w:ascii="Arial" w:cs="Arial" w:eastAsia="Arial" w:hAnsi="Arial"/>
                <w:sz w:val="18"/>
                <w:szCs w:val="18"/>
                <w:color w:val="auto"/>
              </w:rPr>
              <w:t>Hulu</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187</w:t>
            </w:r>
          </w:p>
        </w:tc>
      </w:tr>
      <w:tr>
        <w:trPr>
          <w:trHeight w:val="216"/>
        </w:trPr>
        <w:tc>
          <w:tcPr>
            <w:tcW w:w="710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503</w:t>
            </w:r>
          </w:p>
        </w:tc>
        <w:tc>
          <w:tcPr>
            <w:tcW w:w="920" w:type="dxa"/>
            <w:vAlign w:val="bottom"/>
            <w:tcBorders>
              <w:bottom w:val="single" w:sz="8" w:color="auto"/>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469</w:t>
            </w:r>
          </w:p>
        </w:tc>
      </w:tr>
      <w:tr>
        <w:trPr>
          <w:trHeight w:val="210"/>
        </w:trPr>
        <w:tc>
          <w:tcPr>
            <w:tcW w:w="6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1,024</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989</w:t>
            </w:r>
          </w:p>
        </w:tc>
      </w:tr>
      <w:tr>
        <w:trPr>
          <w:trHeight w:val="216"/>
        </w:trPr>
        <w:tc>
          <w:tcPr>
            <w:tcW w:w="71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Cost Method:</w:t>
            </w:r>
          </w:p>
        </w:tc>
        <w:tc>
          <w:tcPr>
            <w:tcW w:w="2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r>
      <w:tr>
        <w:trPr>
          <w:trHeight w:val="216"/>
        </w:trPr>
        <w:tc>
          <w:tcPr>
            <w:tcW w:w="7100" w:type="dxa"/>
            <w:vAlign w:val="bottom"/>
            <w:gridSpan w:val="2"/>
          </w:tcPr>
          <w:p>
            <w:pPr>
              <w:ind w:left="440"/>
              <w:spacing w:after="0"/>
              <w:rPr>
                <w:sz w:val="20"/>
                <w:szCs w:val="20"/>
                <w:color w:val="auto"/>
              </w:rPr>
            </w:pPr>
            <w:r>
              <w:rPr>
                <w:rFonts w:ascii="Arial" w:cs="Arial" w:eastAsia="Arial" w:hAnsi="Arial"/>
                <w:sz w:val="18"/>
                <w:szCs w:val="18"/>
                <w:color w:val="auto"/>
              </w:rPr>
              <w:t>AirTouch</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1,564</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1,553</w:t>
            </w:r>
          </w:p>
        </w:tc>
      </w:tr>
      <w:tr>
        <w:trPr>
          <w:trHeight w:val="216"/>
        </w:trPr>
        <w:tc>
          <w:tcPr>
            <w:tcW w:w="710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484</w:t>
            </w:r>
          </w:p>
        </w:tc>
        <w:tc>
          <w:tcPr>
            <w:tcW w:w="920" w:type="dxa"/>
            <w:vAlign w:val="bottom"/>
            <w:tcBorders>
              <w:bottom w:val="single" w:sz="8" w:color="auto"/>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456</w:t>
            </w:r>
          </w:p>
        </w:tc>
      </w:tr>
      <w:tr>
        <w:trPr>
          <w:trHeight w:val="210"/>
        </w:trPr>
        <w:tc>
          <w:tcPr>
            <w:tcW w:w="6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2,048</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2,009</w:t>
            </w:r>
          </w:p>
        </w:tc>
      </w:tr>
      <w:tr>
        <w:trPr>
          <w:trHeight w:val="216"/>
        </w:trPr>
        <w:tc>
          <w:tcPr>
            <w:tcW w:w="71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Total investments</w:t>
            </w:r>
          </w:p>
        </w:tc>
        <w:tc>
          <w:tcPr>
            <w:tcW w:w="2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3,660</w:t>
            </w:r>
          </w:p>
        </w:tc>
        <w:tc>
          <w:tcPr>
            <w:tcW w:w="9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7,343</w:t>
            </w:r>
          </w:p>
        </w:tc>
      </w:tr>
      <w:tr>
        <w:trPr>
          <w:trHeight w:val="216"/>
        </w:trPr>
        <w:tc>
          <w:tcPr>
            <w:tcW w:w="7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Current investments</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3,573</w:t>
            </w:r>
          </w:p>
        </w:tc>
      </w:tr>
      <w:tr>
        <w:trPr>
          <w:trHeight w:val="217"/>
        </w:trPr>
        <w:tc>
          <w:tcPr>
            <w:tcW w:w="710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Noncurrent investments</w:t>
            </w:r>
          </w:p>
        </w:tc>
        <w:tc>
          <w:tcPr>
            <w:tcW w:w="2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3,129</w:t>
            </w:r>
          </w:p>
        </w:tc>
        <w:tc>
          <w:tcPr>
            <w:tcW w:w="920" w:type="dxa"/>
            <w:vAlign w:val="bottom"/>
            <w:tcBorders>
              <w:bottom w:val="single" w:sz="8" w:color="auto"/>
            </w:tcBorders>
            <w:shd w:val="clear" w:color="auto" w:fill="E5E5E5"/>
          </w:tcPr>
          <w:p>
            <w:pPr>
              <w:ind w:left="82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3,770</w:t>
            </w:r>
          </w:p>
        </w:tc>
      </w:tr>
      <w:tr>
        <w:trPr>
          <w:trHeight w:val="336"/>
        </w:trPr>
        <w:tc>
          <w:tcPr>
            <w:tcW w:w="7100" w:type="dxa"/>
            <w:vAlign w:val="bottom"/>
            <w:gridSpan w:val="2"/>
          </w:tcPr>
          <w:p>
            <w:pPr>
              <w:ind w:left="4440"/>
              <w:spacing w:after="0"/>
              <w:rPr>
                <w:sz w:val="20"/>
                <w:szCs w:val="20"/>
                <w:color w:val="auto"/>
              </w:rPr>
            </w:pPr>
            <w:r>
              <w:rPr>
                <w:rFonts w:ascii="Arial" w:cs="Arial" w:eastAsia="Arial" w:hAnsi="Arial"/>
                <w:sz w:val="18"/>
                <w:szCs w:val="18"/>
                <w:b w:val="1"/>
                <w:bCs w:val="1"/>
                <w:color w:val="auto"/>
              </w:rPr>
              <w:t>Investment Income (Loss), Net</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61"/>
        </w:trPr>
        <w:tc>
          <w:tcPr>
            <w:tcW w:w="6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0" w:type="dxa"/>
            <w:vAlign w:val="bottom"/>
            <w:gridSpan w:val="3"/>
          </w:tcPr>
          <w:p>
            <w:pPr>
              <w:jc w:val="right"/>
              <w:ind w:right="376"/>
              <w:spacing w:after="0"/>
              <w:rPr>
                <w:sz w:val="20"/>
                <w:szCs w:val="20"/>
                <w:color w:val="auto"/>
              </w:rPr>
            </w:pPr>
            <w:r>
              <w:rPr>
                <w:rFonts w:ascii="Arial" w:cs="Arial" w:eastAsia="Arial" w:hAnsi="Arial"/>
                <w:sz w:val="14"/>
                <w:szCs w:val="14"/>
                <w:color w:val="auto"/>
              </w:rPr>
              <w:t>Three Months Ended</w:t>
            </w:r>
          </w:p>
        </w:tc>
        <w:tc>
          <w:tcPr>
            <w:tcW w:w="640" w:type="dxa"/>
            <w:vAlign w:val="bottom"/>
          </w:tcPr>
          <w:p>
            <w:pPr>
              <w:spacing w:after="0"/>
              <w:rPr>
                <w:sz w:val="22"/>
                <w:szCs w:val="22"/>
                <w:color w:val="auto"/>
              </w:rPr>
            </w:pPr>
          </w:p>
        </w:tc>
        <w:tc>
          <w:tcPr>
            <w:tcW w:w="1680" w:type="dxa"/>
            <w:vAlign w:val="bottom"/>
            <w:gridSpan w:val="3"/>
          </w:tcPr>
          <w:p>
            <w:pPr>
              <w:jc w:val="right"/>
              <w:ind w:right="354"/>
              <w:spacing w:after="0"/>
              <w:rPr>
                <w:sz w:val="20"/>
                <w:szCs w:val="20"/>
                <w:color w:val="auto"/>
              </w:rPr>
            </w:pPr>
            <w:r>
              <w:rPr>
                <w:rFonts w:ascii="Arial" w:cs="Arial" w:eastAsia="Arial" w:hAnsi="Arial"/>
                <w:sz w:val="14"/>
                <w:szCs w:val="14"/>
                <w:color w:val="auto"/>
                <w:w w:val="99"/>
              </w:rPr>
              <w:t>Nine Months Ended</w:t>
            </w:r>
          </w:p>
        </w:tc>
      </w:tr>
      <w:tr>
        <w:trPr>
          <w:trHeight w:val="159"/>
        </w:trPr>
        <w:tc>
          <w:tcPr>
            <w:tcW w:w="66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5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534"/>
              <w:spacing w:after="0" w:line="159" w:lineRule="exact"/>
              <w:rPr>
                <w:sz w:val="20"/>
                <w:szCs w:val="20"/>
                <w:color w:val="auto"/>
              </w:rPr>
            </w:pPr>
            <w:r>
              <w:rPr>
                <w:rFonts w:ascii="Arial" w:cs="Arial" w:eastAsia="Arial" w:hAnsi="Arial"/>
                <w:sz w:val="14"/>
                <w:szCs w:val="14"/>
                <w:color w:val="auto"/>
              </w:rPr>
              <w:t>September 30</w:t>
            </w:r>
          </w:p>
        </w:tc>
      </w:tr>
      <w:tr>
        <w:trPr>
          <w:trHeight w:val="142"/>
        </w:trPr>
        <w:tc>
          <w:tcPr>
            <w:tcW w:w="6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4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18"/>
              <w:spacing w:after="0" w:line="142" w:lineRule="exact"/>
              <w:rPr>
                <w:sz w:val="20"/>
                <w:szCs w:val="20"/>
                <w:color w:val="auto"/>
              </w:rPr>
            </w:pPr>
            <w:r>
              <w:rPr>
                <w:rFonts w:ascii="Arial" w:cs="Arial" w:eastAsia="Arial" w:hAnsi="Arial"/>
                <w:sz w:val="14"/>
                <w:szCs w:val="14"/>
                <w:color w:val="auto"/>
                <w:w w:val="89"/>
              </w:rPr>
              <w:t>2014</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color w:val="auto"/>
                <w:w w:val="89"/>
              </w:rPr>
              <w:t>2013</w:t>
            </w:r>
          </w:p>
        </w:tc>
        <w:tc>
          <w:tcPr>
            <w:tcW w:w="6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38"/>
              <w:spacing w:after="0" w:line="142" w:lineRule="exact"/>
              <w:rPr>
                <w:sz w:val="20"/>
                <w:szCs w:val="20"/>
                <w:color w:val="auto"/>
              </w:rPr>
            </w:pPr>
            <w:r>
              <w:rPr>
                <w:rFonts w:ascii="Arial" w:cs="Arial" w:eastAsia="Arial" w:hAnsi="Arial"/>
                <w:sz w:val="14"/>
                <w:szCs w:val="14"/>
                <w:color w:val="auto"/>
                <w:w w:val="89"/>
              </w:rPr>
              <w:t>2014</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color w:val="auto"/>
                <w:w w:val="96"/>
              </w:rPr>
              <w:t>2013</w:t>
            </w:r>
          </w:p>
        </w:tc>
      </w:tr>
      <w:tr>
        <w:trPr>
          <w:trHeight w:val="210"/>
        </w:trPr>
        <w:tc>
          <w:tcPr>
            <w:tcW w:w="71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Gains on sales and exchanges of investments, net</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278"/>
              <w:spacing w:after="0"/>
              <w:rPr>
                <w:sz w:val="20"/>
                <w:szCs w:val="20"/>
                <w:color w:val="auto"/>
              </w:rPr>
            </w:pPr>
            <w:r>
              <w:rPr>
                <w:rFonts w:ascii="Arial" w:cs="Arial" w:eastAsia="Arial" w:hAnsi="Arial"/>
                <w:sz w:val="18"/>
                <w:szCs w:val="18"/>
                <w:color w:val="auto"/>
              </w:rPr>
              <w:t>3</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76"/>
              <w:spacing w:after="0"/>
              <w:rPr>
                <w:sz w:val="20"/>
                <w:szCs w:val="20"/>
                <w:color w:val="auto"/>
              </w:rPr>
            </w:pPr>
            <w:r>
              <w:rPr>
                <w:rFonts w:ascii="Arial" w:cs="Arial" w:eastAsia="Arial" w:hAnsi="Arial"/>
                <w:sz w:val="18"/>
                <w:szCs w:val="18"/>
                <w:color w:val="auto"/>
              </w:rPr>
              <w:t>445</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398"/>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483</w:t>
            </w: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Investment impairment losses</w:t>
            </w:r>
          </w:p>
        </w:tc>
        <w:tc>
          <w:tcPr>
            <w:tcW w:w="200" w:type="dxa"/>
            <w:vAlign w:val="bottom"/>
          </w:tcPr>
          <w:p>
            <w:pPr>
              <w:spacing w:after="0"/>
              <w:rPr>
                <w:sz w:val="18"/>
                <w:szCs w:val="18"/>
                <w:color w:val="auto"/>
              </w:rPr>
            </w:pPr>
          </w:p>
        </w:tc>
        <w:tc>
          <w:tcPr>
            <w:tcW w:w="800" w:type="dxa"/>
            <w:vAlign w:val="bottom"/>
          </w:tcPr>
          <w:p>
            <w:pPr>
              <w:jc w:val="right"/>
              <w:ind w:right="218"/>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8"/>
                <w:szCs w:val="18"/>
                <w:color w:val="auto"/>
              </w:rPr>
            </w:pP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(12)</w:t>
            </w:r>
          </w:p>
        </w:tc>
        <w:tc>
          <w:tcPr>
            <w:tcW w:w="640" w:type="dxa"/>
            <w:vAlign w:val="bottom"/>
          </w:tcPr>
          <w:p>
            <w:pPr>
              <w:spacing w:after="0"/>
              <w:rPr>
                <w:sz w:val="18"/>
                <w:szCs w:val="18"/>
                <w:color w:val="auto"/>
              </w:rPr>
            </w:pPr>
          </w:p>
        </w:tc>
        <w:tc>
          <w:tcPr>
            <w:tcW w:w="920" w:type="dxa"/>
            <w:vAlign w:val="bottom"/>
          </w:tcPr>
          <w:p>
            <w:pPr>
              <w:jc w:val="right"/>
              <w:ind w:right="338"/>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660" w:type="dxa"/>
            <w:vAlign w:val="bottom"/>
          </w:tcPr>
          <w:p>
            <w:pPr>
              <w:jc w:val="right"/>
              <w:ind w:right="54"/>
              <w:spacing w:after="0"/>
              <w:rPr>
                <w:sz w:val="20"/>
                <w:szCs w:val="20"/>
                <w:color w:val="auto"/>
              </w:rPr>
            </w:pPr>
            <w:r>
              <w:rPr>
                <w:rFonts w:ascii="Arial" w:cs="Arial" w:eastAsia="Arial" w:hAnsi="Arial"/>
                <w:sz w:val="18"/>
                <w:szCs w:val="18"/>
                <w:color w:val="auto"/>
              </w:rPr>
              <w:t>(25)</w:t>
            </w:r>
          </w:p>
        </w:tc>
      </w:tr>
      <w:tr>
        <w:trPr>
          <w:trHeight w:val="216"/>
        </w:trPr>
        <w:tc>
          <w:tcPr>
            <w:tcW w:w="71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Unrealized gains (losses) on securities underlying prepaid forward sale agreements</w:t>
            </w:r>
          </w:p>
        </w:tc>
        <w:tc>
          <w:tcPr>
            <w:tcW w:w="2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78"/>
              <w:spacing w:after="0"/>
              <w:rPr>
                <w:sz w:val="20"/>
                <w:szCs w:val="20"/>
                <w:color w:val="auto"/>
              </w:rPr>
            </w:pPr>
            <w:r>
              <w:rPr>
                <w:rFonts w:ascii="Arial" w:cs="Arial" w:eastAsia="Arial" w:hAnsi="Arial"/>
                <w:sz w:val="18"/>
                <w:szCs w:val="18"/>
                <w:color w:val="auto"/>
              </w:rPr>
              <w:t>15</w:t>
            </w:r>
          </w:p>
        </w:tc>
        <w:tc>
          <w:tcPr>
            <w:tcW w:w="4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76"/>
              <w:spacing w:after="0"/>
              <w:rPr>
                <w:sz w:val="20"/>
                <w:szCs w:val="20"/>
                <w:color w:val="auto"/>
              </w:rPr>
            </w:pPr>
            <w:r>
              <w:rPr>
                <w:rFonts w:ascii="Arial" w:cs="Arial" w:eastAsia="Arial" w:hAnsi="Arial"/>
                <w:sz w:val="18"/>
                <w:szCs w:val="18"/>
                <w:color w:val="auto"/>
              </w:rPr>
              <w:t>345</w:t>
            </w:r>
          </w:p>
        </w:tc>
        <w:tc>
          <w:tcPr>
            <w:tcW w:w="64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38"/>
              <w:spacing w:after="0"/>
              <w:rPr>
                <w:sz w:val="20"/>
                <w:szCs w:val="20"/>
                <w:color w:val="auto"/>
              </w:rPr>
            </w:pPr>
            <w:r>
              <w:rPr>
                <w:rFonts w:ascii="Arial" w:cs="Arial" w:eastAsia="Arial" w:hAnsi="Arial"/>
                <w:sz w:val="18"/>
                <w:szCs w:val="18"/>
                <w:color w:val="auto"/>
              </w:rPr>
              <w:t>(13)</w:t>
            </w:r>
          </w:p>
        </w:tc>
        <w:tc>
          <w:tcPr>
            <w:tcW w:w="1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w w:val="97"/>
              </w:rPr>
              <w:t>1,197</w:t>
            </w:r>
          </w:p>
        </w:tc>
      </w:tr>
      <w:tr>
        <w:trPr>
          <w:trHeight w:val="208"/>
        </w:trPr>
        <w:tc>
          <w:tcPr>
            <w:tcW w:w="7100" w:type="dxa"/>
            <w:vAlign w:val="bottom"/>
            <w:gridSpan w:val="2"/>
          </w:tcPr>
          <w:p>
            <w:pPr>
              <w:spacing w:after="0"/>
              <w:rPr>
                <w:sz w:val="20"/>
                <w:szCs w:val="20"/>
                <w:color w:val="auto"/>
              </w:rPr>
            </w:pPr>
            <w:r>
              <w:rPr>
                <w:rFonts w:ascii="Arial" w:cs="Arial" w:eastAsia="Arial" w:hAnsi="Arial"/>
                <w:sz w:val="18"/>
                <w:szCs w:val="18"/>
                <w:color w:val="auto"/>
                <w:w w:val="94"/>
              </w:rPr>
              <w:t>Mark to market adjustments on derivative component of prepaid forward sale agreements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2"/>
        </w:trPr>
        <w:tc>
          <w:tcPr>
            <w:tcW w:w="7100" w:type="dxa"/>
            <w:vAlign w:val="bottom"/>
            <w:gridSpan w:val="2"/>
          </w:tcPr>
          <w:p>
            <w:pPr>
              <w:ind w:left="220"/>
              <w:spacing w:after="0"/>
              <w:rPr>
                <w:sz w:val="20"/>
                <w:szCs w:val="20"/>
                <w:color w:val="auto"/>
              </w:rPr>
            </w:pPr>
            <w:r>
              <w:rPr>
                <w:rFonts w:ascii="Arial" w:cs="Arial" w:eastAsia="Arial" w:hAnsi="Arial"/>
                <w:sz w:val="18"/>
                <w:szCs w:val="18"/>
                <w:color w:val="auto"/>
              </w:rPr>
              <w:t>indexed debt instruments</w:t>
            </w:r>
          </w:p>
        </w:tc>
        <w:tc>
          <w:tcPr>
            <w:tcW w:w="200" w:type="dxa"/>
            <w:vAlign w:val="bottom"/>
          </w:tcPr>
          <w:p>
            <w:pPr>
              <w:spacing w:after="0"/>
              <w:rPr>
                <w:sz w:val="19"/>
                <w:szCs w:val="19"/>
                <w:color w:val="auto"/>
              </w:rPr>
            </w:pPr>
          </w:p>
        </w:tc>
        <w:tc>
          <w:tcPr>
            <w:tcW w:w="800" w:type="dxa"/>
            <w:vAlign w:val="bottom"/>
          </w:tcPr>
          <w:p>
            <w:pPr>
              <w:jc w:val="right"/>
              <w:ind w:right="218"/>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9"/>
                <w:szCs w:val="19"/>
                <w:color w:val="auto"/>
              </w:rPr>
            </w:pP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(348)</w:t>
            </w:r>
          </w:p>
        </w:tc>
        <w:tc>
          <w:tcPr>
            <w:tcW w:w="640" w:type="dxa"/>
            <w:vAlign w:val="bottom"/>
          </w:tcPr>
          <w:p>
            <w:pPr>
              <w:spacing w:after="0"/>
              <w:rPr>
                <w:sz w:val="19"/>
                <w:szCs w:val="19"/>
                <w:color w:val="auto"/>
              </w:rPr>
            </w:pPr>
          </w:p>
        </w:tc>
        <w:tc>
          <w:tcPr>
            <w:tcW w:w="920" w:type="dxa"/>
            <w:vAlign w:val="bottom"/>
          </w:tcPr>
          <w:p>
            <w:pPr>
              <w:jc w:val="right"/>
              <w:ind w:right="398"/>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660" w:type="dxa"/>
            <w:vAlign w:val="bottom"/>
          </w:tcPr>
          <w:p>
            <w:pPr>
              <w:jc w:val="right"/>
              <w:ind w:right="54"/>
              <w:spacing w:after="0"/>
              <w:rPr>
                <w:sz w:val="20"/>
                <w:szCs w:val="20"/>
                <w:color w:val="auto"/>
              </w:rPr>
            </w:pPr>
            <w:r>
              <w:rPr>
                <w:rFonts w:ascii="Arial" w:cs="Arial" w:eastAsia="Arial" w:hAnsi="Arial"/>
                <w:sz w:val="18"/>
                <w:szCs w:val="18"/>
                <w:color w:val="auto"/>
                <w:w w:val="87"/>
              </w:rPr>
              <w:t>(1,189)</w:t>
            </w:r>
          </w:p>
        </w:tc>
      </w:tr>
      <w:tr>
        <w:trPr>
          <w:trHeight w:val="218"/>
        </w:trPr>
        <w:tc>
          <w:tcPr>
            <w:tcW w:w="71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Interest and dividend income</w:t>
            </w:r>
          </w:p>
        </w:tc>
        <w:tc>
          <w:tcPr>
            <w:tcW w:w="2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78"/>
              <w:spacing w:after="0"/>
              <w:rPr>
                <w:sz w:val="20"/>
                <w:szCs w:val="20"/>
                <w:color w:val="auto"/>
              </w:rPr>
            </w:pPr>
            <w:r>
              <w:rPr>
                <w:rFonts w:ascii="Arial" w:cs="Arial" w:eastAsia="Arial" w:hAnsi="Arial"/>
                <w:sz w:val="18"/>
                <w:szCs w:val="18"/>
                <w:color w:val="auto"/>
              </w:rPr>
              <w:t>29</w:t>
            </w:r>
          </w:p>
        </w:tc>
        <w:tc>
          <w:tcPr>
            <w:tcW w:w="4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76"/>
              <w:spacing w:after="0"/>
              <w:rPr>
                <w:sz w:val="20"/>
                <w:szCs w:val="20"/>
                <w:color w:val="auto"/>
              </w:rPr>
            </w:pPr>
            <w:r>
              <w:rPr>
                <w:rFonts w:ascii="Arial" w:cs="Arial" w:eastAsia="Arial" w:hAnsi="Arial"/>
                <w:sz w:val="18"/>
                <w:szCs w:val="18"/>
                <w:color w:val="auto"/>
              </w:rPr>
              <w:t>28</w:t>
            </w:r>
          </w:p>
        </w:tc>
        <w:tc>
          <w:tcPr>
            <w:tcW w:w="64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98"/>
              <w:spacing w:after="0"/>
              <w:rPr>
                <w:sz w:val="20"/>
                <w:szCs w:val="20"/>
                <w:color w:val="auto"/>
              </w:rPr>
            </w:pPr>
            <w:r>
              <w:rPr>
                <w:rFonts w:ascii="Arial" w:cs="Arial" w:eastAsia="Arial" w:hAnsi="Arial"/>
                <w:sz w:val="18"/>
                <w:szCs w:val="18"/>
                <w:color w:val="auto"/>
              </w:rPr>
              <w:t>85</w:t>
            </w:r>
          </w:p>
        </w:tc>
        <w:tc>
          <w:tcPr>
            <w:tcW w:w="1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84</w:t>
            </w:r>
          </w:p>
        </w:tc>
      </w:tr>
      <w:tr>
        <w:trPr>
          <w:trHeight w:val="216"/>
        </w:trPr>
        <w:tc>
          <w:tcPr>
            <w:tcW w:w="7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8"/>
              <w:spacing w:after="0"/>
              <w:rPr>
                <w:sz w:val="20"/>
                <w:szCs w:val="20"/>
                <w:color w:val="auto"/>
              </w:rPr>
            </w:pPr>
            <w:r>
              <w:rPr>
                <w:rFonts w:ascii="Arial" w:cs="Arial" w:eastAsia="Arial" w:hAnsi="Arial"/>
                <w:sz w:val="18"/>
                <w:szCs w:val="18"/>
                <w:color w:val="auto"/>
              </w:rPr>
              <w:t>(7)</w:t>
            </w:r>
          </w:p>
        </w:tc>
        <w:tc>
          <w:tcPr>
            <w:tcW w:w="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6</w:t>
            </w: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8"/>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w:t>
            </w:r>
          </w:p>
        </w:tc>
      </w:tr>
      <w:tr>
        <w:trPr>
          <w:trHeight w:val="217"/>
        </w:trPr>
        <w:tc>
          <w:tcPr>
            <w:tcW w:w="710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Investment income (loss), net</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278"/>
              <w:spacing w:after="0"/>
              <w:rPr>
                <w:sz w:val="20"/>
                <w:szCs w:val="20"/>
                <w:color w:val="auto"/>
              </w:rPr>
            </w:pPr>
            <w:r>
              <w:rPr>
                <w:rFonts w:ascii="Arial" w:cs="Arial" w:eastAsia="Arial" w:hAnsi="Arial"/>
                <w:sz w:val="18"/>
                <w:szCs w:val="18"/>
                <w:b w:val="1"/>
                <w:bCs w:val="1"/>
                <w:color w:val="auto"/>
              </w:rPr>
              <w:t>21</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b w:val="1"/>
                <w:bCs w:val="1"/>
                <w:color w:val="auto"/>
              </w:rPr>
              <w:t>464</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E5E5E5"/>
          </w:tcPr>
          <w:p>
            <w:pPr>
              <w:jc w:val="right"/>
              <w:ind w:right="398"/>
              <w:spacing w:after="0"/>
              <w:rPr>
                <w:sz w:val="20"/>
                <w:szCs w:val="20"/>
                <w:color w:val="auto"/>
              </w:rPr>
            </w:pPr>
            <w:r>
              <w:rPr>
                <w:rFonts w:ascii="Arial" w:cs="Arial" w:eastAsia="Arial" w:hAnsi="Arial"/>
                <w:sz w:val="18"/>
                <w:szCs w:val="18"/>
                <w:b w:val="1"/>
                <w:bCs w:val="1"/>
                <w:color w:val="auto"/>
              </w:rPr>
              <w:t>254</w:t>
            </w:r>
          </w:p>
        </w:tc>
        <w:tc>
          <w:tcPr>
            <w:tcW w:w="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b w:val="1"/>
                <w:bCs w:val="1"/>
                <w:color w:val="auto"/>
              </w:rPr>
              <w:t>549</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Method</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2014, the majority of our fair value method investments were equity securities held as collateral that were related to our obligations under prepaid forward sale agreements.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Forward Sale Agreements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3420" w:type="dxa"/>
            <w:vAlign w:val="bottom"/>
            <w:gridSpan w:val="2"/>
          </w:tcPr>
          <w:p>
            <w:pPr>
              <w:ind w:left="2180"/>
              <w:spacing w:after="0"/>
              <w:rPr>
                <w:sz w:val="20"/>
                <w:szCs w:val="20"/>
                <w:color w:val="auto"/>
              </w:rPr>
            </w:pPr>
            <w:r>
              <w:rPr>
                <w:rFonts w:ascii="Arial" w:cs="Arial" w:eastAsia="Arial" w:hAnsi="Arial"/>
                <w:sz w:val="14"/>
                <w:szCs w:val="14"/>
                <w:color w:val="auto"/>
              </w:rPr>
              <w:t>September 30,</w:t>
            </w:r>
          </w:p>
        </w:tc>
        <w:tc>
          <w:tcPr>
            <w:tcW w:w="1320" w:type="dxa"/>
            <w:vAlign w:val="bottom"/>
            <w:gridSpan w:val="2"/>
          </w:tcPr>
          <w:p>
            <w:pPr>
              <w:ind w:left="460"/>
              <w:spacing w:after="0"/>
              <w:rPr>
                <w:sz w:val="20"/>
                <w:szCs w:val="20"/>
                <w:color w:val="auto"/>
              </w:rPr>
            </w:pPr>
            <w:r>
              <w:rPr>
                <w:rFonts w:ascii="Arial" w:cs="Arial" w:eastAsia="Arial" w:hAnsi="Arial"/>
                <w:sz w:val="14"/>
                <w:szCs w:val="14"/>
                <w:color w:val="auto"/>
                <w:w w:val="95"/>
              </w:rPr>
              <w:t>December 31,</w:t>
            </w:r>
          </w:p>
        </w:tc>
      </w:tr>
      <w:tr>
        <w:trPr>
          <w:trHeight w:val="159"/>
        </w:trPr>
        <w:tc>
          <w:tcPr>
            <w:tcW w:w="66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2340" w:type="dxa"/>
            <w:vAlign w:val="bottom"/>
          </w:tcPr>
          <w:p>
            <w:pPr>
              <w:spacing w:after="0"/>
              <w:rPr>
                <w:sz w:val="13"/>
                <w:szCs w:val="13"/>
                <w:color w:val="auto"/>
              </w:rPr>
            </w:pPr>
          </w:p>
        </w:tc>
        <w:tc>
          <w:tcPr>
            <w:tcW w:w="1080" w:type="dxa"/>
            <w:vAlign w:val="bottom"/>
          </w:tcPr>
          <w:p>
            <w:pPr>
              <w:jc w:val="right"/>
              <w:ind w:right="636"/>
              <w:spacing w:after="0" w:line="159" w:lineRule="exact"/>
              <w:rPr>
                <w:sz w:val="20"/>
                <w:szCs w:val="20"/>
                <w:color w:val="auto"/>
              </w:rPr>
            </w:pPr>
            <w:r>
              <w:rPr>
                <w:rFonts w:ascii="Arial" w:cs="Arial" w:eastAsia="Arial" w:hAnsi="Arial"/>
                <w:sz w:val="14"/>
                <w:szCs w:val="14"/>
                <w:color w:val="auto"/>
              </w:rPr>
              <w:t>2014</w:t>
            </w:r>
          </w:p>
        </w:tc>
        <w:tc>
          <w:tcPr>
            <w:tcW w:w="620" w:type="dxa"/>
            <w:vAlign w:val="bottom"/>
          </w:tcPr>
          <w:p>
            <w:pPr>
              <w:spacing w:after="0"/>
              <w:rPr>
                <w:sz w:val="13"/>
                <w:szCs w:val="13"/>
                <w:color w:val="auto"/>
              </w:rPr>
            </w:pPr>
          </w:p>
        </w:tc>
        <w:tc>
          <w:tcPr>
            <w:tcW w:w="700" w:type="dxa"/>
            <w:vAlign w:val="bottom"/>
          </w:tcPr>
          <w:p>
            <w:pPr>
              <w:jc w:val="right"/>
              <w:ind w:right="256"/>
              <w:spacing w:after="0" w:line="159" w:lineRule="exact"/>
              <w:rPr>
                <w:sz w:val="20"/>
                <w:szCs w:val="20"/>
                <w:color w:val="auto"/>
              </w:rPr>
            </w:pPr>
            <w:r>
              <w:rPr>
                <w:rFonts w:ascii="Arial" w:cs="Arial" w:eastAsia="Arial" w:hAnsi="Arial"/>
                <w:sz w:val="14"/>
                <w:szCs w:val="14"/>
                <w:color w:val="auto"/>
              </w:rPr>
              <w:t>2013</w:t>
            </w:r>
          </w:p>
        </w:tc>
      </w:tr>
      <w:tr>
        <w:trPr>
          <w:trHeight w:val="210"/>
        </w:trPr>
        <w:tc>
          <w:tcPr>
            <w:tcW w:w="20" w:type="dxa"/>
            <w:vAlign w:val="bottom"/>
          </w:tcPr>
          <w:p>
            <w:pPr>
              <w:spacing w:after="0"/>
              <w:rPr>
                <w:sz w:val="18"/>
                <w:szCs w:val="18"/>
                <w:color w:val="auto"/>
              </w:rPr>
            </w:pPr>
          </w:p>
        </w:tc>
        <w:tc>
          <w:tcPr>
            <w:tcW w:w="66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Assets:</w:t>
            </w:r>
          </w:p>
        </w:tc>
        <w:tc>
          <w:tcPr>
            <w:tcW w:w="2340" w:type="dxa"/>
            <w:vAlign w:val="bottom"/>
            <w:tcBorders>
              <w:top w:val="single" w:sz="8" w:color="auto"/>
            </w:tcBorders>
            <w:shd w:val="clear" w:color="auto" w:fill="E5E5E5"/>
          </w:tcPr>
          <w:p>
            <w:pPr>
              <w:spacing w:after="0"/>
              <w:rPr>
                <w:sz w:val="18"/>
                <w:szCs w:val="18"/>
                <w:color w:val="auto"/>
              </w:rPr>
            </w:pPr>
          </w:p>
        </w:tc>
        <w:tc>
          <w:tcPr>
            <w:tcW w:w="108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Fair value equity securities held as collateral</w:t>
            </w:r>
          </w:p>
        </w:tc>
        <w:tc>
          <w:tcPr>
            <w:tcW w:w="234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color w:val="auto"/>
              </w:rPr>
              <w:t>444</w:t>
            </w:r>
          </w:p>
        </w:tc>
        <w:tc>
          <w:tcPr>
            <w:tcW w:w="6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3,959</w:t>
            </w:r>
          </w:p>
        </w:tc>
      </w:tr>
      <w:tr>
        <w:trPr>
          <w:trHeight w:val="210"/>
        </w:trPr>
        <w:tc>
          <w:tcPr>
            <w:tcW w:w="20" w:type="dxa"/>
            <w:vAlign w:val="bottom"/>
          </w:tcPr>
          <w:p>
            <w:pPr>
              <w:spacing w:after="0"/>
              <w:rPr>
                <w:sz w:val="18"/>
                <w:szCs w:val="18"/>
                <w:color w:val="auto"/>
              </w:rPr>
            </w:pPr>
          </w:p>
        </w:tc>
        <w:tc>
          <w:tcPr>
            <w:tcW w:w="6660" w:type="dxa"/>
            <w:vAlign w:val="bottom"/>
            <w:shd w:val="clear" w:color="auto" w:fill="E5E5E5"/>
          </w:tcPr>
          <w:p>
            <w:pPr>
              <w:spacing w:after="0"/>
              <w:rPr>
                <w:sz w:val="20"/>
                <w:szCs w:val="20"/>
                <w:color w:val="auto"/>
              </w:rPr>
            </w:pPr>
            <w:r>
              <w:rPr>
                <w:rFonts w:ascii="Arial" w:cs="Arial" w:eastAsia="Arial" w:hAnsi="Arial"/>
                <w:sz w:val="18"/>
                <w:szCs w:val="18"/>
                <w:color w:val="auto"/>
              </w:rPr>
              <w:t>Liabilities:</w:t>
            </w:r>
          </w:p>
        </w:tc>
        <w:tc>
          <w:tcPr>
            <w:tcW w:w="234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Obligations under prepaid forward sale agreements</w:t>
            </w:r>
          </w:p>
        </w:tc>
        <w:tc>
          <w:tcPr>
            <w:tcW w:w="2340" w:type="dxa"/>
            <w:vAlign w:val="bottom"/>
          </w:tcPr>
          <w:p>
            <w:pPr>
              <w:ind w:left="2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76"/>
              <w:spacing w:after="0"/>
              <w:rPr>
                <w:sz w:val="20"/>
                <w:szCs w:val="20"/>
                <w:color w:val="auto"/>
              </w:rPr>
            </w:pPr>
            <w:r>
              <w:rPr>
                <w:rFonts w:ascii="Arial" w:cs="Arial" w:eastAsia="Arial" w:hAnsi="Arial"/>
                <w:sz w:val="18"/>
                <w:szCs w:val="18"/>
                <w:color w:val="auto"/>
              </w:rPr>
              <w:t>117</w:t>
            </w:r>
          </w:p>
        </w:tc>
        <w:tc>
          <w:tcPr>
            <w:tcW w:w="620" w:type="dxa"/>
            <w:vAlign w:val="bottom"/>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811</w:t>
            </w:r>
          </w:p>
        </w:tc>
      </w:tr>
      <w:tr>
        <w:trPr>
          <w:trHeight w:val="216"/>
        </w:trPr>
        <w:tc>
          <w:tcPr>
            <w:tcW w:w="20" w:type="dxa"/>
            <w:vAlign w:val="bottom"/>
          </w:tcPr>
          <w:p>
            <w:pPr>
              <w:spacing w:after="0"/>
              <w:rPr>
                <w:sz w:val="18"/>
                <w:szCs w:val="18"/>
                <w:color w:val="auto"/>
              </w:rPr>
            </w:pPr>
          </w:p>
        </w:tc>
        <w:tc>
          <w:tcPr>
            <w:tcW w:w="66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Derivative component of prepaid forward sale agreements</w:t>
            </w:r>
          </w:p>
        </w:tc>
        <w:tc>
          <w:tcPr>
            <w:tcW w:w="234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376"/>
              <w:spacing w:after="0"/>
              <w:rPr>
                <w:sz w:val="20"/>
                <w:szCs w:val="20"/>
                <w:color w:val="auto"/>
              </w:rPr>
            </w:pPr>
            <w:r>
              <w:rPr>
                <w:rFonts w:ascii="Arial" w:cs="Arial" w:eastAsia="Arial" w:hAnsi="Arial"/>
                <w:sz w:val="18"/>
                <w:szCs w:val="18"/>
                <w:color w:val="auto"/>
              </w:rPr>
              <w:t>277</w:t>
            </w:r>
          </w:p>
        </w:tc>
        <w:tc>
          <w:tcPr>
            <w:tcW w:w="6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2,800</w:t>
            </w:r>
          </w:p>
        </w:tc>
      </w:tr>
      <w:tr>
        <w:trPr>
          <w:trHeight w:val="217"/>
        </w:trPr>
        <w:tc>
          <w:tcPr>
            <w:tcW w:w="20" w:type="dxa"/>
            <w:vAlign w:val="bottom"/>
            <w:tcBorders>
              <w:bottom w:val="single" w:sz="8" w:color="auto"/>
            </w:tcBorders>
          </w:tcPr>
          <w:p>
            <w:pPr>
              <w:spacing w:after="0"/>
              <w:rPr>
                <w:sz w:val="18"/>
                <w:szCs w:val="18"/>
                <w:color w:val="auto"/>
              </w:rPr>
            </w:pPr>
          </w:p>
        </w:tc>
        <w:tc>
          <w:tcPr>
            <w:tcW w:w="6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w:t>
            </w:r>
          </w:p>
        </w:tc>
        <w:tc>
          <w:tcPr>
            <w:tcW w:w="234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color w:val="auto"/>
              </w:rPr>
              <w:t>394</w:t>
            </w:r>
          </w:p>
        </w:tc>
        <w:tc>
          <w:tcPr>
            <w:tcW w:w="6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3,611</w:t>
            </w:r>
          </w:p>
        </w:tc>
      </w:tr>
    </w:tbl>
    <w:p>
      <w:pPr>
        <w:spacing w:after="0" w:line="5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nine months ended September 30, 2014, we settled $3.2 billion of obligations under certain of our prepaid forward sale agreements by delivering equity securities. As of September 30, 2014, the carrying values of our remaining prepaid forward sale obligations approximated their fair values. The estimated fair values are based on Level 2 inputs that use pricing models whose inputs are derived primarily from or corroborated by observable market data through correlation or other means for substantially the full term of the financial instrument.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AirTouch</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hold two series of preferred stock of AirTouch Communications, Inc. (“AirTouch”), a subsidiary of Verizon Communications Inc., which are redeemable in April 2020. As of September 30, 2014, the estimated fair values of the AirTouch preferred stock and the associated liability related to the redeemable preferred shares issued by one of our consolidated subsidiaries were each $1.7 billion. The estimated fair values are based on Level 2 inputs that use pricing models whose inputs are derived primarily from or corroborated by observable market data through correlation or other means for substantially the full term of the financial instrument.</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Long-Term Debt</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of September 30, 2014, our debt had a carrying value of $48.4 billion and an estimated fair value of $54.4 billion. The estimated fair value of our publicly traded debt is primarily based on Level 1 inputs that use quoted market values for the debt. The estimated fair value of debt for which there are no quoted market prices is based on Level 2 inputs that use interest rates available to us for debt with similar terms and remaining maturities.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Borrowings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February 2014, we issued $1.2 billion aggregate principal amount of 3.60% senior notes due 2024 and $1 billion aggregate principal amount of 4.75% senior notes due 2044. The proceeds from this offering were used for working capital and general corporate purposes, including the repayment of a portion of our outstanding commercial paper and $900 million aggregate principal amount of our 2.10% senior notes due April 2014 at maturity.</w:t>
      </w:r>
    </w:p>
    <w:p>
      <w:pPr>
        <w:spacing w:after="0" w:line="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2014, we issued $1 billion aggregate principal amount of 3.375% senior notes due 2025 and $1 billion aggregate principal amount of 4.20% senior notes due 2034. The proceeds from this offering were used for working capital and general corporate purposes, which may, in the future, include the repayment of certain of our senior notes.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Repayments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2014, we repaid at maturity $1 billion aggregate principal amount of 5.30% senior notes due 2014. In February 2014, we repaid $1.25 billion of borrowings outstanding under NBCUniversal Enterprise Inc.’s (“NBCUniversal Enterprise”) revolving credit facility with the proceeds from $990 million of borrowings under its new commercial paper program and cash on hand.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Facilities</w:t>
      </w:r>
    </w:p>
    <w:p>
      <w:pPr>
        <w:spacing w:after="0" w:line="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As of September 30, 2014, amounts available under our consolidated revolving credit facilities, net of amounts outstanding under our commercial paper programs and outstanding letters of credit, totaled $6.4 billion, which included $440 million available under NBCUniversal Enterprise’s revolving credit facility.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 Programs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February 2014, NBCUniversal Enterprise entered into a commercial paper program. The maximum borrowing capacity under this commercial paper program is $1.35 billion, and it is supported by NBCUniversal Enterprise’s existing $1.35 billion revolving credit facility due March 2018. The commercial paper program is fully and unconditionally guaranteed by us and our 100% owned cable holding company subsidiaries, Comcast Cable Communications, LLC (“CCCL Parent”), Comcast MO Group, Inc. (“Comcast MO Group”), Comcast Cable Holdings, LLC (“CCH”) and Comcast MO of Delaware, LLC (“Comcast MO of Delaware”) (collectively, the “cable guarantors”). As of September 30, 2014, NBCUniversal Enterprise had $910 million face amount of commercial paper outstanding.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Fair Value Measurements</w:t>
      </w:r>
    </w:p>
    <w:p>
      <w:pPr>
        <w:spacing w:after="0" w:line="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Level 1 consists of financial instruments whose values are based on quoted market prices for identical financial instruments in an active market. Level 2 consists of financial instruments that are valued by using models or other valuation methodologies. These models use inputs that are observable either directly or indirectly. Level 3 consists of financial instruments whose values are determined by using pricing models that use significant inputs that are primarily unobservable, discounted cash flow methodologies or similar techniques, as well as financial instruments for which the determination of fair value requires significant management judgment or estimation. Our financial instruments that are accounted for at fair value on a recurring basis are presented in the table below.</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Recurring Fair Value Measures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w w:val="89"/>
              </w:rPr>
              <w:t>Fair Value as of</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gridSpan w:val="2"/>
          </w:tcPr>
          <w:p>
            <w:pPr>
              <w:ind w:left="260"/>
              <w:spacing w:after="0" w:line="131" w:lineRule="exact"/>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63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472"/>
              <w:spacing w:after="0" w:line="159" w:lineRule="exact"/>
              <w:rPr>
                <w:sz w:val="20"/>
                <w:szCs w:val="20"/>
                <w:color w:val="auto"/>
              </w:rPr>
            </w:pPr>
            <w:r>
              <w:rPr>
                <w:rFonts w:ascii="Arial" w:cs="Arial" w:eastAsia="Arial" w:hAnsi="Arial"/>
                <w:sz w:val="14"/>
                <w:szCs w:val="14"/>
                <w:color w:val="auto"/>
                <w:w w:val="91"/>
              </w:rPr>
              <w:t>September 30, 2014</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6"/>
              <w:spacing w:after="0" w:line="159"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42"/>
        </w:trPr>
        <w:tc>
          <w:tcPr>
            <w:tcW w:w="6320" w:type="dxa"/>
            <w:vAlign w:val="bottom"/>
            <w:gridSpan w:val="2"/>
            <w:vMerge w:val="continue"/>
          </w:tcPr>
          <w:p>
            <w:pPr>
              <w:spacing w:after="0"/>
              <w:rPr>
                <w:sz w:val="12"/>
                <w:szCs w:val="12"/>
                <w:color w:val="auto"/>
              </w:rPr>
            </w:pPr>
          </w:p>
        </w:tc>
        <w:tc>
          <w:tcPr>
            <w:tcW w:w="1060" w:type="dxa"/>
            <w:vAlign w:val="bottom"/>
            <w:gridSpan w:val="2"/>
          </w:tcPr>
          <w:p>
            <w:pPr>
              <w:ind w:left="400"/>
              <w:spacing w:after="0" w:line="142" w:lineRule="exact"/>
              <w:rPr>
                <w:sz w:val="20"/>
                <w:szCs w:val="20"/>
                <w:color w:val="auto"/>
              </w:rPr>
            </w:pPr>
            <w:r>
              <w:rPr>
                <w:rFonts w:ascii="Arial" w:cs="Arial" w:eastAsia="Arial" w:hAnsi="Arial"/>
                <w:sz w:val="14"/>
                <w:szCs w:val="14"/>
                <w:color w:val="auto"/>
              </w:rPr>
              <w:t>Level 1</w:t>
            </w:r>
          </w:p>
        </w:tc>
        <w:tc>
          <w:tcPr>
            <w:tcW w:w="920" w:type="dxa"/>
            <w:vAlign w:val="bottom"/>
            <w:gridSpan w:val="2"/>
          </w:tcPr>
          <w:p>
            <w:pPr>
              <w:ind w:left="260"/>
              <w:spacing w:after="0" w:line="142" w:lineRule="exact"/>
              <w:rPr>
                <w:sz w:val="20"/>
                <w:szCs w:val="20"/>
                <w:color w:val="auto"/>
              </w:rPr>
            </w:pPr>
            <w:r>
              <w:rPr>
                <w:rFonts w:ascii="Arial" w:cs="Arial" w:eastAsia="Arial" w:hAnsi="Arial"/>
                <w:sz w:val="14"/>
                <w:szCs w:val="14"/>
                <w:color w:val="auto"/>
              </w:rPr>
              <w:t>Level 2</w:t>
            </w:r>
          </w:p>
        </w:tc>
        <w:tc>
          <w:tcPr>
            <w:tcW w:w="1200" w:type="dxa"/>
            <w:vAlign w:val="bottom"/>
            <w:gridSpan w:val="2"/>
          </w:tcPr>
          <w:p>
            <w:pPr>
              <w:ind w:left="300"/>
              <w:spacing w:after="0" w:line="142" w:lineRule="exact"/>
              <w:rPr>
                <w:sz w:val="20"/>
                <w:szCs w:val="20"/>
                <w:color w:val="auto"/>
              </w:rPr>
            </w:pPr>
            <w:r>
              <w:rPr>
                <w:rFonts w:ascii="Arial" w:cs="Arial" w:eastAsia="Arial" w:hAnsi="Arial"/>
                <w:sz w:val="14"/>
                <w:szCs w:val="14"/>
                <w:color w:val="auto"/>
              </w:rPr>
              <w:t>Level 3</w:t>
            </w:r>
          </w:p>
        </w:tc>
        <w:tc>
          <w:tcPr>
            <w:tcW w:w="160" w:type="dxa"/>
            <w:vAlign w:val="bottom"/>
          </w:tcPr>
          <w:p>
            <w:pPr>
              <w:spacing w:after="0"/>
              <w:rPr>
                <w:sz w:val="12"/>
                <w:szCs w:val="12"/>
                <w:color w:val="auto"/>
              </w:rPr>
            </w:pPr>
          </w:p>
        </w:tc>
        <w:tc>
          <w:tcPr>
            <w:tcW w:w="640" w:type="dxa"/>
            <w:vAlign w:val="bottom"/>
          </w:tcPr>
          <w:p>
            <w:pPr>
              <w:jc w:val="right"/>
              <w:ind w:right="274"/>
              <w:spacing w:after="0" w:line="142" w:lineRule="exact"/>
              <w:rPr>
                <w:sz w:val="20"/>
                <w:szCs w:val="20"/>
                <w:color w:val="auto"/>
              </w:rPr>
            </w:pPr>
            <w:r>
              <w:rPr>
                <w:rFonts w:ascii="Arial" w:cs="Arial" w:eastAsia="Arial" w:hAnsi="Arial"/>
                <w:sz w:val="14"/>
                <w:szCs w:val="14"/>
                <w:color w:val="auto"/>
                <w:w w:val="83"/>
              </w:rPr>
              <w:t>Total</w:t>
            </w:r>
          </w:p>
        </w:tc>
        <w:tc>
          <w:tcPr>
            <w:tcW w:w="420" w:type="dxa"/>
            <w:vAlign w:val="bottom"/>
          </w:tcPr>
          <w:p>
            <w:pPr>
              <w:spacing w:after="0"/>
              <w:rPr>
                <w:sz w:val="12"/>
                <w:szCs w:val="12"/>
                <w:color w:val="auto"/>
              </w:rPr>
            </w:pPr>
          </w:p>
        </w:tc>
        <w:tc>
          <w:tcPr>
            <w:tcW w:w="700" w:type="dxa"/>
            <w:vAlign w:val="bottom"/>
          </w:tcPr>
          <w:p>
            <w:pPr>
              <w:jc w:val="right"/>
              <w:ind w:right="256"/>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52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16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Trading securities (see Note 6)</w:t>
            </w:r>
          </w:p>
        </w:tc>
        <w:tc>
          <w:tcPr>
            <w:tcW w:w="520" w:type="dxa"/>
            <w:vAlign w:val="bottom"/>
          </w:tcPr>
          <w:p>
            <w:pPr>
              <w:ind w:left="40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52"/>
              <w:spacing w:after="0"/>
              <w:rPr>
                <w:sz w:val="20"/>
                <w:szCs w:val="20"/>
                <w:color w:val="auto"/>
              </w:rPr>
            </w:pPr>
            <w:r>
              <w:rPr>
                <w:rFonts w:ascii="Arial" w:cs="Arial" w:eastAsia="Arial" w:hAnsi="Arial"/>
                <w:sz w:val="18"/>
                <w:szCs w:val="18"/>
                <w:color w:val="auto"/>
                <w:w w:val="93"/>
              </w:rPr>
              <w:t>450</w:t>
            </w: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4"/>
              <w:spacing w:after="0"/>
              <w:rPr>
                <w:sz w:val="20"/>
                <w:szCs w:val="20"/>
                <w:color w:val="auto"/>
              </w:rPr>
            </w:pPr>
            <w:r>
              <w:rPr>
                <w:rFonts w:ascii="Arial" w:cs="Arial" w:eastAsia="Arial" w:hAnsi="Arial"/>
                <w:sz w:val="18"/>
                <w:szCs w:val="18"/>
                <w:color w:val="auto"/>
              </w:rPr>
              <w:t>450</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5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6</w:t>
            </w:r>
          </w:p>
        </w:tc>
        <w:tc>
          <w:tcPr>
            <w:tcW w:w="3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w w:val="93"/>
              </w:rPr>
              <w:t>121</w:t>
            </w:r>
          </w:p>
        </w:tc>
        <w:tc>
          <w:tcPr>
            <w:tcW w:w="3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52"/>
              <w:spacing w:after="0"/>
              <w:rPr>
                <w:sz w:val="20"/>
                <w:szCs w:val="20"/>
                <w:color w:val="auto"/>
              </w:rPr>
            </w:pPr>
            <w:r>
              <w:rPr>
                <w:rFonts w:ascii="Arial" w:cs="Arial" w:eastAsia="Arial" w:hAnsi="Arial"/>
                <w:sz w:val="18"/>
                <w:szCs w:val="18"/>
                <w:color w:val="auto"/>
              </w:rPr>
              <w:t>10</w:t>
            </w:r>
          </w:p>
        </w:tc>
        <w:tc>
          <w:tcPr>
            <w:tcW w:w="1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137</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520" w:type="dxa"/>
            <w:vAlign w:val="bottom"/>
          </w:tcPr>
          <w:p>
            <w:pPr>
              <w:spacing w:after="0"/>
              <w:rPr>
                <w:sz w:val="18"/>
                <w:szCs w:val="18"/>
                <w:color w:val="auto"/>
              </w:rPr>
            </w:pP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40" w:type="dxa"/>
            <w:vAlign w:val="bottom"/>
          </w:tcPr>
          <w:p>
            <w:pPr>
              <w:jc w:val="right"/>
              <w:ind w:right="154"/>
              <w:spacing w:after="0"/>
              <w:rPr>
                <w:sz w:val="20"/>
                <w:szCs w:val="20"/>
                <w:color w:val="auto"/>
              </w:rPr>
            </w:pPr>
            <w:r>
              <w:rPr>
                <w:rFonts w:ascii="Arial" w:cs="Arial" w:eastAsia="Arial" w:hAnsi="Arial"/>
                <w:sz w:val="18"/>
                <w:szCs w:val="18"/>
                <w:color w:val="auto"/>
              </w:rPr>
              <w:t>81</w:t>
            </w:r>
          </w:p>
        </w:tc>
        <w:tc>
          <w:tcPr>
            <w:tcW w:w="360" w:type="dxa"/>
            <w:vAlign w:val="bottom"/>
          </w:tcPr>
          <w:p>
            <w:pPr>
              <w:spacing w:after="0"/>
              <w:rPr>
                <w:sz w:val="18"/>
                <w:szCs w:val="18"/>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ind w:right="154"/>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67</w:t>
            </w:r>
          </w:p>
        </w:tc>
        <w:tc>
          <w:tcPr>
            <w:tcW w:w="3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52"/>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68</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3"/>
              </w:rPr>
              <w:t>456</w:t>
            </w:r>
          </w:p>
        </w:tc>
        <w:tc>
          <w:tcPr>
            <w:tcW w:w="3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w w:val="93"/>
              </w:rPr>
              <w:t>269</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11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736</w:t>
            </w: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4,536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w:t>
            </w:r>
          </w:p>
        </w:tc>
        <w:tc>
          <w:tcPr>
            <w:tcW w:w="5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w w:val="89"/>
              </w:rPr>
              <w:t>Derivative component of prepaid forward sale agreements and indexed debt instruments</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(see Note 6)</w:t>
            </w:r>
          </w:p>
        </w:tc>
        <w:tc>
          <w:tcPr>
            <w:tcW w:w="520" w:type="dxa"/>
            <w:vAlign w:val="bottom"/>
          </w:tcPr>
          <w:p>
            <w:pPr>
              <w:ind w:left="40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54"/>
              <w:spacing w:after="0"/>
              <w:rPr>
                <w:sz w:val="20"/>
                <w:szCs w:val="20"/>
                <w:color w:val="auto"/>
              </w:rPr>
            </w:pPr>
            <w:r>
              <w:rPr>
                <w:rFonts w:ascii="Arial" w:cs="Arial" w:eastAsia="Arial" w:hAnsi="Arial"/>
                <w:sz w:val="18"/>
                <w:szCs w:val="18"/>
                <w:color w:val="auto"/>
                <w:w w:val="93"/>
              </w:rPr>
              <w:t>288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4"/>
              <w:spacing w:after="0"/>
              <w:rPr>
                <w:sz w:val="20"/>
                <w:szCs w:val="20"/>
                <w:color w:val="auto"/>
              </w:rPr>
            </w:pPr>
            <w:r>
              <w:rPr>
                <w:rFonts w:ascii="Arial" w:cs="Arial" w:eastAsia="Arial" w:hAnsi="Arial"/>
                <w:sz w:val="18"/>
                <w:szCs w:val="18"/>
                <w:color w:val="auto"/>
              </w:rPr>
              <w:t>288</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shd w:val="clear" w:color="auto" w:fill="E5E5E5"/>
          </w:tcPr>
          <w:p>
            <w:pPr>
              <w:spacing w:after="0"/>
              <w:rPr>
                <w:sz w:val="20"/>
                <w:szCs w:val="20"/>
                <w:color w:val="auto"/>
              </w:rPr>
            </w:pPr>
            <w:r>
              <w:rPr>
                <w:rFonts w:ascii="Arial" w:cs="Arial" w:eastAsia="Arial" w:hAnsi="Arial"/>
                <w:sz w:val="18"/>
                <w:szCs w:val="18"/>
                <w:color w:val="auto"/>
              </w:rPr>
              <w:t>Contractual obligation</w:t>
            </w:r>
          </w:p>
        </w:tc>
        <w:tc>
          <w:tcPr>
            <w:tcW w:w="5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52"/>
              <w:spacing w:after="0"/>
              <w:rPr>
                <w:sz w:val="20"/>
                <w:szCs w:val="20"/>
                <w:color w:val="auto"/>
              </w:rPr>
            </w:pPr>
            <w:r>
              <w:rPr>
                <w:rFonts w:ascii="Arial" w:cs="Arial" w:eastAsia="Arial" w:hAnsi="Arial"/>
                <w:sz w:val="18"/>
                <w:szCs w:val="18"/>
                <w:color w:val="auto"/>
              </w:rPr>
              <w:t>818</w:t>
            </w:r>
          </w:p>
        </w:tc>
        <w:tc>
          <w:tcPr>
            <w:tcW w:w="1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818</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520" w:type="dxa"/>
            <w:vAlign w:val="bottom"/>
          </w:tcPr>
          <w:p>
            <w:pPr>
              <w:spacing w:after="0"/>
              <w:rPr>
                <w:sz w:val="18"/>
                <w:szCs w:val="18"/>
                <w:color w:val="auto"/>
              </w:rPr>
            </w:pP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color w:val="auto"/>
              </w:rPr>
              <w:t>653</w:t>
            </w:r>
          </w:p>
        </w:tc>
        <w:tc>
          <w:tcPr>
            <w:tcW w:w="160" w:type="dxa"/>
            <w:vAlign w:val="bottom"/>
          </w:tcPr>
          <w:p>
            <w:pPr>
              <w:spacing w:after="0"/>
              <w:rPr>
                <w:sz w:val="18"/>
                <w:szCs w:val="18"/>
                <w:color w:val="auto"/>
              </w:rPr>
            </w:pPr>
          </w:p>
        </w:tc>
        <w:tc>
          <w:tcPr>
            <w:tcW w:w="640" w:type="dxa"/>
            <w:vAlign w:val="bottom"/>
          </w:tcPr>
          <w:p>
            <w:pPr>
              <w:jc w:val="right"/>
              <w:ind w:right="154"/>
              <w:spacing w:after="0"/>
              <w:rPr>
                <w:sz w:val="20"/>
                <w:szCs w:val="20"/>
                <w:color w:val="auto"/>
              </w:rPr>
            </w:pPr>
            <w:r>
              <w:rPr>
                <w:rFonts w:ascii="Arial" w:cs="Arial" w:eastAsia="Arial" w:hAnsi="Arial"/>
                <w:sz w:val="18"/>
                <w:szCs w:val="18"/>
                <w:color w:val="auto"/>
              </w:rPr>
              <w:t>653</w:t>
            </w:r>
          </w:p>
        </w:tc>
        <w:tc>
          <w:tcPr>
            <w:tcW w:w="42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8</w:t>
            </w:r>
          </w:p>
        </w:tc>
        <w:tc>
          <w:tcPr>
            <w:tcW w:w="3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5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w w:val="93"/>
              </w:rPr>
              <w:t>296</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84"/>
              </w:rPr>
              <w:t>1,471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w w:val="84"/>
              </w:rPr>
              <w:t>1,767</w:t>
            </w: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4,263</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 and Contingent Consideration</w:t>
      </w:r>
    </w:p>
    <w:p>
      <w:pPr>
        <w:spacing w:after="0" w:line="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estimated fair values of the contractual obligation and contingent consideration in the table above are primarily based on certain expected future discounted cash flows, the determination of which involves the use of significant unobservable inputs. The most significant unobservable inputs we use include our estimates of the future revenue we expect to generate from certain NBCUniversal businesses, which are related to our contractual obligation, and future net tax benefits that will affect payments to General Electric Company (“GE”), which are related to our contingent consideration. The discount rates used in the measurements of fair value were between 5% and 13% and are based on the underlying risk associated with our estimate of future revenue, the terms of the respective contracts, and the uncertainty in the timing of our payments to GE. The fair value adjustments to contractual obligation and contingent consideration are sensitive to the assumptions related to future revenue and tax benefits, respectively, as well as to current interest rates, and therefore, the adjustments are recorded to other income (expense), net in our condensed consolidated statement of income.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Contractual Obligation and Contingent Consideration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4540" w:type="dxa"/>
            <w:vAlign w:val="bottom"/>
            <w:gridSpan w:val="2"/>
          </w:tcPr>
          <w:p>
            <w:pPr>
              <w:ind w:left="3420"/>
              <w:spacing w:after="0"/>
              <w:rPr>
                <w:sz w:val="20"/>
                <w:szCs w:val="20"/>
                <w:color w:val="auto"/>
              </w:rPr>
            </w:pPr>
            <w:r>
              <w:rPr>
                <w:rFonts w:ascii="Arial" w:cs="Arial" w:eastAsia="Arial" w:hAnsi="Arial"/>
                <w:sz w:val="14"/>
                <w:szCs w:val="14"/>
                <w:color w:val="auto"/>
              </w:rPr>
              <w:t>Contractual</w:t>
            </w:r>
          </w:p>
        </w:tc>
        <w:tc>
          <w:tcPr>
            <w:tcW w:w="1300" w:type="dxa"/>
            <w:vAlign w:val="bottom"/>
            <w:gridSpan w:val="2"/>
          </w:tcPr>
          <w:p>
            <w:pPr>
              <w:jc w:val="right"/>
              <w:ind w:right="112"/>
              <w:spacing w:after="0"/>
              <w:rPr>
                <w:sz w:val="20"/>
                <w:szCs w:val="20"/>
                <w:color w:val="auto"/>
              </w:rPr>
            </w:pPr>
            <w:r>
              <w:rPr>
                <w:rFonts w:ascii="Arial" w:cs="Arial" w:eastAsia="Arial" w:hAnsi="Arial"/>
                <w:sz w:val="14"/>
                <w:szCs w:val="14"/>
                <w:color w:val="auto"/>
              </w:rPr>
              <w:t>Contingent</w:t>
            </w:r>
          </w:p>
        </w:tc>
      </w:tr>
      <w:tr>
        <w:trPr>
          <w:trHeight w:val="159"/>
        </w:trPr>
        <w:tc>
          <w:tcPr>
            <w:tcW w:w="55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4540" w:type="dxa"/>
            <w:vAlign w:val="bottom"/>
            <w:tcBorders>
              <w:bottom w:val="single" w:sz="8" w:color="auto"/>
            </w:tcBorders>
            <w:gridSpan w:val="2"/>
          </w:tcPr>
          <w:p>
            <w:pPr>
              <w:jc w:val="right"/>
              <w:ind w:right="432"/>
              <w:spacing w:after="0" w:line="159" w:lineRule="exact"/>
              <w:rPr>
                <w:sz w:val="20"/>
                <w:szCs w:val="20"/>
                <w:color w:val="auto"/>
              </w:rPr>
            </w:pPr>
            <w:r>
              <w:rPr>
                <w:rFonts w:ascii="Arial" w:cs="Arial" w:eastAsia="Arial" w:hAnsi="Arial"/>
                <w:sz w:val="14"/>
                <w:szCs w:val="14"/>
                <w:color w:val="auto"/>
              </w:rPr>
              <w:t>Obligation</w:t>
            </w:r>
          </w:p>
        </w:tc>
        <w:tc>
          <w:tcPr>
            <w:tcW w:w="1300" w:type="dxa"/>
            <w:vAlign w:val="bottom"/>
            <w:tcBorders>
              <w:bottom w:val="single" w:sz="8" w:color="auto"/>
            </w:tcBorders>
            <w:gridSpan w:val="2"/>
          </w:tcPr>
          <w:p>
            <w:pPr>
              <w:ind w:left="420"/>
              <w:spacing w:after="0" w:line="159" w:lineRule="exact"/>
              <w:rPr>
                <w:sz w:val="20"/>
                <w:szCs w:val="20"/>
                <w:color w:val="auto"/>
              </w:rPr>
            </w:pPr>
            <w:r>
              <w:rPr>
                <w:rFonts w:ascii="Arial" w:cs="Arial" w:eastAsia="Arial" w:hAnsi="Arial"/>
                <w:sz w:val="14"/>
                <w:szCs w:val="14"/>
                <w:color w:val="auto"/>
                <w:w w:val="99"/>
              </w:rPr>
              <w:t>Consideration</w:t>
            </w:r>
          </w:p>
        </w:tc>
      </w:tr>
      <w:tr>
        <w:trPr>
          <w:trHeight w:val="210"/>
        </w:trPr>
        <w:tc>
          <w:tcPr>
            <w:tcW w:w="5580" w:type="dxa"/>
            <w:vAlign w:val="bottom"/>
            <w:shd w:val="clear" w:color="auto" w:fill="E5E5E5"/>
          </w:tcPr>
          <w:p>
            <w:pPr>
              <w:spacing w:after="0"/>
              <w:rPr>
                <w:sz w:val="20"/>
                <w:szCs w:val="20"/>
                <w:color w:val="auto"/>
              </w:rPr>
            </w:pPr>
            <w:r>
              <w:rPr>
                <w:rFonts w:ascii="Arial" w:cs="Arial" w:eastAsia="Arial" w:hAnsi="Arial"/>
                <w:sz w:val="18"/>
                <w:szCs w:val="18"/>
                <w:color w:val="auto"/>
              </w:rPr>
              <w:t>Balance, January 1, 2014</w:t>
            </w:r>
          </w:p>
        </w:tc>
        <w:tc>
          <w:tcPr>
            <w:tcW w:w="3640" w:type="dxa"/>
            <w:vAlign w:val="bottom"/>
            <w:shd w:val="clear" w:color="auto" w:fill="E5E5E5"/>
          </w:tcPr>
          <w:p>
            <w:pPr>
              <w:ind w:left="340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412"/>
              <w:spacing w:after="0"/>
              <w:rPr>
                <w:sz w:val="20"/>
                <w:szCs w:val="20"/>
                <w:color w:val="auto"/>
              </w:rPr>
            </w:pPr>
            <w:r>
              <w:rPr>
                <w:rFonts w:ascii="Arial" w:cs="Arial" w:eastAsia="Arial" w:hAnsi="Arial"/>
                <w:sz w:val="18"/>
                <w:szCs w:val="18"/>
                <w:color w:val="auto"/>
              </w:rPr>
              <w:t>747</w:t>
            </w:r>
          </w:p>
        </w:tc>
        <w:tc>
          <w:tcPr>
            <w:tcW w:w="7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684</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Fair value adjustments</w:t>
            </w:r>
          </w:p>
        </w:tc>
        <w:tc>
          <w:tcPr>
            <w:tcW w:w="3640" w:type="dxa"/>
            <w:vAlign w:val="bottom"/>
          </w:tcPr>
          <w:p>
            <w:pPr>
              <w:spacing w:after="0"/>
              <w:rPr>
                <w:sz w:val="18"/>
                <w:szCs w:val="18"/>
                <w:color w:val="auto"/>
              </w:rPr>
            </w:pPr>
          </w:p>
        </w:tc>
        <w:tc>
          <w:tcPr>
            <w:tcW w:w="900" w:type="dxa"/>
            <w:vAlign w:val="bottom"/>
          </w:tcPr>
          <w:p>
            <w:pPr>
              <w:jc w:val="right"/>
              <w:ind w:right="412"/>
              <w:spacing w:after="0"/>
              <w:rPr>
                <w:sz w:val="20"/>
                <w:szCs w:val="20"/>
                <w:color w:val="auto"/>
              </w:rPr>
            </w:pPr>
            <w:r>
              <w:rPr>
                <w:rFonts w:ascii="Arial" w:cs="Arial" w:eastAsia="Arial" w:hAnsi="Arial"/>
                <w:sz w:val="18"/>
                <w:szCs w:val="18"/>
                <w:color w:val="auto"/>
              </w:rPr>
              <w:t>120</w:t>
            </w:r>
          </w:p>
        </w:tc>
        <w:tc>
          <w:tcPr>
            <w:tcW w:w="72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23</w:t>
            </w:r>
          </w:p>
        </w:tc>
      </w:tr>
      <w:tr>
        <w:trPr>
          <w:trHeight w:val="216"/>
        </w:trPr>
        <w:tc>
          <w:tcPr>
            <w:tcW w:w="5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Payments</w:t>
            </w:r>
          </w:p>
        </w:tc>
        <w:tc>
          <w:tcPr>
            <w:tcW w:w="364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352"/>
              <w:spacing w:after="0"/>
              <w:rPr>
                <w:sz w:val="20"/>
                <w:szCs w:val="20"/>
                <w:color w:val="auto"/>
              </w:rPr>
            </w:pPr>
            <w:r>
              <w:rPr>
                <w:rFonts w:ascii="Arial" w:cs="Arial" w:eastAsia="Arial" w:hAnsi="Arial"/>
                <w:sz w:val="18"/>
                <w:szCs w:val="18"/>
                <w:color w:val="auto"/>
              </w:rPr>
              <w:t>(49)</w:t>
            </w:r>
          </w:p>
        </w:tc>
        <w:tc>
          <w:tcPr>
            <w:tcW w:w="7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(54)</w:t>
            </w:r>
          </w:p>
        </w:tc>
      </w:tr>
      <w:tr>
        <w:trPr>
          <w:trHeight w:val="217"/>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September 30, 2014</w:t>
            </w:r>
          </w:p>
        </w:tc>
        <w:tc>
          <w:tcPr>
            <w:tcW w:w="3640" w:type="dxa"/>
            <w:vAlign w:val="bottom"/>
            <w:tcBorders>
              <w:bottom w:val="single" w:sz="8" w:color="auto"/>
            </w:tcBorders>
          </w:tcPr>
          <w:p>
            <w:pPr>
              <w:ind w:left="340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818</w:t>
            </w:r>
          </w:p>
        </w:tc>
        <w:tc>
          <w:tcPr>
            <w:tcW w:w="7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653</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Redeemable Subsidiary Preferred Stock Financial Instrument</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2014, the fair value of the NBCUniversal Enterprise redeemable subsidiary preferred stock was $752 million. The estimated fair value is based on Level 2 inputs that use pricing models whose inputs are derived primarily from or corroborated by observable market data through correlation or other means for substantially the full term of the financial instrument.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Share-Based Compensation</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share-based compensation primarily consists of awards of stock options and RSUs to certain employees and directors as part of our approach to long-term incentive compensation. Additionally, through our employee stock purchase plans, employees are able to purchase shares of Comcast Class A common stock at a discount through payroll deductions.</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2014, we granted 16.4 million stock options and 5.4 million RSUs related to our annual management awards. The weighted-average fair values associated with these grants were $11.09 per stock option and $46.57 per RSU.</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60" w:type="dxa"/>
            <w:vAlign w:val="bottom"/>
            <w:gridSpan w:val="3"/>
          </w:tcPr>
          <w:p>
            <w:pPr>
              <w:jc w:val="right"/>
              <w:ind w:right="496"/>
              <w:spacing w:after="0"/>
              <w:rPr>
                <w:sz w:val="20"/>
                <w:szCs w:val="20"/>
                <w:color w:val="auto"/>
              </w:rPr>
            </w:pPr>
            <w:r>
              <w:rPr>
                <w:rFonts w:ascii="Arial" w:cs="Arial" w:eastAsia="Arial" w:hAnsi="Arial"/>
                <w:sz w:val="14"/>
                <w:szCs w:val="14"/>
                <w:color w:val="auto"/>
                <w:w w:val="96"/>
              </w:rPr>
              <w:t>Three Months Ended</w:t>
            </w:r>
          </w:p>
        </w:tc>
        <w:tc>
          <w:tcPr>
            <w:tcW w:w="400" w:type="dxa"/>
            <w:vAlign w:val="bottom"/>
          </w:tcPr>
          <w:p>
            <w:pPr>
              <w:spacing w:after="0"/>
              <w:rPr>
                <w:sz w:val="14"/>
                <w:szCs w:val="14"/>
                <w:color w:val="auto"/>
              </w:rPr>
            </w:pPr>
          </w:p>
        </w:tc>
        <w:tc>
          <w:tcPr>
            <w:tcW w:w="1660" w:type="dxa"/>
            <w:vAlign w:val="bottom"/>
            <w:gridSpan w:val="3"/>
          </w:tcPr>
          <w:p>
            <w:pPr>
              <w:jc w:val="right"/>
              <w:ind w:right="296"/>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69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90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61"/>
              <w:spacing w:after="0" w:line="142" w:lineRule="exact"/>
              <w:rPr>
                <w:sz w:val="20"/>
                <w:szCs w:val="20"/>
                <w:color w:val="auto"/>
              </w:rPr>
            </w:pPr>
            <w:r>
              <w:rPr>
                <w:rFonts w:ascii="Arial" w:cs="Arial" w:eastAsia="Arial" w:hAnsi="Arial"/>
                <w:sz w:val="14"/>
                <w:szCs w:val="14"/>
                <w:color w:val="auto"/>
                <w:w w:val="83"/>
              </w:rPr>
              <w:t>2014</w:t>
            </w: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color w:val="auto"/>
                <w:w w:val="89"/>
              </w:rPr>
              <w:t>2013</w:t>
            </w: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41"/>
              <w:spacing w:after="0" w:line="142" w:lineRule="exact"/>
              <w:rPr>
                <w:sz w:val="20"/>
                <w:szCs w:val="20"/>
                <w:color w:val="auto"/>
              </w:rPr>
            </w:pPr>
            <w:r>
              <w:rPr>
                <w:rFonts w:ascii="Arial" w:cs="Arial" w:eastAsia="Arial" w:hAnsi="Arial"/>
                <w:sz w:val="14"/>
                <w:szCs w:val="14"/>
                <w:color w:val="auto"/>
                <w:w w:val="89"/>
              </w:rPr>
              <w:t>2014</w:t>
            </w:r>
          </w:p>
        </w:tc>
        <w:tc>
          <w:tcPr>
            <w:tcW w:w="4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w w:val="89"/>
              </w:rPr>
              <w:t>2013</w:t>
            </w:r>
          </w:p>
        </w:tc>
        <w:tc>
          <w:tcPr>
            <w:tcW w:w="0" w:type="dxa"/>
            <w:vAlign w:val="bottom"/>
          </w:tcPr>
          <w:p>
            <w:pPr>
              <w:spacing w:after="0"/>
              <w:rPr>
                <w:sz w:val="1"/>
                <w:szCs w:val="1"/>
                <w:color w:val="auto"/>
              </w:rPr>
            </w:pPr>
          </w:p>
        </w:tc>
      </w:tr>
      <w:tr>
        <w:trPr>
          <w:trHeight w:val="210"/>
        </w:trPr>
        <w:tc>
          <w:tcPr>
            <w:tcW w:w="6900" w:type="dxa"/>
            <w:vAlign w:val="bottom"/>
            <w:shd w:val="clear" w:color="auto" w:fill="E5E5E5"/>
          </w:tcPr>
          <w:p>
            <w:pPr>
              <w:spacing w:after="0"/>
              <w:rPr>
                <w:sz w:val="20"/>
                <w:szCs w:val="20"/>
                <w:color w:val="auto"/>
              </w:rPr>
            </w:pPr>
            <w:r>
              <w:rPr>
                <w:rFonts w:ascii="Arial" w:cs="Arial" w:eastAsia="Arial" w:hAnsi="Arial"/>
                <w:sz w:val="18"/>
                <w:szCs w:val="18"/>
                <w:color w:val="auto"/>
              </w:rPr>
              <w:t>Stock options</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21"/>
              <w:spacing w:after="0"/>
              <w:rPr>
                <w:sz w:val="20"/>
                <w:szCs w:val="20"/>
                <w:color w:val="auto"/>
              </w:rPr>
            </w:pPr>
            <w:r>
              <w:rPr>
                <w:rFonts w:ascii="Arial" w:cs="Arial" w:eastAsia="Arial" w:hAnsi="Arial"/>
                <w:sz w:val="18"/>
                <w:szCs w:val="18"/>
                <w:color w:val="auto"/>
              </w:rPr>
              <w:t>38</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34</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01"/>
              <w:spacing w:after="0"/>
              <w:rPr>
                <w:sz w:val="20"/>
                <w:szCs w:val="20"/>
                <w:color w:val="auto"/>
              </w:rPr>
            </w:pPr>
            <w:r>
              <w:rPr>
                <w:rFonts w:ascii="Arial" w:cs="Arial" w:eastAsia="Arial" w:hAnsi="Arial"/>
                <w:sz w:val="18"/>
                <w:szCs w:val="18"/>
                <w:color w:val="auto"/>
              </w:rPr>
              <w:t>121</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Restricted share units</w:t>
            </w:r>
          </w:p>
        </w:tc>
        <w:tc>
          <w:tcPr>
            <w:tcW w:w="600" w:type="dxa"/>
            <w:vAlign w:val="bottom"/>
          </w:tcPr>
          <w:p>
            <w:pPr>
              <w:spacing w:after="0"/>
              <w:rPr>
                <w:sz w:val="18"/>
                <w:szCs w:val="18"/>
                <w:color w:val="auto"/>
              </w:rPr>
            </w:pPr>
          </w:p>
        </w:tc>
        <w:tc>
          <w:tcPr>
            <w:tcW w:w="720" w:type="dxa"/>
            <w:vAlign w:val="bottom"/>
          </w:tcPr>
          <w:p>
            <w:pPr>
              <w:jc w:val="right"/>
              <w:ind w:right="221"/>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18"/>
                <w:szCs w:val="18"/>
                <w:color w:val="auto"/>
              </w:rPr>
            </w:pPr>
          </w:p>
        </w:tc>
        <w:tc>
          <w:tcPr>
            <w:tcW w:w="740" w:type="dxa"/>
            <w:vAlign w:val="bottom"/>
          </w:tcPr>
          <w:p>
            <w:pPr>
              <w:jc w:val="right"/>
              <w:ind w:right="216"/>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18"/>
                <w:szCs w:val="18"/>
                <w:color w:val="auto"/>
              </w:rPr>
            </w:pPr>
          </w:p>
        </w:tc>
        <w:tc>
          <w:tcPr>
            <w:tcW w:w="720" w:type="dxa"/>
            <w:vAlign w:val="bottom"/>
          </w:tcPr>
          <w:p>
            <w:pPr>
              <w:jc w:val="right"/>
              <w:ind w:right="201"/>
              <w:spacing w:after="0"/>
              <w:rPr>
                <w:sz w:val="20"/>
                <w:szCs w:val="20"/>
                <w:color w:val="auto"/>
              </w:rPr>
            </w:pPr>
            <w:r>
              <w:rPr>
                <w:rFonts w:ascii="Arial" w:cs="Arial" w:eastAsia="Arial" w:hAnsi="Arial"/>
                <w:sz w:val="18"/>
                <w:szCs w:val="18"/>
                <w:color w:val="auto"/>
              </w:rPr>
              <w:t>171</w:t>
            </w:r>
          </w:p>
        </w:tc>
        <w:tc>
          <w:tcPr>
            <w:tcW w:w="420" w:type="dxa"/>
            <w:vAlign w:val="bottom"/>
          </w:tcPr>
          <w:p>
            <w:pPr>
              <w:spacing w:after="0"/>
              <w:rPr>
                <w:sz w:val="18"/>
                <w:szCs w:val="18"/>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6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plans</w:t>
            </w:r>
          </w:p>
        </w:tc>
        <w:tc>
          <w:tcPr>
            <w:tcW w:w="6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21"/>
              <w:spacing w:after="0"/>
              <w:rPr>
                <w:sz w:val="20"/>
                <w:szCs w:val="20"/>
                <w:color w:val="auto"/>
              </w:rPr>
            </w:pPr>
            <w:r>
              <w:rPr>
                <w:rFonts w:ascii="Arial" w:cs="Arial" w:eastAsia="Arial" w:hAnsi="Arial"/>
                <w:sz w:val="18"/>
                <w:szCs w:val="18"/>
                <w:color w:val="auto"/>
              </w:rPr>
              <w:t>5</w:t>
            </w:r>
          </w:p>
        </w:tc>
        <w:tc>
          <w:tcPr>
            <w:tcW w:w="4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216"/>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01"/>
              <w:spacing w:after="0"/>
              <w:rPr>
                <w:sz w:val="20"/>
                <w:szCs w:val="20"/>
                <w:color w:val="auto"/>
              </w:rPr>
            </w:pPr>
            <w:r>
              <w:rPr>
                <w:rFonts w:ascii="Arial" w:cs="Arial" w:eastAsia="Arial" w:hAnsi="Arial"/>
                <w:sz w:val="18"/>
                <w:szCs w:val="18"/>
                <w:color w:val="auto"/>
              </w:rPr>
              <w:t>18</w:t>
            </w:r>
          </w:p>
        </w:tc>
        <w:tc>
          <w:tcPr>
            <w:tcW w:w="4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21"/>
              <w:spacing w:after="0"/>
              <w:rPr>
                <w:sz w:val="20"/>
                <w:szCs w:val="20"/>
                <w:color w:val="auto"/>
              </w:rPr>
            </w:pPr>
            <w:r>
              <w:rPr>
                <w:rFonts w:ascii="Arial" w:cs="Arial" w:eastAsia="Arial" w:hAnsi="Arial"/>
                <w:sz w:val="18"/>
                <w:szCs w:val="18"/>
                <w:b w:val="1"/>
                <w:bCs w:val="1"/>
                <w:color w:val="auto"/>
              </w:rPr>
              <w:t>98</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b w:val="1"/>
                <w:bCs w:val="1"/>
                <w:color w:val="auto"/>
              </w:rPr>
              <w:t>82</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01"/>
              <w:spacing w:after="0"/>
              <w:rPr>
                <w:sz w:val="20"/>
                <w:szCs w:val="20"/>
                <w:color w:val="auto"/>
              </w:rPr>
            </w:pPr>
            <w:r>
              <w:rPr>
                <w:rFonts w:ascii="Arial" w:cs="Arial" w:eastAsia="Arial" w:hAnsi="Arial"/>
                <w:sz w:val="18"/>
                <w:szCs w:val="18"/>
                <w:b w:val="1"/>
                <w:bCs w:val="1"/>
                <w:color w:val="auto"/>
              </w:rPr>
              <w:t>310</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247</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2014, we had unrecognized pretax compensation expense of $356 million and $489 million related to nonvested stock options and nonvested RSUs,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Income Taxes</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the three months ended September 30, 2014, we reduced our accruals for uncertain tax positions and the related accrued interest on these tax positions. The reduction resulted in a decrease of $724 million in income tax expense, which excludes the benefits of uncertain tax positions for which we have been indemnified by GE. The table below presents a reconciliation of our uncertain tax positions from January 1, 2014 to September 30, 2014.</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210"/>
        </w:trPr>
        <w:tc>
          <w:tcPr>
            <w:tcW w:w="4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Balance, January 1, 2014</w:t>
            </w:r>
          </w:p>
        </w:tc>
        <w:tc>
          <w:tcPr>
            <w:tcW w:w="6540" w:type="dxa"/>
            <w:vAlign w:val="bottom"/>
            <w:tcBorders>
              <w:top w:val="single" w:sz="8" w:color="auto"/>
            </w:tcBorders>
            <w:shd w:val="clear" w:color="auto" w:fill="E5E5E5"/>
          </w:tcPr>
          <w:p>
            <w:pPr>
              <w:jc w:val="right"/>
              <w:ind w:right="352"/>
              <w:spacing w:after="0"/>
              <w:rPr>
                <w:sz w:val="20"/>
                <w:szCs w:val="20"/>
                <w:color w:val="auto"/>
              </w:rPr>
            </w:pPr>
            <w:r>
              <w:rPr>
                <w:rFonts w:ascii="Arial" w:cs="Arial" w:eastAsia="Arial" w:hAnsi="Arial"/>
                <w:sz w:val="18"/>
                <w:szCs w:val="18"/>
                <w:color w:val="auto"/>
              </w:rPr>
              <w:t>$1,701</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6540" w:type="dxa"/>
            <w:vAlign w:val="bottom"/>
          </w:tcPr>
          <w:p>
            <w:pPr>
              <w:jc w:val="right"/>
              <w:ind w:right="352"/>
              <w:spacing w:after="0"/>
              <w:rPr>
                <w:sz w:val="20"/>
                <w:szCs w:val="20"/>
                <w:color w:val="auto"/>
              </w:rPr>
            </w:pPr>
            <w:r>
              <w:rPr>
                <w:rFonts w:ascii="Arial" w:cs="Arial" w:eastAsia="Arial" w:hAnsi="Arial"/>
                <w:sz w:val="18"/>
                <w:szCs w:val="18"/>
                <w:color w:val="auto"/>
              </w:rPr>
              <w:t>54</w:t>
            </w:r>
          </w:p>
        </w:tc>
      </w:tr>
      <w:tr>
        <w:trPr>
          <w:trHeight w:val="216"/>
        </w:trPr>
        <w:tc>
          <w:tcPr>
            <w:tcW w:w="4880" w:type="dxa"/>
            <w:vAlign w:val="bottom"/>
            <w:shd w:val="clear" w:color="auto" w:fill="E5E5E5"/>
          </w:tcPr>
          <w:p>
            <w:pPr>
              <w:spacing w:after="0"/>
              <w:rPr>
                <w:sz w:val="20"/>
                <w:szCs w:val="20"/>
                <w:color w:val="auto"/>
              </w:rPr>
            </w:pPr>
            <w:r>
              <w:rPr>
                <w:rFonts w:ascii="Arial" w:cs="Arial" w:eastAsia="Arial" w:hAnsi="Arial"/>
                <w:sz w:val="18"/>
                <w:szCs w:val="18"/>
                <w:color w:val="auto"/>
              </w:rPr>
              <w:t>Additions based on tax positions related to prior years</w:t>
            </w:r>
          </w:p>
        </w:tc>
        <w:tc>
          <w:tcPr>
            <w:tcW w:w="6540" w:type="dxa"/>
            <w:vAlign w:val="bottom"/>
            <w:shd w:val="clear" w:color="auto" w:fill="E5E5E5"/>
          </w:tcPr>
          <w:p>
            <w:pPr>
              <w:jc w:val="right"/>
              <w:ind w:right="352"/>
              <w:spacing w:after="0"/>
              <w:rPr>
                <w:sz w:val="20"/>
                <w:szCs w:val="20"/>
                <w:color w:val="auto"/>
              </w:rPr>
            </w:pPr>
            <w:r>
              <w:rPr>
                <w:rFonts w:ascii="Arial" w:cs="Arial" w:eastAsia="Arial" w:hAnsi="Arial"/>
                <w:sz w:val="18"/>
                <w:szCs w:val="18"/>
                <w:color w:val="auto"/>
              </w:rPr>
              <w:t>31</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6540" w:type="dxa"/>
            <w:vAlign w:val="bottom"/>
          </w:tcPr>
          <w:p>
            <w:pPr>
              <w:jc w:val="right"/>
              <w:ind w:right="292"/>
              <w:spacing w:after="0"/>
              <w:rPr>
                <w:sz w:val="20"/>
                <w:szCs w:val="20"/>
                <w:color w:val="auto"/>
              </w:rPr>
            </w:pPr>
            <w:r>
              <w:rPr>
                <w:rFonts w:ascii="Arial" w:cs="Arial" w:eastAsia="Arial" w:hAnsi="Arial"/>
                <w:sz w:val="18"/>
                <w:szCs w:val="18"/>
                <w:color w:val="auto"/>
              </w:rPr>
              <w:t>(168)</w:t>
            </w:r>
          </w:p>
        </w:tc>
      </w:tr>
      <w:tr>
        <w:trPr>
          <w:trHeight w:val="216"/>
        </w:trPr>
        <w:tc>
          <w:tcPr>
            <w:tcW w:w="4880" w:type="dxa"/>
            <w:vAlign w:val="bottom"/>
            <w:shd w:val="clear" w:color="auto" w:fill="E5E5E5"/>
          </w:tcPr>
          <w:p>
            <w:pPr>
              <w:spacing w:after="0"/>
              <w:rPr>
                <w:sz w:val="20"/>
                <w:szCs w:val="20"/>
                <w:color w:val="auto"/>
              </w:rPr>
            </w:pPr>
            <w:r>
              <w:rPr>
                <w:rFonts w:ascii="Arial" w:cs="Arial" w:eastAsia="Arial" w:hAnsi="Arial"/>
                <w:sz w:val="18"/>
                <w:szCs w:val="18"/>
                <w:color w:val="auto"/>
              </w:rPr>
              <w:t>Reductions due to expiration of statutes of limitations</w:t>
            </w:r>
          </w:p>
        </w:tc>
        <w:tc>
          <w:tcPr>
            <w:tcW w:w="6540" w:type="dxa"/>
            <w:vAlign w:val="bottom"/>
            <w:shd w:val="clear" w:color="auto" w:fill="E5E5E5"/>
          </w:tcPr>
          <w:p>
            <w:pPr>
              <w:jc w:val="right"/>
              <w:ind w:right="292"/>
              <w:spacing w:after="0"/>
              <w:rPr>
                <w:sz w:val="20"/>
                <w:szCs w:val="20"/>
                <w:color w:val="auto"/>
              </w:rPr>
            </w:pPr>
            <w:r>
              <w:rPr>
                <w:rFonts w:ascii="Arial" w:cs="Arial" w:eastAsia="Arial" w:hAnsi="Arial"/>
                <w:sz w:val="18"/>
                <w:szCs w:val="18"/>
                <w:color w:val="auto"/>
              </w:rPr>
              <w:t>(436)</w:t>
            </w:r>
          </w:p>
        </w:tc>
      </w:tr>
      <w:tr>
        <w:trPr>
          <w:trHeight w:val="216"/>
        </w:trPr>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Settlements with taxing authorities</w:t>
            </w:r>
          </w:p>
        </w:tc>
        <w:tc>
          <w:tcPr>
            <w:tcW w:w="65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(15)</w:t>
            </w:r>
          </w:p>
        </w:tc>
      </w:tr>
      <w:tr>
        <w:trPr>
          <w:trHeight w:val="217"/>
        </w:trPr>
        <w:tc>
          <w:tcPr>
            <w:tcW w:w="4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September 30, 2014</w:t>
            </w:r>
          </w:p>
        </w:tc>
        <w:tc>
          <w:tcPr>
            <w:tcW w:w="6540" w:type="dxa"/>
            <w:vAlign w:val="bottom"/>
            <w:tcBorders>
              <w:bottom w:val="single" w:sz="8" w:color="auto"/>
            </w:tcBorders>
            <w:shd w:val="clear" w:color="auto" w:fill="E5E5E5"/>
          </w:tcPr>
          <w:p>
            <w:pPr>
              <w:jc w:val="right"/>
              <w:ind w:right="352"/>
              <w:spacing w:after="0"/>
              <w:rPr>
                <w:sz w:val="20"/>
                <w:szCs w:val="20"/>
                <w:color w:val="auto"/>
              </w:rPr>
            </w:pPr>
            <w:r>
              <w:rPr>
                <w:rFonts w:ascii="Arial" w:cs="Arial" w:eastAsia="Arial" w:hAnsi="Arial"/>
                <w:sz w:val="18"/>
                <w:szCs w:val="18"/>
                <w:b w:val="1"/>
                <w:bCs w:val="1"/>
                <w:color w:val="auto"/>
              </w:rPr>
              <w:t>$1,167</w:t>
            </w:r>
          </w:p>
        </w:tc>
      </w:tr>
      <w:tr>
        <w:trPr>
          <w:trHeight w:val="363"/>
        </w:trPr>
        <w:tc>
          <w:tcPr>
            <w:tcW w:w="4880" w:type="dxa"/>
            <w:vAlign w:val="bottom"/>
          </w:tcPr>
          <w:p>
            <w:pPr>
              <w:spacing w:after="0"/>
              <w:rPr>
                <w:sz w:val="24"/>
                <w:szCs w:val="24"/>
                <w:color w:val="auto"/>
              </w:rPr>
            </w:pPr>
          </w:p>
        </w:tc>
        <w:tc>
          <w:tcPr>
            <w:tcW w:w="6540" w:type="dxa"/>
            <w:vAlign w:val="bottom"/>
          </w:tcPr>
          <w:p>
            <w:pPr>
              <w:jc w:val="right"/>
              <w:ind w:right="5512"/>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2014 and December 31, 2013, our accrued interest associated with tax positions was $460 million and $780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Supplemental Financial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440" w:type="dxa"/>
            <w:vAlign w:val="bottom"/>
            <w:gridSpan w:val="3"/>
          </w:tcPr>
          <w:p>
            <w:pPr>
              <w:ind w:left="660"/>
              <w:spacing w:after="0"/>
              <w:rPr>
                <w:sz w:val="20"/>
                <w:szCs w:val="20"/>
                <w:color w:val="auto"/>
              </w:rPr>
            </w:pPr>
            <w:r>
              <w:rPr>
                <w:rFonts w:ascii="Arial" w:cs="Arial" w:eastAsia="Arial" w:hAnsi="Arial"/>
                <w:sz w:val="14"/>
                <w:szCs w:val="14"/>
                <w:color w:val="auto"/>
                <w:w w:val="82"/>
              </w:rPr>
              <w:t>September 30,</w:t>
            </w:r>
          </w:p>
        </w:tc>
        <w:tc>
          <w:tcPr>
            <w:tcW w:w="72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color w:val="auto"/>
                <w:w w:val="86"/>
              </w:rPr>
              <w:t>December 31,</w:t>
            </w:r>
          </w:p>
        </w:tc>
        <w:tc>
          <w:tcPr>
            <w:tcW w:w="0" w:type="dxa"/>
            <w:vAlign w:val="bottom"/>
          </w:tcPr>
          <w:p>
            <w:pPr>
              <w:spacing w:after="0"/>
              <w:rPr>
                <w:sz w:val="1"/>
                <w:szCs w:val="1"/>
                <w:color w:val="auto"/>
              </w:rPr>
            </w:pPr>
          </w:p>
        </w:tc>
      </w:tr>
      <w:tr>
        <w:trPr>
          <w:trHeight w:val="159"/>
        </w:trPr>
        <w:tc>
          <w:tcPr>
            <w:tcW w:w="82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8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260"/>
              <w:spacing w:after="0" w:line="159" w:lineRule="exact"/>
              <w:rPr>
                <w:sz w:val="20"/>
                <w:szCs w:val="20"/>
                <w:color w:val="auto"/>
              </w:rPr>
            </w:pPr>
            <w:r>
              <w:rPr>
                <w:rFonts w:ascii="Arial" w:cs="Arial" w:eastAsia="Arial" w:hAnsi="Arial"/>
                <w:sz w:val="14"/>
                <w:szCs w:val="14"/>
                <w:color w:val="auto"/>
              </w:rPr>
              <w:t>2014</w:t>
            </w:r>
          </w:p>
        </w:tc>
        <w:tc>
          <w:tcPr>
            <w:tcW w:w="7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95"/>
              <w:spacing w:after="0" w:line="159" w:lineRule="exact"/>
              <w:rPr>
                <w:sz w:val="20"/>
                <w:szCs w:val="20"/>
                <w:color w:val="auto"/>
              </w:rPr>
            </w:pPr>
            <w:r>
              <w:rPr>
                <w:rFonts w:ascii="Arial" w:cs="Arial" w:eastAsia="Arial" w:hAnsi="Arial"/>
                <w:sz w:val="14"/>
                <w:szCs w:val="14"/>
                <w:color w:val="auto"/>
                <w:w w:val="89"/>
              </w:rPr>
              <w:t>2013</w:t>
            </w:r>
          </w:p>
        </w:tc>
        <w:tc>
          <w:tcPr>
            <w:tcW w:w="0" w:type="dxa"/>
            <w:vAlign w:val="bottom"/>
          </w:tcPr>
          <w:p>
            <w:pPr>
              <w:spacing w:after="0"/>
              <w:rPr>
                <w:sz w:val="1"/>
                <w:szCs w:val="1"/>
                <w:color w:val="auto"/>
              </w:rPr>
            </w:pPr>
          </w:p>
        </w:tc>
      </w:tr>
      <w:tr>
        <w:trPr>
          <w:trHeight w:val="210"/>
        </w:trPr>
        <w:tc>
          <w:tcPr>
            <w:tcW w:w="8280" w:type="dxa"/>
            <w:vAlign w:val="bottom"/>
            <w:shd w:val="clear" w:color="auto" w:fill="E5E5E5"/>
          </w:tcPr>
          <w:p>
            <w:pPr>
              <w:spacing w:after="0"/>
              <w:rPr>
                <w:sz w:val="20"/>
                <w:szCs w:val="20"/>
                <w:color w:val="auto"/>
              </w:rPr>
            </w:pPr>
            <w:r>
              <w:rPr>
                <w:rFonts w:ascii="Arial" w:cs="Arial" w:eastAsia="Arial" w:hAnsi="Arial"/>
                <w:sz w:val="18"/>
                <w:szCs w:val="18"/>
                <w:color w:val="auto"/>
              </w:rPr>
              <w:t>Receivables, gross</w:t>
            </w:r>
          </w:p>
        </w:tc>
        <w:tc>
          <w:tcPr>
            <w:tcW w:w="820" w:type="dxa"/>
            <w:vAlign w:val="bottom"/>
            <w:shd w:val="clear" w:color="auto" w:fill="E5E5E5"/>
          </w:tcPr>
          <w:p>
            <w:pPr>
              <w:ind w:left="6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6,679</w:t>
            </w:r>
          </w:p>
        </w:tc>
        <w:tc>
          <w:tcPr>
            <w:tcW w:w="720" w:type="dxa"/>
            <w:vAlign w:val="bottom"/>
            <w:shd w:val="clear" w:color="auto" w:fill="E5E5E5"/>
          </w:tcPr>
          <w:p>
            <w:pPr>
              <w:spacing w:after="0"/>
              <w:rPr>
                <w:sz w:val="18"/>
                <w:szCs w:val="18"/>
                <w:color w:val="auto"/>
              </w:rPr>
            </w:pPr>
          </w:p>
        </w:tc>
        <w:tc>
          <w:tcPr>
            <w:tcW w:w="30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6,972</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Less: Allowance for returns and customer incentives</w:t>
            </w:r>
          </w:p>
        </w:tc>
        <w:tc>
          <w:tcPr>
            <w:tcW w:w="8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8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Allowance for doubtful accounts</w:t>
            </w:r>
          </w:p>
        </w:tc>
        <w:tc>
          <w:tcPr>
            <w:tcW w:w="8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223</w:t>
            </w:r>
          </w:p>
        </w:tc>
        <w:tc>
          <w:tcPr>
            <w:tcW w:w="72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7"/>
        </w:trPr>
        <w:tc>
          <w:tcPr>
            <w:tcW w:w="8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Receivables, net</w:t>
            </w:r>
          </w:p>
        </w:tc>
        <w:tc>
          <w:tcPr>
            <w:tcW w:w="82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6,172</w:t>
            </w:r>
          </w:p>
        </w:tc>
        <w:tc>
          <w:tcPr>
            <w:tcW w:w="7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6,376</w:t>
            </w:r>
          </w:p>
        </w:tc>
        <w:tc>
          <w:tcPr>
            <w:tcW w:w="0" w:type="dxa"/>
            <w:vAlign w:val="bottom"/>
          </w:tcPr>
          <w:p>
            <w:pPr>
              <w:spacing w:after="0"/>
              <w:rPr>
                <w:sz w:val="1"/>
                <w:szCs w:val="1"/>
                <w:color w:val="auto"/>
              </w:rPr>
            </w:pPr>
          </w:p>
        </w:tc>
      </w:tr>
      <w:tr>
        <w:trPr>
          <w:trHeight w:val="403"/>
        </w:trPr>
        <w:tc>
          <w:tcPr>
            <w:tcW w:w="8280" w:type="dxa"/>
            <w:vAlign w:val="bottom"/>
          </w:tcPr>
          <w:p>
            <w:pPr>
              <w:ind w:left="3600"/>
              <w:spacing w:after="0"/>
              <w:rPr>
                <w:sz w:val="20"/>
                <w:szCs w:val="20"/>
                <w:color w:val="auto"/>
              </w:rPr>
            </w:pPr>
            <w:r>
              <w:rPr>
                <w:rFonts w:ascii="Arial" w:cs="Arial" w:eastAsia="Arial" w:hAnsi="Arial"/>
                <w:sz w:val="18"/>
                <w:szCs w:val="18"/>
                <w:b w:val="1"/>
                <w:bCs w:val="1"/>
                <w:color w:val="auto"/>
              </w:rPr>
              <w:t>Accumulated Other Comprehensive Income (Loss)</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80" w:type="dxa"/>
            <w:vAlign w:val="bottom"/>
          </w:tcPr>
          <w:p>
            <w:pPr>
              <w:spacing w:after="0"/>
              <w:rPr>
                <w:sz w:val="22"/>
                <w:szCs w:val="22"/>
                <w:color w:val="auto"/>
              </w:rPr>
            </w:pPr>
          </w:p>
        </w:tc>
        <w:tc>
          <w:tcPr>
            <w:tcW w:w="1440" w:type="dxa"/>
            <w:vAlign w:val="bottom"/>
            <w:gridSpan w:val="3"/>
          </w:tcPr>
          <w:p>
            <w:pPr>
              <w:ind w:left="460"/>
              <w:spacing w:after="0"/>
              <w:rPr>
                <w:sz w:val="20"/>
                <w:szCs w:val="20"/>
                <w:color w:val="auto"/>
              </w:rPr>
            </w:pPr>
            <w:r>
              <w:rPr>
                <w:rFonts w:ascii="Arial" w:cs="Arial" w:eastAsia="Arial" w:hAnsi="Arial"/>
                <w:sz w:val="14"/>
                <w:szCs w:val="14"/>
                <w:color w:val="auto"/>
              </w:rPr>
              <w:t>September 30,</w:t>
            </w:r>
          </w:p>
        </w:tc>
        <w:tc>
          <w:tcPr>
            <w:tcW w:w="720" w:type="dxa"/>
            <w:vAlign w:val="bottom"/>
          </w:tcPr>
          <w:p>
            <w:pPr>
              <w:spacing w:after="0"/>
              <w:rPr>
                <w:sz w:val="22"/>
                <w:szCs w:val="22"/>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color w:val="auto"/>
                <w:w w:val="84"/>
              </w:rPr>
              <w:t>September 30,</w:t>
            </w:r>
          </w:p>
        </w:tc>
        <w:tc>
          <w:tcPr>
            <w:tcW w:w="0" w:type="dxa"/>
            <w:vAlign w:val="bottom"/>
          </w:tcPr>
          <w:p>
            <w:pPr>
              <w:spacing w:after="0"/>
              <w:rPr>
                <w:sz w:val="1"/>
                <w:szCs w:val="1"/>
                <w:color w:val="auto"/>
              </w:rPr>
            </w:pPr>
          </w:p>
        </w:tc>
      </w:tr>
      <w:tr>
        <w:trPr>
          <w:trHeight w:val="159"/>
        </w:trPr>
        <w:tc>
          <w:tcPr>
            <w:tcW w:w="82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000" w:type="dxa"/>
            <w:vAlign w:val="bottom"/>
            <w:tcBorders>
              <w:bottom w:val="single" w:sz="8" w:color="auto"/>
            </w:tcBorders>
            <w:gridSpan w:val="2"/>
          </w:tcPr>
          <w:p>
            <w:pPr>
              <w:ind w:left="700"/>
              <w:spacing w:after="0" w:line="159" w:lineRule="exact"/>
              <w:rPr>
                <w:sz w:val="20"/>
                <w:szCs w:val="20"/>
                <w:color w:val="auto"/>
              </w:rPr>
            </w:pPr>
            <w:r>
              <w:rPr>
                <w:rFonts w:ascii="Arial" w:cs="Arial" w:eastAsia="Arial" w:hAnsi="Arial"/>
                <w:sz w:val="14"/>
                <w:szCs w:val="14"/>
                <w:color w:val="auto"/>
                <w:w w:val="89"/>
              </w:rPr>
              <w:t>2014</w:t>
            </w:r>
          </w:p>
        </w:tc>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235"/>
              <w:spacing w:after="0" w:line="159" w:lineRule="exact"/>
              <w:rPr>
                <w:sz w:val="20"/>
                <w:szCs w:val="20"/>
                <w:color w:val="auto"/>
              </w:rPr>
            </w:pPr>
            <w:r>
              <w:rPr>
                <w:rFonts w:ascii="Arial" w:cs="Arial" w:eastAsia="Arial" w:hAnsi="Arial"/>
                <w:sz w:val="14"/>
                <w:szCs w:val="14"/>
                <w:color w:val="auto"/>
                <w:w w:val="89"/>
              </w:rPr>
              <w:t>2013</w:t>
            </w:r>
          </w:p>
        </w:tc>
        <w:tc>
          <w:tcPr>
            <w:tcW w:w="0" w:type="dxa"/>
            <w:vAlign w:val="bottom"/>
          </w:tcPr>
          <w:p>
            <w:pPr>
              <w:spacing w:after="0"/>
              <w:rPr>
                <w:sz w:val="1"/>
                <w:szCs w:val="1"/>
                <w:color w:val="auto"/>
              </w:rPr>
            </w:pPr>
          </w:p>
        </w:tc>
      </w:tr>
      <w:tr>
        <w:trPr>
          <w:trHeight w:val="210"/>
        </w:trPr>
        <w:tc>
          <w:tcPr>
            <w:tcW w:w="8280" w:type="dxa"/>
            <w:vAlign w:val="bottom"/>
            <w:shd w:val="clear" w:color="auto" w:fill="E5E5E5"/>
          </w:tcPr>
          <w:p>
            <w:pPr>
              <w:spacing w:after="0"/>
              <w:rPr>
                <w:sz w:val="20"/>
                <w:szCs w:val="20"/>
                <w:color w:val="auto"/>
              </w:rPr>
            </w:pPr>
            <w:r>
              <w:rPr>
                <w:rFonts w:ascii="Arial" w:cs="Arial" w:eastAsia="Arial" w:hAnsi="Arial"/>
                <w:sz w:val="18"/>
                <w:szCs w:val="18"/>
                <w:color w:val="auto"/>
              </w:rPr>
              <w:t>Unrealized gains (losses) on marketable securities</w:t>
            </w:r>
          </w:p>
        </w:tc>
        <w:tc>
          <w:tcPr>
            <w:tcW w:w="820" w:type="dxa"/>
            <w:vAlign w:val="bottom"/>
            <w:shd w:val="clear" w:color="auto" w:fill="E5E5E5"/>
          </w:tcPr>
          <w:p>
            <w:pPr>
              <w:ind w:left="4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3</w:t>
            </w:r>
          </w:p>
        </w:tc>
        <w:tc>
          <w:tcPr>
            <w:tcW w:w="720" w:type="dxa"/>
            <w:vAlign w:val="bottom"/>
            <w:shd w:val="clear" w:color="auto" w:fill="E5E5E5"/>
          </w:tcPr>
          <w:p>
            <w:pPr>
              <w:spacing w:after="0"/>
              <w:rPr>
                <w:sz w:val="18"/>
                <w:szCs w:val="18"/>
                <w:color w:val="auto"/>
              </w:rPr>
            </w:pPr>
          </w:p>
        </w:tc>
        <w:tc>
          <w:tcPr>
            <w:tcW w:w="30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Deferred gains (losses) on cash flow hedges</w:t>
            </w:r>
          </w:p>
        </w:tc>
        <w:tc>
          <w:tcPr>
            <w:tcW w:w="8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8280" w:type="dxa"/>
            <w:vAlign w:val="bottom"/>
            <w:shd w:val="clear" w:color="auto" w:fill="E5E5E5"/>
          </w:tcPr>
          <w:p>
            <w:pPr>
              <w:spacing w:after="0"/>
              <w:rPr>
                <w:sz w:val="20"/>
                <w:szCs w:val="20"/>
                <w:color w:val="auto"/>
              </w:rPr>
            </w:pPr>
            <w:r>
              <w:rPr>
                <w:rFonts w:ascii="Arial" w:cs="Arial" w:eastAsia="Arial" w:hAnsi="Arial"/>
                <w:sz w:val="18"/>
                <w:szCs w:val="18"/>
                <w:color w:val="auto"/>
              </w:rPr>
              <w:t>Unrecognized gains (losses) on employee benefit obligations</w:t>
            </w:r>
          </w:p>
        </w:tc>
        <w:tc>
          <w:tcPr>
            <w:tcW w:w="820" w:type="dxa"/>
            <w:vAlign w:val="bottom"/>
            <w:shd w:val="clear" w:color="auto" w:fill="E5E5E5"/>
          </w:tcPr>
          <w:p>
            <w:pPr>
              <w:spacing w:after="0"/>
              <w:rPr>
                <w:sz w:val="18"/>
                <w:szCs w:val="18"/>
                <w:color w:val="auto"/>
              </w:rPr>
            </w:pPr>
          </w:p>
        </w:tc>
        <w:tc>
          <w:tcPr>
            <w:tcW w:w="62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70</w:t>
            </w:r>
          </w:p>
        </w:tc>
        <w:tc>
          <w:tcPr>
            <w:tcW w:w="7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8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translation adjustments</w:t>
            </w:r>
          </w:p>
        </w:tc>
        <w:tc>
          <w:tcPr>
            <w:tcW w:w="8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(41)</w:t>
            </w:r>
          </w:p>
        </w:tc>
        <w:tc>
          <w:tcPr>
            <w:tcW w:w="7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7"/>
        </w:trPr>
        <w:tc>
          <w:tcPr>
            <w:tcW w:w="8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820" w:type="dxa"/>
            <w:vAlign w:val="bottom"/>
            <w:tcBorders>
              <w:bottom w:val="single" w:sz="8" w:color="auto"/>
            </w:tcBorders>
            <w:shd w:val="clear" w:color="auto" w:fill="E5E5E5"/>
          </w:tcPr>
          <w:p>
            <w:pPr>
              <w:ind w:left="46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gridSpan w:val="2"/>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3</w:t>
            </w:r>
          </w:p>
        </w:tc>
        <w:tc>
          <w:tcPr>
            <w:tcW w:w="72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jc w:val="right"/>
              <w:ind w:right="37"/>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(110)</w:t>
            </w:r>
          </w:p>
        </w:tc>
        <w:tc>
          <w:tcPr>
            <w:tcW w:w="0" w:type="dxa"/>
            <w:vAlign w:val="bottom"/>
          </w:tcPr>
          <w:p>
            <w:pPr>
              <w:spacing w:after="0"/>
              <w:rPr>
                <w:sz w:val="1"/>
                <w:szCs w:val="1"/>
                <w:color w:val="auto"/>
              </w:rPr>
            </w:pPr>
          </w:p>
        </w:tc>
      </w:tr>
      <w:tr>
        <w:trPr>
          <w:trHeight w:val="403"/>
        </w:trPr>
        <w:tc>
          <w:tcPr>
            <w:tcW w:w="8280" w:type="dxa"/>
            <w:vAlign w:val="bottom"/>
          </w:tcPr>
          <w:p>
            <w:pPr>
              <w:ind w:left="3960"/>
              <w:spacing w:after="0"/>
              <w:rPr>
                <w:sz w:val="20"/>
                <w:szCs w:val="20"/>
                <w:color w:val="auto"/>
              </w:rPr>
            </w:pPr>
            <w:r>
              <w:rPr>
                <w:rFonts w:ascii="Arial" w:cs="Arial" w:eastAsia="Arial" w:hAnsi="Arial"/>
                <w:sz w:val="18"/>
                <w:szCs w:val="18"/>
                <w:b w:val="1"/>
                <w:bCs w:val="1"/>
                <w:color w:val="auto"/>
              </w:rPr>
              <w:t>Net Cash Provided by Operating Activities</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00" w:type="dxa"/>
            <w:vAlign w:val="bottom"/>
            <w:gridSpan w:val="3"/>
          </w:tcPr>
          <w:p>
            <w:pPr>
              <w:jc w:val="right"/>
              <w:ind w:right="335"/>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82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ind w:right="495"/>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828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color w:val="auto"/>
              </w:rPr>
              <w:t>2014</w:t>
            </w:r>
          </w:p>
        </w:tc>
        <w:tc>
          <w:tcPr>
            <w:tcW w:w="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color w:val="auto"/>
                <w:w w:val="89"/>
              </w:rPr>
              <w:t>2013</w:t>
            </w:r>
          </w:p>
        </w:tc>
        <w:tc>
          <w:tcPr>
            <w:tcW w:w="0" w:type="dxa"/>
            <w:vAlign w:val="bottom"/>
          </w:tcPr>
          <w:p>
            <w:pPr>
              <w:spacing w:after="0"/>
              <w:rPr>
                <w:sz w:val="1"/>
                <w:szCs w:val="1"/>
                <w:color w:val="auto"/>
              </w:rPr>
            </w:pPr>
          </w:p>
        </w:tc>
      </w:tr>
      <w:tr>
        <w:trPr>
          <w:trHeight w:val="210"/>
        </w:trPr>
        <w:tc>
          <w:tcPr>
            <w:tcW w:w="828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w w:val="93"/>
              </w:rPr>
              <w:t>$ 6,596</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w w:val="97"/>
              </w:rPr>
              <w:t>5,167</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Depreciation and amortization</w:t>
            </w:r>
          </w:p>
        </w:tc>
        <w:tc>
          <w:tcPr>
            <w:tcW w:w="8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5,929</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w w:val="97"/>
              </w:rPr>
              <w:t>5,873</w:t>
            </w:r>
          </w:p>
        </w:tc>
        <w:tc>
          <w:tcPr>
            <w:tcW w:w="0" w:type="dxa"/>
            <w:vAlign w:val="bottom"/>
          </w:tcPr>
          <w:p>
            <w:pPr>
              <w:spacing w:after="0"/>
              <w:rPr>
                <w:sz w:val="1"/>
                <w:szCs w:val="1"/>
                <w:color w:val="auto"/>
              </w:rPr>
            </w:pPr>
          </w:p>
        </w:tc>
      </w:tr>
      <w:tr>
        <w:trPr>
          <w:trHeight w:val="216"/>
        </w:trPr>
        <w:tc>
          <w:tcPr>
            <w:tcW w:w="8280" w:type="dxa"/>
            <w:vAlign w:val="bottom"/>
          </w:tcPr>
          <w:p>
            <w:pPr>
              <w:ind w:left="440"/>
              <w:spacing w:after="0"/>
              <w:rPr>
                <w:sz w:val="20"/>
                <w:szCs w:val="20"/>
                <w:color w:val="auto"/>
              </w:rPr>
            </w:pPr>
            <w:r>
              <w:rPr>
                <w:rFonts w:ascii="Arial" w:cs="Arial" w:eastAsia="Arial" w:hAnsi="Arial"/>
                <w:sz w:val="18"/>
                <w:szCs w:val="18"/>
                <w:color w:val="auto"/>
              </w:rPr>
              <w:t>Share-based compensation</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ind w:right="56"/>
              <w:spacing w:after="0"/>
              <w:rPr>
                <w:sz w:val="20"/>
                <w:szCs w:val="20"/>
                <w:color w:val="auto"/>
              </w:rPr>
            </w:pPr>
            <w:r>
              <w:rPr>
                <w:rFonts w:ascii="Arial" w:cs="Arial" w:eastAsia="Arial" w:hAnsi="Arial"/>
                <w:sz w:val="18"/>
                <w:szCs w:val="18"/>
                <w:color w:val="auto"/>
              </w:rPr>
              <w:t>386</w:t>
            </w:r>
          </w:p>
        </w:tc>
        <w:tc>
          <w:tcPr>
            <w:tcW w:w="300" w:type="dxa"/>
            <w:vAlign w:val="bottom"/>
          </w:tcPr>
          <w:p>
            <w:pPr>
              <w:spacing w:after="0"/>
              <w:rPr>
                <w:sz w:val="18"/>
                <w:szCs w:val="18"/>
                <w:color w:val="auto"/>
              </w:rPr>
            </w:pPr>
          </w:p>
        </w:tc>
        <w:tc>
          <w:tcPr>
            <w:tcW w:w="680" w:type="dxa"/>
            <w:vAlign w:val="bottom"/>
          </w:tcPr>
          <w:p>
            <w:pPr>
              <w:jc w:val="right"/>
              <w:ind w:right="135"/>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82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Noncash interest expense (income), net</w:t>
            </w:r>
          </w:p>
        </w:tc>
        <w:tc>
          <w:tcPr>
            <w:tcW w:w="8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132</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8280" w:type="dxa"/>
            <w:vAlign w:val="bottom"/>
          </w:tcPr>
          <w:p>
            <w:pPr>
              <w:ind w:left="440"/>
              <w:spacing w:after="0"/>
              <w:rPr>
                <w:sz w:val="20"/>
                <w:szCs w:val="20"/>
                <w:color w:val="auto"/>
              </w:rPr>
            </w:pPr>
            <w:r>
              <w:rPr>
                <w:rFonts w:ascii="Arial" w:cs="Arial" w:eastAsia="Arial" w:hAnsi="Arial"/>
                <w:sz w:val="18"/>
                <w:szCs w:val="18"/>
                <w:color w:val="auto"/>
              </w:rPr>
              <w:t>Equity in net (income) losses of investees, net</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18"/>
                <w:szCs w:val="18"/>
                <w:color w:val="auto"/>
              </w:rPr>
            </w:pPr>
          </w:p>
        </w:tc>
        <w:tc>
          <w:tcPr>
            <w:tcW w:w="680" w:type="dxa"/>
            <w:vAlign w:val="bottom"/>
          </w:tcPr>
          <w:p>
            <w:pPr>
              <w:jc w:val="right"/>
              <w:ind w:right="135"/>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82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Cash received from investees</w:t>
            </w:r>
          </w:p>
        </w:tc>
        <w:tc>
          <w:tcPr>
            <w:tcW w:w="8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71</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8280" w:type="dxa"/>
            <w:vAlign w:val="bottom"/>
          </w:tcPr>
          <w:p>
            <w:pPr>
              <w:ind w:left="440"/>
              <w:spacing w:after="0"/>
              <w:rPr>
                <w:sz w:val="20"/>
                <w:szCs w:val="20"/>
                <w:color w:val="auto"/>
              </w:rPr>
            </w:pPr>
            <w:r>
              <w:rPr>
                <w:rFonts w:ascii="Arial" w:cs="Arial" w:eastAsia="Arial" w:hAnsi="Arial"/>
                <w:sz w:val="18"/>
                <w:szCs w:val="18"/>
                <w:color w:val="auto"/>
              </w:rPr>
              <w:t>Net (gain) loss on investment activity and other</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82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Deferred income taxes</w:t>
            </w:r>
          </w:p>
        </w:tc>
        <w:tc>
          <w:tcPr>
            <w:tcW w:w="8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358</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Current and noncurrent receivables, net</w:t>
            </w:r>
          </w:p>
        </w:tc>
        <w:tc>
          <w:tcPr>
            <w:tcW w:w="8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89</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8280" w:type="dxa"/>
            <w:vAlign w:val="bottom"/>
          </w:tcPr>
          <w:p>
            <w:pPr>
              <w:ind w:left="440"/>
              <w:spacing w:after="0"/>
              <w:rPr>
                <w:sz w:val="20"/>
                <w:szCs w:val="20"/>
                <w:color w:val="auto"/>
              </w:rPr>
            </w:pPr>
            <w:r>
              <w:rPr>
                <w:rFonts w:ascii="Arial" w:cs="Arial" w:eastAsia="Arial" w:hAnsi="Arial"/>
                <w:sz w:val="18"/>
                <w:szCs w:val="18"/>
                <w:color w:val="auto"/>
              </w:rPr>
              <w:t>Film and television costs, net</w:t>
            </w:r>
            <w:r>
              <w:rPr>
                <w:rFonts w:ascii="Arial" w:cs="Arial" w:eastAsia="Arial" w:hAnsi="Arial"/>
                <w:sz w:val="11"/>
                <w:szCs w:val="11"/>
                <w:color w:val="auto"/>
              </w:rPr>
              <w:t>(a)</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(471)</w:t>
            </w:r>
          </w:p>
        </w:tc>
        <w:tc>
          <w:tcPr>
            <w:tcW w:w="300" w:type="dxa"/>
            <w:vAlign w:val="bottom"/>
          </w:tcPr>
          <w:p>
            <w:pPr>
              <w:spacing w:after="0"/>
              <w:rPr>
                <w:sz w:val="18"/>
                <w:szCs w:val="18"/>
                <w:color w:val="auto"/>
              </w:rPr>
            </w:pPr>
          </w:p>
        </w:tc>
        <w:tc>
          <w:tcPr>
            <w:tcW w:w="680" w:type="dxa"/>
            <w:vAlign w:val="bottom"/>
          </w:tcPr>
          <w:p>
            <w:pPr>
              <w:jc w:val="right"/>
              <w:ind w:right="135"/>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82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8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119</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82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 operating assets and liabilities</w:t>
            </w:r>
          </w:p>
        </w:tc>
        <w:tc>
          <w:tcPr>
            <w:tcW w:w="8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7"/>
        </w:trPr>
        <w:tc>
          <w:tcPr>
            <w:tcW w:w="8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20" w:type="dxa"/>
            <w:vAlign w:val="bottom"/>
            <w:tcBorders>
              <w:bottom w:val="single" w:sz="8" w:color="auto"/>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6"/>
              <w:spacing w:after="0"/>
              <w:rPr>
                <w:sz w:val="20"/>
                <w:szCs w:val="20"/>
                <w:color w:val="auto"/>
              </w:rPr>
            </w:pPr>
            <w:r>
              <w:rPr>
                <w:rFonts w:ascii="Arial" w:cs="Arial" w:eastAsia="Arial" w:hAnsi="Arial"/>
                <w:sz w:val="18"/>
                <w:szCs w:val="18"/>
                <w:b w:val="1"/>
                <w:bCs w:val="1"/>
                <w:color w:val="auto"/>
                <w:w w:val="86"/>
              </w:rPr>
              <w:t>$12,302</w:t>
            </w:r>
          </w:p>
        </w:tc>
        <w:tc>
          <w:tcPr>
            <w:tcW w:w="980" w:type="dxa"/>
            <w:vAlign w:val="bottom"/>
            <w:tcBorders>
              <w:bottom w:val="single" w:sz="8" w:color="auto"/>
            </w:tcBorders>
            <w:gridSpan w:val="2"/>
            <w:shd w:val="clear" w:color="auto" w:fill="E5E5E5"/>
          </w:tcPr>
          <w:p>
            <w:pPr>
              <w:jc w:val="right"/>
              <w:ind w:right="135"/>
              <w:spacing w:after="0"/>
              <w:rPr>
                <w:sz w:val="20"/>
                <w:szCs w:val="20"/>
                <w:color w:val="auto"/>
              </w:rPr>
            </w:pPr>
            <w:r>
              <w:rPr>
                <w:rFonts w:ascii="Arial" w:cs="Arial" w:eastAsia="Arial" w:hAnsi="Arial"/>
                <w:sz w:val="18"/>
                <w:szCs w:val="18"/>
                <w:b w:val="1"/>
                <w:bCs w:val="1"/>
                <w:color w:val="auto"/>
              </w:rPr>
              <w:t>$ 11,679</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340" w:hanging="332"/>
        <w:spacing w:after="0" w:line="239"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Comprised of additions to our film and television cost assets of $7,198 million and $5,590 million, net of film and television cost amortization of $6,727 million and $5,998 million in 2014 and 2013, respectively.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gridSpan w:val="3"/>
          </w:tcPr>
          <w:p>
            <w:pPr>
              <w:jc w:val="right"/>
              <w:ind w:right="399"/>
              <w:spacing w:after="0"/>
              <w:rPr>
                <w:sz w:val="20"/>
                <w:szCs w:val="20"/>
                <w:color w:val="auto"/>
              </w:rPr>
            </w:pPr>
            <w:r>
              <w:rPr>
                <w:rFonts w:ascii="Arial" w:cs="Arial" w:eastAsia="Arial" w:hAnsi="Arial"/>
                <w:sz w:val="14"/>
                <w:szCs w:val="14"/>
                <w:color w:val="auto"/>
                <w:w w:val="94"/>
              </w:rPr>
              <w:t>Three Months Ended</w:t>
            </w:r>
          </w:p>
        </w:tc>
        <w:tc>
          <w:tcPr>
            <w:tcW w:w="1940" w:type="dxa"/>
            <w:vAlign w:val="bottom"/>
            <w:gridSpan w:val="2"/>
          </w:tcPr>
          <w:p>
            <w:pPr>
              <w:jc w:val="center"/>
              <w:ind w:left="84"/>
              <w:spacing w:after="0"/>
              <w:rPr>
                <w:sz w:val="20"/>
                <w:szCs w:val="20"/>
                <w:color w:val="auto"/>
              </w:rPr>
            </w:pPr>
            <w:r>
              <w:rPr>
                <w:rFonts w:ascii="Arial" w:cs="Arial" w:eastAsia="Arial" w:hAnsi="Arial"/>
                <w:sz w:val="14"/>
                <w:szCs w:val="14"/>
                <w:color w:val="auto"/>
                <w:w w:val="89"/>
              </w:rPr>
              <w:t>Nine Months Ended</w:t>
            </w:r>
          </w:p>
        </w:tc>
        <w:tc>
          <w:tcPr>
            <w:tcW w:w="0" w:type="dxa"/>
            <w:vAlign w:val="bottom"/>
          </w:tcPr>
          <w:p>
            <w:pPr>
              <w:spacing w:after="0"/>
              <w:rPr>
                <w:sz w:val="1"/>
                <w:szCs w:val="1"/>
                <w:color w:val="auto"/>
              </w:rPr>
            </w:pPr>
          </w:p>
        </w:tc>
      </w:tr>
      <w:tr>
        <w:trPr>
          <w:trHeight w:val="159"/>
        </w:trPr>
        <w:tc>
          <w:tcPr>
            <w:tcW w:w="72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6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2"/>
          </w:tcPr>
          <w:p>
            <w:pPr>
              <w:jc w:val="center"/>
              <w:ind w:left="84"/>
              <w:spacing w:after="0" w:line="159" w:lineRule="exact"/>
              <w:rPr>
                <w:sz w:val="20"/>
                <w:szCs w:val="20"/>
                <w:color w:val="auto"/>
              </w:rPr>
            </w:pPr>
            <w:r>
              <w:rPr>
                <w:rFonts w:ascii="Arial" w:cs="Arial" w:eastAsia="Arial" w:hAnsi="Arial"/>
                <w:sz w:val="14"/>
                <w:szCs w:val="14"/>
                <w:color w:val="auto"/>
                <w:w w:val="84"/>
              </w:rPr>
              <w:t>September 30</w:t>
            </w:r>
          </w:p>
        </w:tc>
        <w:tc>
          <w:tcPr>
            <w:tcW w:w="0" w:type="dxa"/>
            <w:vAlign w:val="bottom"/>
          </w:tcPr>
          <w:p>
            <w:pPr>
              <w:spacing w:after="0"/>
              <w:rPr>
                <w:sz w:val="1"/>
                <w:szCs w:val="1"/>
                <w:color w:val="auto"/>
              </w:rPr>
            </w:pPr>
          </w:p>
        </w:tc>
      </w:tr>
      <w:tr>
        <w:trPr>
          <w:trHeight w:val="142"/>
        </w:trPr>
        <w:tc>
          <w:tcPr>
            <w:tcW w:w="722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04"/>
              <w:spacing w:after="0" w:line="142" w:lineRule="exact"/>
              <w:rPr>
                <w:sz w:val="20"/>
                <w:szCs w:val="20"/>
                <w:color w:val="auto"/>
              </w:rPr>
            </w:pPr>
            <w:r>
              <w:rPr>
                <w:rFonts w:ascii="Arial" w:cs="Arial" w:eastAsia="Arial" w:hAnsi="Arial"/>
                <w:sz w:val="14"/>
                <w:szCs w:val="14"/>
                <w:color w:val="auto"/>
                <w:w w:val="89"/>
              </w:rPr>
              <w:t>2014</w:t>
            </w:r>
          </w:p>
        </w:tc>
        <w:tc>
          <w:tcPr>
            <w:tcW w:w="3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19"/>
              <w:spacing w:after="0" w:line="142" w:lineRule="exact"/>
              <w:rPr>
                <w:sz w:val="20"/>
                <w:szCs w:val="20"/>
                <w:color w:val="auto"/>
              </w:rPr>
            </w:pPr>
            <w:r>
              <w:rPr>
                <w:rFonts w:ascii="Arial" w:cs="Arial" w:eastAsia="Arial" w:hAnsi="Arial"/>
                <w:sz w:val="14"/>
                <w:szCs w:val="14"/>
                <w:color w:val="auto"/>
                <w:w w:val="83"/>
              </w:rPr>
              <w:t>2013</w:t>
            </w:r>
          </w:p>
        </w:tc>
        <w:tc>
          <w:tcPr>
            <w:tcW w:w="10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2014</w:t>
            </w:r>
          </w:p>
        </w:tc>
        <w:tc>
          <w:tcPr>
            <w:tcW w:w="900" w:type="dxa"/>
            <w:vAlign w:val="bottom"/>
            <w:tcBorders>
              <w:bottom w:val="single" w:sz="8" w:color="auto"/>
            </w:tcBorders>
          </w:tcPr>
          <w:p>
            <w:pPr>
              <w:jc w:val="center"/>
              <w:ind w:left="99"/>
              <w:spacing w:after="0" w:line="142" w:lineRule="exact"/>
              <w:rPr>
                <w:sz w:val="20"/>
                <w:szCs w:val="20"/>
                <w:color w:val="auto"/>
              </w:rPr>
            </w:pPr>
            <w:r>
              <w:rPr>
                <w:rFonts w:ascii="Arial" w:cs="Arial" w:eastAsia="Arial" w:hAnsi="Arial"/>
                <w:sz w:val="14"/>
                <w:szCs w:val="14"/>
                <w:color w:val="auto"/>
                <w:w w:val="89"/>
              </w:rPr>
              <w:t>2013</w:t>
            </w:r>
          </w:p>
        </w:tc>
        <w:tc>
          <w:tcPr>
            <w:tcW w:w="0" w:type="dxa"/>
            <w:vAlign w:val="bottom"/>
          </w:tcPr>
          <w:p>
            <w:pPr>
              <w:spacing w:after="0"/>
              <w:rPr>
                <w:sz w:val="1"/>
                <w:szCs w:val="1"/>
                <w:color w:val="auto"/>
              </w:rPr>
            </w:pPr>
          </w:p>
        </w:tc>
      </w:tr>
      <w:tr>
        <w:trPr>
          <w:trHeight w:val="210"/>
        </w:trPr>
        <w:tc>
          <w:tcPr>
            <w:tcW w:w="7220" w:type="dxa"/>
            <w:vAlign w:val="bottom"/>
            <w:shd w:val="clear" w:color="auto" w:fill="E5E5E5"/>
          </w:tcPr>
          <w:p>
            <w:pPr>
              <w:spacing w:after="0"/>
              <w:rPr>
                <w:sz w:val="20"/>
                <w:szCs w:val="20"/>
                <w:color w:val="auto"/>
              </w:rPr>
            </w:pPr>
            <w:r>
              <w:rPr>
                <w:rFonts w:ascii="Arial" w:cs="Arial" w:eastAsia="Arial" w:hAnsi="Arial"/>
                <w:sz w:val="18"/>
                <w:szCs w:val="18"/>
                <w:color w:val="auto"/>
              </w:rPr>
              <w:t>Interest</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84"/>
              <w:spacing w:after="0"/>
              <w:rPr>
                <w:sz w:val="20"/>
                <w:szCs w:val="20"/>
                <w:color w:val="auto"/>
              </w:rPr>
            </w:pPr>
            <w:r>
              <w:rPr>
                <w:rFonts w:ascii="Arial" w:cs="Arial" w:eastAsia="Arial" w:hAnsi="Arial"/>
                <w:sz w:val="18"/>
                <w:szCs w:val="18"/>
                <w:color w:val="auto"/>
              </w:rPr>
              <w:t>656</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79"/>
              <w:spacing w:after="0"/>
              <w:rPr>
                <w:sz w:val="20"/>
                <w:szCs w:val="20"/>
                <w:color w:val="auto"/>
              </w:rPr>
            </w:pPr>
            <w:r>
              <w:rPr>
                <w:rFonts w:ascii="Arial" w:cs="Arial" w:eastAsia="Arial" w:hAnsi="Arial"/>
                <w:sz w:val="18"/>
                <w:szCs w:val="18"/>
                <w:color w:val="auto"/>
              </w:rPr>
              <w:t>636</w:t>
            </w:r>
          </w:p>
        </w:tc>
        <w:tc>
          <w:tcPr>
            <w:tcW w:w="10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9"/>
              </w:rPr>
              <w:t>$ 1,820</w:t>
            </w:r>
          </w:p>
        </w:tc>
        <w:tc>
          <w:tcPr>
            <w:tcW w:w="900" w:type="dxa"/>
            <w:vAlign w:val="bottom"/>
            <w:shd w:val="clear" w:color="auto" w:fill="E5E5E5"/>
          </w:tcPr>
          <w:p>
            <w:pPr>
              <w:jc w:val="center"/>
              <w:ind w:left="79"/>
              <w:spacing w:after="0"/>
              <w:rPr>
                <w:sz w:val="20"/>
                <w:szCs w:val="20"/>
                <w:color w:val="auto"/>
              </w:rPr>
            </w:pPr>
            <w:r>
              <w:rPr>
                <w:rFonts w:ascii="Arial" w:cs="Arial" w:eastAsia="Arial" w:hAnsi="Arial"/>
                <w:sz w:val="18"/>
                <w:szCs w:val="18"/>
                <w:color w:val="auto"/>
                <w:w w:val="89"/>
              </w:rPr>
              <w:t>$ 1,768</w:t>
            </w:r>
          </w:p>
        </w:tc>
        <w:tc>
          <w:tcPr>
            <w:tcW w:w="0" w:type="dxa"/>
            <w:vAlign w:val="bottom"/>
          </w:tcPr>
          <w:p>
            <w:pPr>
              <w:spacing w:after="0"/>
              <w:rPr>
                <w:sz w:val="1"/>
                <w:szCs w:val="1"/>
                <w:color w:val="auto"/>
              </w:rPr>
            </w:pPr>
          </w:p>
        </w:tc>
      </w:tr>
      <w:tr>
        <w:trPr>
          <w:trHeight w:val="216"/>
        </w:trPr>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84"/>
              <w:spacing w:after="0"/>
              <w:rPr>
                <w:sz w:val="20"/>
                <w:szCs w:val="20"/>
                <w:color w:val="auto"/>
              </w:rPr>
            </w:pPr>
            <w:r>
              <w:rPr>
                <w:rFonts w:ascii="Arial" w:cs="Arial" w:eastAsia="Arial" w:hAnsi="Arial"/>
                <w:sz w:val="18"/>
                <w:szCs w:val="18"/>
                <w:color w:val="auto"/>
              </w:rPr>
              <w:t>974</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rPr>
              <w:t>958</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$ 2,878</w:t>
            </w:r>
          </w:p>
        </w:tc>
        <w:tc>
          <w:tcPr>
            <w:tcW w:w="900" w:type="dxa"/>
            <w:vAlign w:val="bottom"/>
            <w:tcBorders>
              <w:bottom w:val="single" w:sz="8" w:color="auto"/>
            </w:tcBorders>
          </w:tcPr>
          <w:p>
            <w:pPr>
              <w:jc w:val="center"/>
              <w:ind w:left="79"/>
              <w:spacing w:after="0"/>
              <w:rPr>
                <w:sz w:val="20"/>
                <w:szCs w:val="20"/>
                <w:color w:val="auto"/>
              </w:rPr>
            </w:pPr>
            <w:r>
              <w:rPr>
                <w:rFonts w:ascii="Arial" w:cs="Arial" w:eastAsia="Arial" w:hAnsi="Arial"/>
                <w:sz w:val="18"/>
                <w:szCs w:val="18"/>
                <w:color w:val="auto"/>
                <w:w w:val="89"/>
              </w:rPr>
              <w:t>$ 3,180</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2014:</w:t>
      </w:r>
    </w:p>
    <w:p>
      <w:pPr>
        <w:spacing w:after="0" w:line="77" w:lineRule="exact"/>
        <w:rPr>
          <w:sz w:val="20"/>
          <w:szCs w:val="20"/>
          <w:color w:val="auto"/>
        </w:rPr>
      </w:pPr>
    </w:p>
    <w:p>
      <w:pPr>
        <w:ind w:left="1020" w:hanging="21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acquired $847 million of property and equipment and intangible assets that were accrued but unpaid</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recorded a liability of $580 million for a quarterly cash dividend of $0.225 per common share paid in October 2014</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used $3.2 billion of equity securities to settle our obligations under certain prepaid forward sale agreements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Commitments and Contingencies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Antitrust Cases</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defendants in two purported class actions originally filed in December 2003 in the United States District Courts for the District of Massachusetts and the Eastern District of Pennsylvania. The potential class in the Massachusetts case, which has been transferred to the Eastern District of Pennsylvania, is our customer base in the “Boston Cluster” area, and the potential class in the Pennsylvania case is our customer base in the “Philadelphia and Chicago Clusters,” as those terms are defined in the complaints. In each case, the plaintiffs allege that certain customer exchange transactions with other cable providers resulted in unlawful horizontal market restraints in those areas and seek damages under antitrust statutes, including treble damages.</w:t>
      </w:r>
    </w:p>
    <w:p>
      <w:pPr>
        <w:spacing w:after="0" w:line="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Classes of Chicago Cluster and Philadelphia Cluster customers were certified in October 2007 and January 2010, respectively. We appealed the class certification in the Philadelphia Cluster case to the Third Circuit Court of Appeals, which affirmed the class certification in August 2011. In June 2012, the U.S. Supreme Court granted our petition to review the Third Circuit Court of Appeals’ ruling and in March 2013, the Supreme Court ruled that the class had been improperly certified and reversed the judgment of the Third Circuit. The matter has been returned to the District Court for action consistent with the Supreme Court’s opinion. In August 2013, the plaintiffs in the Philadelphia Cluster case moved to certify a new, smaller class, which we opposed in January 2014. The parties have been discussing possible resolution of the Philadelphia Cluster case. Accordingly, in February 2014, the plaintiff filed an unopposed motion to stay the case, which the District Court granted. In April 2014, the District Court granted our unopposed motion to de-certify the Chicago Cluster class and the plaintiffs’ unopposed motion to amend the Pennsylvania case so as to dismiss claims relating to the Chicago Cluster. In April 2014, lead counsel for the Boston Cluster cases withdrew, and in June 2014, new counsel requested the Boston Cluster cases be transferred to the federal court in Boston, which we have opposed.</w:t>
      </w:r>
    </w:p>
    <w:p>
      <w:pPr>
        <w:spacing w:after="0" w:line="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we are the defendant in 22 purported class actions filed in federal district courts throughout the country. All of these actions have been consolidated by the Judicial Panel on Multidistrict Litigation in the United States District Court for the Eastern District of Pennsylvania for pre-trial proceedings. In a consolidated complaint filed in November 2009 on behalf of all plaintiffs in the multidistrict litigation, the plaintiffs allege that we improperly “tie” the rental of set-top boxes to the provision of premium cable services in violation of Section 1 of the Sherman Antitrust Act, various state antitrust laws and unfair/deceptive trade practices acts in California, Illinois and Alabama. The plaintiffs also allege a claim for unjust enrichment and seek relief on behalf of a nationwide class of our premium cable customers and on behalf of subclasses consisting of premium cable customers from California, Alabama, Illinois, Pennsylvania and Washington. In January 2010, we moved to compel arbitration of the plaintiffs’ claims for unjust enrichment and violations of the unfair/deceptive trade practices acts of Illinois and Alabama. In September 2010, the plaintiffs filed an amended complaint alleging violations of additional state antitrust laws and unfair/deceptive trade practices acts on behalf of new subclasses in Connecticut, Florida, Minnesota, Missouri, New Jersey, New Mexico and West Virginia. In the amended complaint, plaintiffs omitted their unjust enrichment claim, as well as their state law claims on behalf of the Alabama, Illinois and Pennsylvania subclasses. In June 2011, the plaintiffs filed another amended complaint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alleging only violations of Section 1 of the Sherman Antitrust Act, antitrust law in Washington and unfair/deceptive trade practices acts in California and Washington. The plaintiffs seek relief on behalf of a nationwide class of our premium cable customers and on behalf of subclasses consisting of premium cable customers from California and Washington. In July 2011, we moved to compel arbitration of most of the plaintiffs’ claims and to stay the remaining claims pending arbitration. The West Virginia Attorney General also filed a complaint in West Virginia state court in July 2009 alleging that we improperly “tie” the rental of set-top boxes to the provision of digital cable services in violation of the West Virginia Antitrust Act and the West Virginia Consumer Credit and Protection Act. The Attorney General also alleges a claim for unjust enrichment/restitution. We removed the case to the United States District Court for West Virginia, and it was subsequently transferred to the United States District Court for the Eastern District of Pennsylvania and consolidated with the multidistrict litigation described above. Although a comprehensive settlement agreement for all 23 cases that had been submitted to the District Court for preliminary approval in June 2013 was withdrawn in October 2014, we do not expect these cases to have a material effect on our results of operations, cash flows or financial position.</w:t>
      </w:r>
    </w:p>
    <w:p>
      <w:pPr>
        <w:spacing w:after="0" w:line="25"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We believe the claims in each of the pending actions described above in this item are without merit, except as otherwise set forth above, and intend to defend the actions vigorously. We cannot predict the outcome of any of the actions described above, including a range of possible loss, or how the final resolution of any such actions would impact our results of operations or cash flows for any one period or our financial position. In addition, as any action nears a trial, there is an increased possibility that the action may be settled by the parties. Nevertheless, the final disposition of any of the above actions is not expected to have a material adverse effect on our consolidated financial position, but could possibly be material to our consolidated results of operations or cash flows for any one period.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We are also subject to other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 consuming and injure our reputation.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Financial Data by Business Segment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five reportable business segments:</w:t>
      </w:r>
    </w:p>
    <w:p>
      <w:pPr>
        <w:spacing w:after="0" w:line="71" w:lineRule="exact"/>
        <w:rPr>
          <w:sz w:val="20"/>
          <w:szCs w:val="20"/>
          <w:color w:val="auto"/>
        </w:rPr>
      </w:pPr>
    </w:p>
    <w:p>
      <w:pPr>
        <w:jc w:val="both"/>
        <w:ind w:left="1020" w:right="1240" w:hanging="215"/>
        <w:spacing w:after="0" w:line="262"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the nation’s largest provider of video, high-speed</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and voice services to residential customers under the XFINITY brand, and we also provide similar services to businesses and sell advertising.</w:t>
      </w:r>
    </w:p>
    <w:p>
      <w:pPr>
        <w:spacing w:after="0" w:line="37" w:lineRule="exact"/>
        <w:rPr>
          <w:rFonts w:ascii="Arial" w:cs="Arial" w:eastAsia="Arial" w:hAnsi="Arial"/>
          <w:sz w:val="18"/>
          <w:szCs w:val="18"/>
          <w:color w:val="auto"/>
        </w:rPr>
      </w:pPr>
    </w:p>
    <w:p>
      <w:pPr>
        <w:ind w:left="1020" w:right="1260" w:hanging="215"/>
        <w:spacing w:after="0" w:line="27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networks, our international cable</w:t>
      </w:r>
      <w:r>
        <w:rPr>
          <w:rFonts w:ascii="Arial" w:cs="Arial" w:eastAsia="Arial" w:hAnsi="Arial"/>
          <w:sz w:val="18"/>
          <w:szCs w:val="18"/>
          <w:b w:val="1"/>
          <w:bCs w:val="1"/>
          <w:color w:val="auto"/>
        </w:rPr>
        <w:t xml:space="preserve"> </w:t>
      </w:r>
      <w:r>
        <w:rPr>
          <w:rFonts w:ascii="Arial" w:cs="Arial" w:eastAsia="Arial" w:hAnsi="Arial"/>
          <w:sz w:val="18"/>
          <w:szCs w:val="18"/>
          <w:color w:val="auto"/>
        </w:rPr>
        <w:t>networks and our cable television production operations.</w:t>
      </w:r>
    </w:p>
    <w:p>
      <w:pPr>
        <w:spacing w:after="0" w:line="25" w:lineRule="exact"/>
        <w:rPr>
          <w:rFonts w:ascii="Arial" w:cs="Arial" w:eastAsia="Arial" w:hAnsi="Arial"/>
          <w:sz w:val="18"/>
          <w:szCs w:val="18"/>
          <w:color w:val="auto"/>
        </w:rPr>
      </w:pPr>
    </w:p>
    <w:p>
      <w:pPr>
        <w:ind w:left="1020" w:right="1260" w:hanging="215"/>
        <w:spacing w:after="0" w:line="27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NBC and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and our broadcast television production operations.</w:t>
      </w:r>
    </w:p>
    <w:p>
      <w:pPr>
        <w:spacing w:after="0" w:line="25" w:lineRule="exact"/>
        <w:rPr>
          <w:rFonts w:ascii="Arial" w:cs="Arial" w:eastAsia="Arial" w:hAnsi="Arial"/>
          <w:sz w:val="18"/>
          <w:szCs w:val="18"/>
          <w:color w:val="auto"/>
        </w:rPr>
      </w:pPr>
    </w:p>
    <w:p>
      <w:pPr>
        <w:ind w:left="1020" w:right="1240" w:hanging="215"/>
        <w:spacing w:after="0" w:line="27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studio operations of Universal Pictures, which produces, acquires, markets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distributes filmed entertainment worldwide.</w:t>
      </w:r>
    </w:p>
    <w:p>
      <w:pPr>
        <w:spacing w:after="0" w:line="25" w:lineRule="exact"/>
        <w:rPr>
          <w:rFonts w:ascii="Arial" w:cs="Arial" w:eastAsia="Arial" w:hAnsi="Arial"/>
          <w:sz w:val="18"/>
          <w:szCs w:val="18"/>
          <w:color w:val="auto"/>
        </w:rPr>
      </w:pPr>
    </w:p>
    <w:p>
      <w:pPr>
        <w:ind w:left="1020" w:hanging="21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and Hollywood.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evaluating the profitability of our operating segments, the components of net income (loss) below operating income (loss) before depreciation and amortization are not separately evaluated by our management. Our financial data by business segment is presented in the tables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4"/>
                <w:szCs w:val="14"/>
                <w:color w:val="auto"/>
              </w:rPr>
              <w:t>Three Months Ended September 30, 2014</w:t>
            </w:r>
          </w:p>
        </w:tc>
        <w:tc>
          <w:tcPr>
            <w:tcW w:w="10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00" w:type="dxa"/>
            <w:vAlign w:val="bottom"/>
            <w:gridSpan w:val="2"/>
          </w:tcPr>
          <w:p>
            <w:pPr>
              <w:ind w:left="480"/>
              <w:spacing w:after="0" w:line="131" w:lineRule="exact"/>
              <w:rPr>
                <w:sz w:val="20"/>
                <w:szCs w:val="20"/>
                <w:color w:val="auto"/>
              </w:rPr>
            </w:pPr>
            <w:r>
              <w:rPr>
                <w:rFonts w:ascii="Arial" w:cs="Arial" w:eastAsia="Arial" w:hAnsi="Arial"/>
                <w:sz w:val="14"/>
                <w:szCs w:val="14"/>
                <w:color w:val="auto"/>
              </w:rPr>
              <w:t>Operating Income (Loss)</w:t>
            </w:r>
          </w:p>
        </w:tc>
        <w:tc>
          <w:tcPr>
            <w:tcW w:w="1600" w:type="dxa"/>
            <w:vAlign w:val="bottom"/>
            <w:gridSpan w:val="2"/>
          </w:tcPr>
          <w:p>
            <w:pPr>
              <w:ind w:left="340"/>
              <w:spacing w:after="0" w:line="131" w:lineRule="exact"/>
              <w:rPr>
                <w:sz w:val="20"/>
                <w:szCs w:val="20"/>
                <w:color w:val="auto"/>
              </w:rPr>
            </w:pPr>
            <w:r>
              <w:rPr>
                <w:rFonts w:ascii="Arial" w:cs="Arial" w:eastAsia="Arial" w:hAnsi="Arial"/>
                <w:sz w:val="14"/>
                <w:szCs w:val="14"/>
                <w:color w:val="auto"/>
              </w:rPr>
              <w:t>Depreciation</w:t>
            </w:r>
          </w:p>
        </w:tc>
        <w:tc>
          <w:tcPr>
            <w:tcW w:w="1060" w:type="dxa"/>
            <w:vAlign w:val="bottom"/>
          </w:tcPr>
          <w:p>
            <w:pPr>
              <w:jc w:val="center"/>
              <w:ind w:right="157"/>
              <w:spacing w:after="0" w:line="131" w:lineRule="exact"/>
              <w:rPr>
                <w:sz w:val="20"/>
                <w:szCs w:val="20"/>
                <w:color w:val="auto"/>
              </w:rPr>
            </w:pPr>
            <w:r>
              <w:rPr>
                <w:rFonts w:ascii="Arial" w:cs="Arial" w:eastAsia="Arial" w:hAnsi="Arial"/>
                <w:sz w:val="14"/>
                <w:szCs w:val="14"/>
                <w:color w:val="auto"/>
                <w:w w:val="87"/>
              </w:rPr>
              <w:t>Operating</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40" w:type="dxa"/>
            <w:vAlign w:val="bottom"/>
          </w:tcPr>
          <w:p>
            <w:pPr>
              <w:spacing w:after="0"/>
              <w:rPr>
                <w:sz w:val="11"/>
                <w:szCs w:val="11"/>
                <w:color w:val="auto"/>
              </w:rPr>
            </w:pPr>
          </w:p>
        </w:tc>
        <w:tc>
          <w:tcPr>
            <w:tcW w:w="1400" w:type="dxa"/>
            <w:vAlign w:val="bottom"/>
            <w:vMerge w:val="restart"/>
          </w:tcPr>
          <w:p>
            <w:pPr>
              <w:jc w:val="right"/>
              <w:ind w:right="134"/>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(e)</w:t>
            </w:r>
          </w:p>
        </w:tc>
        <w:tc>
          <w:tcPr>
            <w:tcW w:w="2200" w:type="dxa"/>
            <w:vAlign w:val="bottom"/>
            <w:gridSpan w:val="2"/>
          </w:tcPr>
          <w:p>
            <w:pPr>
              <w:ind w:left="480"/>
              <w:spacing w:after="0" w:line="133" w:lineRule="exact"/>
              <w:rPr>
                <w:sz w:val="20"/>
                <w:szCs w:val="20"/>
                <w:color w:val="auto"/>
              </w:rPr>
            </w:pPr>
            <w:r>
              <w:rPr>
                <w:rFonts w:ascii="Arial" w:cs="Arial" w:eastAsia="Arial" w:hAnsi="Arial"/>
                <w:sz w:val="14"/>
                <w:szCs w:val="14"/>
                <w:color w:val="auto"/>
              </w:rPr>
              <w:t>Before Depreciation and</w:t>
            </w:r>
          </w:p>
        </w:tc>
        <w:tc>
          <w:tcPr>
            <w:tcW w:w="500" w:type="dxa"/>
            <w:vAlign w:val="bottom"/>
          </w:tcPr>
          <w:p>
            <w:pPr>
              <w:spacing w:after="0"/>
              <w:rPr>
                <w:sz w:val="11"/>
                <w:szCs w:val="11"/>
                <w:color w:val="auto"/>
              </w:rPr>
            </w:pPr>
          </w:p>
        </w:tc>
        <w:tc>
          <w:tcPr>
            <w:tcW w:w="1100" w:type="dxa"/>
            <w:vAlign w:val="bottom"/>
          </w:tcPr>
          <w:p>
            <w:pPr>
              <w:jc w:val="right"/>
              <w:ind w:right="734"/>
              <w:spacing w:after="0" w:line="133" w:lineRule="exact"/>
              <w:rPr>
                <w:sz w:val="20"/>
                <w:szCs w:val="20"/>
                <w:color w:val="auto"/>
              </w:rPr>
            </w:pPr>
            <w:r>
              <w:rPr>
                <w:rFonts w:ascii="Arial" w:cs="Arial" w:eastAsia="Arial" w:hAnsi="Arial"/>
                <w:sz w:val="14"/>
                <w:szCs w:val="14"/>
                <w:color w:val="auto"/>
              </w:rPr>
              <w:t>and</w:t>
            </w:r>
          </w:p>
        </w:tc>
        <w:tc>
          <w:tcPr>
            <w:tcW w:w="1060" w:type="dxa"/>
            <w:vAlign w:val="bottom"/>
          </w:tcPr>
          <w:p>
            <w:pPr>
              <w:jc w:val="center"/>
              <w:ind w:right="157"/>
              <w:spacing w:after="0" w:line="133" w:lineRule="exact"/>
              <w:rPr>
                <w:sz w:val="20"/>
                <w:szCs w:val="20"/>
                <w:color w:val="auto"/>
              </w:rPr>
            </w:pPr>
            <w:r>
              <w:rPr>
                <w:rFonts w:ascii="Arial" w:cs="Arial" w:eastAsia="Arial" w:hAnsi="Arial"/>
                <w:sz w:val="14"/>
                <w:szCs w:val="14"/>
                <w:color w:val="auto"/>
                <w:w w:val="91"/>
              </w:rPr>
              <w:t>Income</w:t>
            </w:r>
          </w:p>
        </w:tc>
        <w:tc>
          <w:tcPr>
            <w:tcW w:w="44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4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40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5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(f)</w:t>
            </w:r>
          </w:p>
        </w:tc>
        <w:tc>
          <w:tcPr>
            <w:tcW w:w="160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Amortization</w:t>
            </w: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color w:val="auto"/>
                <w:w w:val="87"/>
              </w:rPr>
              <w:t>(Loss)</w:t>
            </w:r>
          </w:p>
        </w:tc>
        <w:tc>
          <w:tcPr>
            <w:tcW w:w="11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404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4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$ 11,041</w:t>
            </w:r>
          </w:p>
        </w:tc>
        <w:tc>
          <w:tcPr>
            <w:tcW w:w="640" w:type="dxa"/>
            <w:vAlign w:val="bottom"/>
            <w:shd w:val="clear" w:color="auto" w:fill="E5E5E5"/>
          </w:tcPr>
          <w:p>
            <w:pPr>
              <w:ind w:left="4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4,464</w:t>
            </w:r>
          </w:p>
        </w:tc>
        <w:tc>
          <w:tcPr>
            <w:tcW w:w="50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5E5E5"/>
          </w:tcPr>
          <w:p>
            <w:pPr>
              <w:jc w:val="right"/>
              <w:ind w:right="454"/>
              <w:spacing w:after="0"/>
              <w:rPr>
                <w:sz w:val="20"/>
                <w:szCs w:val="20"/>
                <w:color w:val="auto"/>
              </w:rPr>
            </w:pPr>
            <w:r>
              <w:rPr>
                <w:rFonts w:ascii="Arial" w:cs="Arial" w:eastAsia="Arial" w:hAnsi="Arial"/>
                <w:sz w:val="18"/>
                <w:szCs w:val="18"/>
                <w:color w:val="auto"/>
              </w:rPr>
              <w:t>1,561</w:t>
            </w:r>
          </w:p>
        </w:tc>
        <w:tc>
          <w:tcPr>
            <w:tcW w:w="106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$ 2,903</w:t>
            </w:r>
          </w:p>
        </w:tc>
        <w:tc>
          <w:tcPr>
            <w:tcW w:w="44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NBCUniversal</w:t>
            </w:r>
          </w:p>
        </w:tc>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(b)</w:t>
            </w:r>
          </w:p>
        </w:tc>
        <w:tc>
          <w:tcPr>
            <w:tcW w:w="14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2,255</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868</w:t>
            </w:r>
          </w:p>
        </w:tc>
        <w:tc>
          <w:tcPr>
            <w:tcW w:w="50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54"/>
              <w:spacing w:after="0"/>
              <w:rPr>
                <w:sz w:val="20"/>
                <w:szCs w:val="20"/>
                <w:color w:val="auto"/>
              </w:rPr>
            </w:pPr>
            <w:r>
              <w:rPr>
                <w:rFonts w:ascii="Arial" w:cs="Arial" w:eastAsia="Arial" w:hAnsi="Arial"/>
                <w:sz w:val="18"/>
                <w:szCs w:val="18"/>
                <w:color w:val="auto"/>
              </w:rPr>
              <w:t>189</w:t>
            </w:r>
          </w:p>
        </w:tc>
        <w:tc>
          <w:tcPr>
            <w:tcW w:w="106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679</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04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1400" w:type="dxa"/>
            <w:vAlign w:val="bottom"/>
          </w:tcPr>
          <w:p>
            <w:pPr>
              <w:jc w:val="right"/>
              <w:ind w:right="134"/>
              <w:spacing w:after="0"/>
              <w:rPr>
                <w:sz w:val="20"/>
                <w:szCs w:val="20"/>
                <w:color w:val="auto"/>
              </w:rPr>
            </w:pPr>
            <w:r>
              <w:rPr>
                <w:rFonts w:ascii="Arial" w:cs="Arial" w:eastAsia="Arial" w:hAnsi="Arial"/>
                <w:sz w:val="18"/>
                <w:szCs w:val="18"/>
                <w:color w:val="auto"/>
              </w:rPr>
              <w:t>1,770</w:t>
            </w:r>
          </w:p>
        </w:tc>
        <w:tc>
          <w:tcPr>
            <w:tcW w:w="640" w:type="dxa"/>
            <w:vAlign w:val="bottom"/>
          </w:tcPr>
          <w:p>
            <w:pPr>
              <w:spacing w:after="0"/>
              <w:rPr>
                <w:sz w:val="18"/>
                <w:szCs w:val="18"/>
                <w:color w:val="auto"/>
              </w:rPr>
            </w:pPr>
          </w:p>
        </w:tc>
        <w:tc>
          <w:tcPr>
            <w:tcW w:w="1560" w:type="dxa"/>
            <w:vAlign w:val="bottom"/>
          </w:tcPr>
          <w:p>
            <w:pPr>
              <w:jc w:val="right"/>
              <w:ind w:right="276"/>
              <w:spacing w:after="0"/>
              <w:rPr>
                <w:sz w:val="20"/>
                <w:szCs w:val="20"/>
                <w:color w:val="auto"/>
              </w:rPr>
            </w:pPr>
            <w:r>
              <w:rPr>
                <w:rFonts w:ascii="Arial" w:cs="Arial" w:eastAsia="Arial" w:hAnsi="Arial"/>
                <w:sz w:val="18"/>
                <w:szCs w:val="18"/>
                <w:color w:val="auto"/>
              </w:rPr>
              <w:t>142</w:t>
            </w:r>
          </w:p>
        </w:tc>
        <w:tc>
          <w:tcPr>
            <w:tcW w:w="500" w:type="dxa"/>
            <w:vAlign w:val="bottom"/>
          </w:tcPr>
          <w:p>
            <w:pPr>
              <w:spacing w:after="0"/>
              <w:rPr>
                <w:sz w:val="18"/>
                <w:szCs w:val="18"/>
                <w:color w:val="auto"/>
              </w:rPr>
            </w:pPr>
          </w:p>
        </w:tc>
        <w:tc>
          <w:tcPr>
            <w:tcW w:w="1100" w:type="dxa"/>
            <w:vAlign w:val="bottom"/>
          </w:tcPr>
          <w:p>
            <w:pPr>
              <w:jc w:val="right"/>
              <w:ind w:right="454"/>
              <w:spacing w:after="0"/>
              <w:rPr>
                <w:sz w:val="20"/>
                <w:szCs w:val="20"/>
                <w:color w:val="auto"/>
              </w:rPr>
            </w:pPr>
            <w:r>
              <w:rPr>
                <w:rFonts w:ascii="Arial" w:cs="Arial" w:eastAsia="Arial" w:hAnsi="Arial"/>
                <w:sz w:val="18"/>
                <w:szCs w:val="18"/>
                <w:color w:val="auto"/>
              </w:rPr>
              <w:t>24</w:t>
            </w:r>
          </w:p>
        </w:tc>
        <w:tc>
          <w:tcPr>
            <w:tcW w:w="1060" w:type="dxa"/>
            <w:vAlign w:val="bottom"/>
          </w:tcPr>
          <w:p>
            <w:pPr>
              <w:jc w:val="right"/>
              <w:ind w:right="297"/>
              <w:spacing w:after="0"/>
              <w:rPr>
                <w:sz w:val="20"/>
                <w:szCs w:val="20"/>
                <w:color w:val="auto"/>
              </w:rPr>
            </w:pPr>
            <w:r>
              <w:rPr>
                <w:rFonts w:ascii="Arial" w:cs="Arial" w:eastAsia="Arial" w:hAnsi="Arial"/>
                <w:sz w:val="18"/>
                <w:szCs w:val="18"/>
                <w:color w:val="auto"/>
              </w:rPr>
              <w:t>118</w:t>
            </w:r>
          </w:p>
        </w:tc>
        <w:tc>
          <w:tcPr>
            <w:tcW w:w="44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0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r>
              <w:rPr>
                <w:rFonts w:ascii="Arial" w:cs="Arial" w:eastAsia="Arial" w:hAnsi="Arial"/>
                <w:sz w:val="11"/>
                <w:szCs w:val="11"/>
                <w:color w:val="auto"/>
              </w:rPr>
              <w:t>(b)</w:t>
            </w:r>
          </w:p>
        </w:tc>
        <w:tc>
          <w:tcPr>
            <w:tcW w:w="14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1,186</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151</w:t>
            </w:r>
          </w:p>
        </w:tc>
        <w:tc>
          <w:tcPr>
            <w:tcW w:w="50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54"/>
              <w:spacing w:after="0"/>
              <w:rPr>
                <w:sz w:val="20"/>
                <w:szCs w:val="20"/>
                <w:color w:val="auto"/>
              </w:rPr>
            </w:pPr>
            <w:r>
              <w:rPr>
                <w:rFonts w:ascii="Arial" w:cs="Arial" w:eastAsia="Arial" w:hAnsi="Arial"/>
                <w:sz w:val="18"/>
                <w:szCs w:val="18"/>
                <w:color w:val="auto"/>
              </w:rPr>
              <w:t>6</w:t>
            </w:r>
          </w:p>
        </w:tc>
        <w:tc>
          <w:tcPr>
            <w:tcW w:w="106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145</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04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1400" w:type="dxa"/>
            <w:vAlign w:val="bottom"/>
          </w:tcPr>
          <w:p>
            <w:pPr>
              <w:jc w:val="right"/>
              <w:ind w:right="134"/>
              <w:spacing w:after="0"/>
              <w:rPr>
                <w:sz w:val="20"/>
                <w:szCs w:val="20"/>
                <w:color w:val="auto"/>
              </w:rPr>
            </w:pPr>
            <w:r>
              <w:rPr>
                <w:rFonts w:ascii="Arial" w:cs="Arial" w:eastAsia="Arial" w:hAnsi="Arial"/>
                <w:sz w:val="18"/>
                <w:szCs w:val="18"/>
                <w:color w:val="auto"/>
              </w:rPr>
              <w:t>786</w:t>
            </w:r>
          </w:p>
        </w:tc>
        <w:tc>
          <w:tcPr>
            <w:tcW w:w="640" w:type="dxa"/>
            <w:vAlign w:val="bottom"/>
          </w:tcPr>
          <w:p>
            <w:pPr>
              <w:spacing w:after="0"/>
              <w:rPr>
                <w:sz w:val="18"/>
                <w:szCs w:val="18"/>
                <w:color w:val="auto"/>
              </w:rPr>
            </w:pPr>
          </w:p>
        </w:tc>
        <w:tc>
          <w:tcPr>
            <w:tcW w:w="1560" w:type="dxa"/>
            <w:vAlign w:val="bottom"/>
          </w:tcPr>
          <w:p>
            <w:pPr>
              <w:jc w:val="right"/>
              <w:ind w:right="276"/>
              <w:spacing w:after="0"/>
              <w:rPr>
                <w:sz w:val="20"/>
                <w:szCs w:val="20"/>
                <w:color w:val="auto"/>
              </w:rPr>
            </w:pPr>
            <w:r>
              <w:rPr>
                <w:rFonts w:ascii="Arial" w:cs="Arial" w:eastAsia="Arial" w:hAnsi="Arial"/>
                <w:sz w:val="18"/>
                <w:szCs w:val="18"/>
                <w:color w:val="auto"/>
              </w:rPr>
              <w:t>402</w:t>
            </w:r>
          </w:p>
        </w:tc>
        <w:tc>
          <w:tcPr>
            <w:tcW w:w="500" w:type="dxa"/>
            <w:vAlign w:val="bottom"/>
          </w:tcPr>
          <w:p>
            <w:pPr>
              <w:spacing w:after="0"/>
              <w:rPr>
                <w:sz w:val="18"/>
                <w:szCs w:val="18"/>
                <w:color w:val="auto"/>
              </w:rPr>
            </w:pPr>
          </w:p>
        </w:tc>
        <w:tc>
          <w:tcPr>
            <w:tcW w:w="1100" w:type="dxa"/>
            <w:vAlign w:val="bottom"/>
          </w:tcPr>
          <w:p>
            <w:pPr>
              <w:jc w:val="right"/>
              <w:ind w:right="454"/>
              <w:spacing w:after="0"/>
              <w:rPr>
                <w:sz w:val="20"/>
                <w:szCs w:val="20"/>
                <w:color w:val="auto"/>
              </w:rPr>
            </w:pPr>
            <w:r>
              <w:rPr>
                <w:rFonts w:ascii="Arial" w:cs="Arial" w:eastAsia="Arial" w:hAnsi="Arial"/>
                <w:sz w:val="18"/>
                <w:szCs w:val="18"/>
                <w:color w:val="auto"/>
              </w:rPr>
              <w:t>68</w:t>
            </w:r>
          </w:p>
        </w:tc>
        <w:tc>
          <w:tcPr>
            <w:tcW w:w="1060" w:type="dxa"/>
            <w:vAlign w:val="bottom"/>
          </w:tcPr>
          <w:p>
            <w:pPr>
              <w:jc w:val="right"/>
              <w:ind w:right="297"/>
              <w:spacing w:after="0"/>
              <w:rPr>
                <w:sz w:val="20"/>
                <w:szCs w:val="20"/>
                <w:color w:val="auto"/>
              </w:rPr>
            </w:pPr>
            <w:r>
              <w:rPr>
                <w:rFonts w:ascii="Arial" w:cs="Arial" w:eastAsia="Arial" w:hAnsi="Arial"/>
                <w:sz w:val="18"/>
                <w:szCs w:val="18"/>
                <w:color w:val="auto"/>
              </w:rPr>
              <w:t>334</w:t>
            </w:r>
          </w:p>
        </w:tc>
        <w:tc>
          <w:tcPr>
            <w:tcW w:w="44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40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(c)</w:t>
            </w:r>
          </w:p>
        </w:tc>
        <w:tc>
          <w:tcPr>
            <w:tcW w:w="14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4</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(142)</w:t>
            </w:r>
          </w:p>
        </w:tc>
        <w:tc>
          <w:tcPr>
            <w:tcW w:w="50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54"/>
              <w:spacing w:after="0"/>
              <w:rPr>
                <w:sz w:val="20"/>
                <w:szCs w:val="20"/>
                <w:color w:val="auto"/>
              </w:rPr>
            </w:pPr>
            <w:r>
              <w:rPr>
                <w:rFonts w:ascii="Arial" w:cs="Arial" w:eastAsia="Arial" w:hAnsi="Arial"/>
                <w:sz w:val="18"/>
                <w:szCs w:val="18"/>
                <w:color w:val="auto"/>
              </w:rPr>
              <w:t>84</w:t>
            </w:r>
          </w:p>
        </w:tc>
        <w:tc>
          <w:tcPr>
            <w:tcW w:w="106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rPr>
              <w:t>(226)</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14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(80)</w:t>
            </w:r>
          </w:p>
        </w:tc>
        <w:tc>
          <w:tcPr>
            <w:tcW w:w="6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rPr>
              <w:t>(5)</w:t>
            </w: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(5)</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4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4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5,921</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1,416</w:t>
            </w:r>
          </w:p>
        </w:tc>
        <w:tc>
          <w:tcPr>
            <w:tcW w:w="50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54"/>
              <w:spacing w:after="0"/>
              <w:rPr>
                <w:sz w:val="20"/>
                <w:szCs w:val="20"/>
                <w:color w:val="auto"/>
              </w:rPr>
            </w:pPr>
            <w:r>
              <w:rPr>
                <w:rFonts w:ascii="Arial" w:cs="Arial" w:eastAsia="Arial" w:hAnsi="Arial"/>
                <w:sz w:val="18"/>
                <w:szCs w:val="18"/>
                <w:color w:val="auto"/>
              </w:rPr>
              <w:t>371</w:t>
            </w:r>
          </w:p>
        </w:tc>
        <w:tc>
          <w:tcPr>
            <w:tcW w:w="106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1,045</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Corporate and Other</w:t>
            </w:r>
          </w:p>
        </w:tc>
        <w:tc>
          <w:tcPr>
            <w:tcW w:w="1400" w:type="dxa"/>
            <w:vAlign w:val="bottom"/>
          </w:tcPr>
          <w:p>
            <w:pPr>
              <w:jc w:val="right"/>
              <w:ind w:right="134"/>
              <w:spacing w:after="0"/>
              <w:rPr>
                <w:sz w:val="20"/>
                <w:szCs w:val="20"/>
                <w:color w:val="auto"/>
              </w:rPr>
            </w:pPr>
            <w:r>
              <w:rPr>
                <w:rFonts w:ascii="Arial" w:cs="Arial" w:eastAsia="Arial" w:hAnsi="Arial"/>
                <w:sz w:val="18"/>
                <w:szCs w:val="18"/>
                <w:color w:val="auto"/>
              </w:rPr>
              <w:t>174</w:t>
            </w:r>
          </w:p>
        </w:tc>
        <w:tc>
          <w:tcPr>
            <w:tcW w:w="640" w:type="dxa"/>
            <w:vAlign w:val="bottom"/>
          </w:tcPr>
          <w:p>
            <w:pPr>
              <w:spacing w:after="0"/>
              <w:rPr>
                <w:sz w:val="18"/>
                <w:szCs w:val="18"/>
                <w:color w:val="auto"/>
              </w:rPr>
            </w:pPr>
          </w:p>
        </w:tc>
        <w:tc>
          <w:tcPr>
            <w:tcW w:w="1560" w:type="dxa"/>
            <w:vAlign w:val="bottom"/>
          </w:tcPr>
          <w:p>
            <w:pPr>
              <w:jc w:val="right"/>
              <w:ind w:right="216"/>
              <w:spacing w:after="0"/>
              <w:rPr>
                <w:sz w:val="20"/>
                <w:szCs w:val="20"/>
                <w:color w:val="auto"/>
              </w:rPr>
            </w:pPr>
            <w:r>
              <w:rPr>
                <w:rFonts w:ascii="Arial" w:cs="Arial" w:eastAsia="Arial" w:hAnsi="Arial"/>
                <w:sz w:val="18"/>
                <w:szCs w:val="18"/>
                <w:color w:val="auto"/>
              </w:rPr>
              <w:t>(197)</w:t>
            </w:r>
          </w:p>
        </w:tc>
        <w:tc>
          <w:tcPr>
            <w:tcW w:w="500" w:type="dxa"/>
            <w:vAlign w:val="bottom"/>
          </w:tcPr>
          <w:p>
            <w:pPr>
              <w:spacing w:after="0"/>
              <w:rPr>
                <w:sz w:val="18"/>
                <w:szCs w:val="18"/>
                <w:color w:val="auto"/>
              </w:rPr>
            </w:pPr>
          </w:p>
        </w:tc>
        <w:tc>
          <w:tcPr>
            <w:tcW w:w="1100" w:type="dxa"/>
            <w:vAlign w:val="bottom"/>
          </w:tcPr>
          <w:p>
            <w:pPr>
              <w:jc w:val="right"/>
              <w:ind w:right="454"/>
              <w:spacing w:after="0"/>
              <w:rPr>
                <w:sz w:val="20"/>
                <w:szCs w:val="20"/>
                <w:color w:val="auto"/>
              </w:rPr>
            </w:pPr>
            <w:r>
              <w:rPr>
                <w:rFonts w:ascii="Arial" w:cs="Arial" w:eastAsia="Arial" w:hAnsi="Arial"/>
                <w:sz w:val="18"/>
                <w:szCs w:val="18"/>
                <w:color w:val="auto"/>
              </w:rPr>
              <w:t>27</w:t>
            </w:r>
          </w:p>
        </w:tc>
        <w:tc>
          <w:tcPr>
            <w:tcW w:w="1060" w:type="dxa"/>
            <w:vAlign w:val="bottom"/>
          </w:tcPr>
          <w:p>
            <w:pPr>
              <w:jc w:val="right"/>
              <w:ind w:right="237"/>
              <w:spacing w:after="0"/>
              <w:rPr>
                <w:sz w:val="20"/>
                <w:szCs w:val="20"/>
                <w:color w:val="auto"/>
              </w:rPr>
            </w:pPr>
            <w:r>
              <w:rPr>
                <w:rFonts w:ascii="Arial" w:cs="Arial" w:eastAsia="Arial" w:hAnsi="Arial"/>
                <w:sz w:val="18"/>
                <w:szCs w:val="18"/>
                <w:color w:val="auto"/>
              </w:rPr>
              <w:t>(224)</w:t>
            </w:r>
          </w:p>
        </w:tc>
        <w:tc>
          <w:tcPr>
            <w:tcW w:w="44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140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(345)</w:t>
            </w:r>
          </w:p>
        </w:tc>
        <w:tc>
          <w:tcPr>
            <w:tcW w:w="640" w:type="dxa"/>
            <w:vAlign w:val="bottom"/>
            <w:tcBorders>
              <w:bottom w:val="single" w:sz="8" w:color="auto"/>
            </w:tcBorders>
            <w:shd w:val="clear" w:color="auto" w:fill="E5E5E5"/>
          </w:tcPr>
          <w:p>
            <w:pPr>
              <w:spacing w:after="0"/>
              <w:rPr>
                <w:sz w:val="18"/>
                <w:szCs w:val="18"/>
                <w:color w:val="auto"/>
              </w:rPr>
            </w:pPr>
          </w:p>
        </w:tc>
        <w:tc>
          <w:tcPr>
            <w:tcW w:w="1560" w:type="dxa"/>
            <w:vAlign w:val="bottom"/>
            <w:tcBorders>
              <w:bottom w:val="single" w:sz="8" w:color="auto"/>
            </w:tcBorders>
            <w:shd w:val="clear" w:color="auto" w:fill="E5E5E5"/>
          </w:tcPr>
          <w:p>
            <w:pPr>
              <w:jc w:val="right"/>
              <w:ind w:right="276"/>
              <w:spacing w:after="0"/>
              <w:rPr>
                <w:sz w:val="20"/>
                <w:szCs w:val="20"/>
                <w:color w:val="auto"/>
              </w:rPr>
            </w:pPr>
            <w:r>
              <w:rPr>
                <w:rFonts w:ascii="Arial" w:cs="Arial" w:eastAsia="Arial" w:hAnsi="Arial"/>
                <w:sz w:val="18"/>
                <w:szCs w:val="18"/>
                <w:color w:val="auto"/>
              </w:rPr>
              <w:t>21</w:t>
            </w:r>
          </w:p>
        </w:tc>
        <w:tc>
          <w:tcPr>
            <w:tcW w:w="500" w:type="dxa"/>
            <w:vAlign w:val="bottom"/>
            <w:tcBorders>
              <w:bottom w:val="single" w:sz="8" w:color="auto"/>
            </w:tcBorders>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jc w:val="right"/>
              <w:ind w:right="454"/>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5E5E5"/>
          </w:tcPr>
          <w:p>
            <w:pPr>
              <w:jc w:val="right"/>
              <w:ind w:right="297"/>
              <w:spacing w:after="0"/>
              <w:rPr>
                <w:sz w:val="20"/>
                <w:szCs w:val="20"/>
                <w:color w:val="auto"/>
              </w:rPr>
            </w:pPr>
            <w:r>
              <w:rPr>
                <w:rFonts w:ascii="Arial" w:cs="Arial" w:eastAsia="Arial" w:hAnsi="Arial"/>
                <w:sz w:val="18"/>
                <w:szCs w:val="18"/>
                <w:color w:val="auto"/>
              </w:rPr>
              <w:t>21</w:t>
            </w:r>
          </w:p>
        </w:tc>
        <w:tc>
          <w:tcPr>
            <w:tcW w:w="4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Comcast Consolidated</w:t>
            </w:r>
          </w:p>
        </w:tc>
        <w:tc>
          <w:tcPr>
            <w:tcW w:w="14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$ 16,791</w:t>
            </w: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b w:val="1"/>
                <w:bCs w:val="1"/>
                <w:color w:val="auto"/>
              </w:rPr>
              <w:t>5,704</w:t>
            </w: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b w:val="1"/>
                <w:bCs w:val="1"/>
                <w:color w:val="auto"/>
              </w:rPr>
              <w:t>1,959</w:t>
            </w: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b w:val="1"/>
                <w:bCs w:val="1"/>
                <w:color w:val="auto"/>
              </w:rPr>
              <w:t>$ 3,745</w:t>
            </w:r>
          </w:p>
        </w:tc>
        <w:tc>
          <w:tcPr>
            <w:tcW w:w="4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1,950</w:t>
            </w:r>
          </w:p>
        </w:tc>
        <w:tc>
          <w:tcPr>
            <w:tcW w:w="0" w:type="dxa"/>
            <w:vAlign w:val="bottom"/>
          </w:tcPr>
          <w:p>
            <w:pPr>
              <w:spacing w:after="0"/>
              <w:rPr>
                <w:sz w:val="1"/>
                <w:szCs w:val="1"/>
                <w:color w:val="auto"/>
              </w:rPr>
            </w:pPr>
          </w:p>
        </w:tc>
      </w:tr>
      <w:tr>
        <w:trPr>
          <w:trHeight w:val="284"/>
        </w:trPr>
        <w:tc>
          <w:tcPr>
            <w:tcW w:w="404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4"/>
                <w:szCs w:val="14"/>
                <w:color w:val="auto"/>
              </w:rPr>
              <w:t>Three Months Ended September 30, 2013</w:t>
            </w:r>
          </w:p>
        </w:tc>
        <w:tc>
          <w:tcPr>
            <w:tcW w:w="10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00" w:type="dxa"/>
            <w:vAlign w:val="bottom"/>
            <w:gridSpan w:val="2"/>
          </w:tcPr>
          <w:p>
            <w:pPr>
              <w:ind w:left="480"/>
              <w:spacing w:after="0" w:line="131" w:lineRule="exact"/>
              <w:rPr>
                <w:sz w:val="20"/>
                <w:szCs w:val="20"/>
                <w:color w:val="auto"/>
              </w:rPr>
            </w:pPr>
            <w:r>
              <w:rPr>
                <w:rFonts w:ascii="Arial" w:cs="Arial" w:eastAsia="Arial" w:hAnsi="Arial"/>
                <w:sz w:val="14"/>
                <w:szCs w:val="14"/>
                <w:color w:val="auto"/>
              </w:rPr>
              <w:t>Operating Income (Loss)</w:t>
            </w:r>
          </w:p>
        </w:tc>
        <w:tc>
          <w:tcPr>
            <w:tcW w:w="1600" w:type="dxa"/>
            <w:vAlign w:val="bottom"/>
            <w:gridSpan w:val="2"/>
          </w:tcPr>
          <w:p>
            <w:pPr>
              <w:ind w:left="340"/>
              <w:spacing w:after="0" w:line="131" w:lineRule="exact"/>
              <w:rPr>
                <w:sz w:val="20"/>
                <w:szCs w:val="20"/>
                <w:color w:val="auto"/>
              </w:rPr>
            </w:pPr>
            <w:r>
              <w:rPr>
                <w:rFonts w:ascii="Arial" w:cs="Arial" w:eastAsia="Arial" w:hAnsi="Arial"/>
                <w:sz w:val="14"/>
                <w:szCs w:val="14"/>
                <w:color w:val="auto"/>
              </w:rPr>
              <w:t>Depreciation</w:t>
            </w:r>
          </w:p>
        </w:tc>
        <w:tc>
          <w:tcPr>
            <w:tcW w:w="1060" w:type="dxa"/>
            <w:vAlign w:val="bottom"/>
          </w:tcPr>
          <w:p>
            <w:pPr>
              <w:jc w:val="center"/>
              <w:ind w:right="157"/>
              <w:spacing w:after="0" w:line="131" w:lineRule="exact"/>
              <w:rPr>
                <w:sz w:val="20"/>
                <w:szCs w:val="20"/>
                <w:color w:val="auto"/>
              </w:rPr>
            </w:pPr>
            <w:r>
              <w:rPr>
                <w:rFonts w:ascii="Arial" w:cs="Arial" w:eastAsia="Arial" w:hAnsi="Arial"/>
                <w:sz w:val="14"/>
                <w:szCs w:val="14"/>
                <w:color w:val="auto"/>
                <w:w w:val="87"/>
              </w:rPr>
              <w:t>Operating</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40" w:type="dxa"/>
            <w:vAlign w:val="bottom"/>
          </w:tcPr>
          <w:p>
            <w:pPr>
              <w:spacing w:after="0"/>
              <w:rPr>
                <w:sz w:val="11"/>
                <w:szCs w:val="11"/>
                <w:color w:val="auto"/>
              </w:rPr>
            </w:pPr>
          </w:p>
        </w:tc>
        <w:tc>
          <w:tcPr>
            <w:tcW w:w="1400" w:type="dxa"/>
            <w:vAlign w:val="bottom"/>
            <w:vMerge w:val="restart"/>
          </w:tcPr>
          <w:p>
            <w:pPr>
              <w:jc w:val="right"/>
              <w:ind w:right="134"/>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(e)</w:t>
            </w:r>
          </w:p>
        </w:tc>
        <w:tc>
          <w:tcPr>
            <w:tcW w:w="2200" w:type="dxa"/>
            <w:vAlign w:val="bottom"/>
            <w:gridSpan w:val="2"/>
          </w:tcPr>
          <w:p>
            <w:pPr>
              <w:ind w:left="480"/>
              <w:spacing w:after="0" w:line="133" w:lineRule="exact"/>
              <w:rPr>
                <w:sz w:val="20"/>
                <w:szCs w:val="20"/>
                <w:color w:val="auto"/>
              </w:rPr>
            </w:pPr>
            <w:r>
              <w:rPr>
                <w:rFonts w:ascii="Arial" w:cs="Arial" w:eastAsia="Arial" w:hAnsi="Arial"/>
                <w:sz w:val="14"/>
                <w:szCs w:val="14"/>
                <w:color w:val="auto"/>
              </w:rPr>
              <w:t>Before Depreciation and</w:t>
            </w:r>
          </w:p>
        </w:tc>
        <w:tc>
          <w:tcPr>
            <w:tcW w:w="500" w:type="dxa"/>
            <w:vAlign w:val="bottom"/>
          </w:tcPr>
          <w:p>
            <w:pPr>
              <w:spacing w:after="0"/>
              <w:rPr>
                <w:sz w:val="11"/>
                <w:szCs w:val="11"/>
                <w:color w:val="auto"/>
              </w:rPr>
            </w:pPr>
          </w:p>
        </w:tc>
        <w:tc>
          <w:tcPr>
            <w:tcW w:w="1100" w:type="dxa"/>
            <w:vAlign w:val="bottom"/>
          </w:tcPr>
          <w:p>
            <w:pPr>
              <w:jc w:val="right"/>
              <w:ind w:right="734"/>
              <w:spacing w:after="0" w:line="133" w:lineRule="exact"/>
              <w:rPr>
                <w:sz w:val="20"/>
                <w:szCs w:val="20"/>
                <w:color w:val="auto"/>
              </w:rPr>
            </w:pPr>
            <w:r>
              <w:rPr>
                <w:rFonts w:ascii="Arial" w:cs="Arial" w:eastAsia="Arial" w:hAnsi="Arial"/>
                <w:sz w:val="14"/>
                <w:szCs w:val="14"/>
                <w:color w:val="auto"/>
              </w:rPr>
              <w:t>and</w:t>
            </w:r>
          </w:p>
        </w:tc>
        <w:tc>
          <w:tcPr>
            <w:tcW w:w="1060" w:type="dxa"/>
            <w:vAlign w:val="bottom"/>
          </w:tcPr>
          <w:p>
            <w:pPr>
              <w:jc w:val="center"/>
              <w:ind w:right="157"/>
              <w:spacing w:after="0" w:line="133" w:lineRule="exact"/>
              <w:rPr>
                <w:sz w:val="20"/>
                <w:szCs w:val="20"/>
                <w:color w:val="auto"/>
              </w:rPr>
            </w:pPr>
            <w:r>
              <w:rPr>
                <w:rFonts w:ascii="Arial" w:cs="Arial" w:eastAsia="Arial" w:hAnsi="Arial"/>
                <w:sz w:val="14"/>
                <w:szCs w:val="14"/>
                <w:color w:val="auto"/>
                <w:w w:val="91"/>
              </w:rPr>
              <w:t>Income</w:t>
            </w:r>
          </w:p>
        </w:tc>
        <w:tc>
          <w:tcPr>
            <w:tcW w:w="44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4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40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5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(f)</w:t>
            </w:r>
          </w:p>
        </w:tc>
        <w:tc>
          <w:tcPr>
            <w:tcW w:w="160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Amortization</w:t>
            </w: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color w:val="auto"/>
                <w:w w:val="87"/>
              </w:rPr>
              <w:t>(Loss)</w:t>
            </w:r>
          </w:p>
        </w:tc>
        <w:tc>
          <w:tcPr>
            <w:tcW w:w="11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404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4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$ 10,491</w:t>
            </w:r>
          </w:p>
        </w:tc>
        <w:tc>
          <w:tcPr>
            <w:tcW w:w="640" w:type="dxa"/>
            <w:vAlign w:val="bottom"/>
            <w:shd w:val="clear" w:color="auto" w:fill="E5E5E5"/>
          </w:tcPr>
          <w:p>
            <w:pPr>
              <w:ind w:left="4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4,246</w:t>
            </w:r>
          </w:p>
        </w:tc>
        <w:tc>
          <w:tcPr>
            <w:tcW w:w="50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5E5E5"/>
          </w:tcPr>
          <w:p>
            <w:pPr>
              <w:jc w:val="right"/>
              <w:ind w:right="454"/>
              <w:spacing w:after="0"/>
              <w:rPr>
                <w:sz w:val="20"/>
                <w:szCs w:val="20"/>
                <w:color w:val="auto"/>
              </w:rPr>
            </w:pPr>
            <w:r>
              <w:rPr>
                <w:rFonts w:ascii="Arial" w:cs="Arial" w:eastAsia="Arial" w:hAnsi="Arial"/>
                <w:sz w:val="18"/>
                <w:szCs w:val="18"/>
                <w:color w:val="auto"/>
              </w:rPr>
              <w:t>1,549</w:t>
            </w:r>
          </w:p>
        </w:tc>
        <w:tc>
          <w:tcPr>
            <w:tcW w:w="106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$ 2,697</w:t>
            </w:r>
          </w:p>
        </w:tc>
        <w:tc>
          <w:tcPr>
            <w:tcW w:w="44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NBCUniversal</w:t>
            </w:r>
          </w:p>
        </w:tc>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(b)</w:t>
            </w:r>
          </w:p>
        </w:tc>
        <w:tc>
          <w:tcPr>
            <w:tcW w:w="14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2,239</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853</w:t>
            </w:r>
          </w:p>
        </w:tc>
        <w:tc>
          <w:tcPr>
            <w:tcW w:w="50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54"/>
              <w:spacing w:after="0"/>
              <w:rPr>
                <w:sz w:val="20"/>
                <w:szCs w:val="20"/>
                <w:color w:val="auto"/>
              </w:rPr>
            </w:pPr>
            <w:r>
              <w:rPr>
                <w:rFonts w:ascii="Arial" w:cs="Arial" w:eastAsia="Arial" w:hAnsi="Arial"/>
                <w:sz w:val="18"/>
                <w:szCs w:val="18"/>
                <w:color w:val="auto"/>
              </w:rPr>
              <w:t>183</w:t>
            </w:r>
          </w:p>
        </w:tc>
        <w:tc>
          <w:tcPr>
            <w:tcW w:w="106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670</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04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1400" w:type="dxa"/>
            <w:vAlign w:val="bottom"/>
          </w:tcPr>
          <w:p>
            <w:pPr>
              <w:jc w:val="right"/>
              <w:ind w:right="134"/>
              <w:spacing w:after="0"/>
              <w:rPr>
                <w:sz w:val="20"/>
                <w:szCs w:val="20"/>
                <w:color w:val="auto"/>
              </w:rPr>
            </w:pPr>
            <w:r>
              <w:rPr>
                <w:rFonts w:ascii="Arial" w:cs="Arial" w:eastAsia="Arial" w:hAnsi="Arial"/>
                <w:sz w:val="18"/>
                <w:szCs w:val="18"/>
                <w:color w:val="auto"/>
              </w:rPr>
              <w:t>1,644</w:t>
            </w:r>
          </w:p>
        </w:tc>
        <w:tc>
          <w:tcPr>
            <w:tcW w:w="640" w:type="dxa"/>
            <w:vAlign w:val="bottom"/>
          </w:tcPr>
          <w:p>
            <w:pPr>
              <w:spacing w:after="0"/>
              <w:rPr>
                <w:sz w:val="18"/>
                <w:szCs w:val="18"/>
                <w:color w:val="auto"/>
              </w:rPr>
            </w:pPr>
          </w:p>
        </w:tc>
        <w:tc>
          <w:tcPr>
            <w:tcW w:w="1560" w:type="dxa"/>
            <w:vAlign w:val="bottom"/>
          </w:tcPr>
          <w:p>
            <w:pPr>
              <w:jc w:val="right"/>
              <w:ind w:right="276"/>
              <w:spacing w:after="0"/>
              <w:rPr>
                <w:sz w:val="20"/>
                <w:szCs w:val="20"/>
                <w:color w:val="auto"/>
              </w:rPr>
            </w:pPr>
            <w:r>
              <w:rPr>
                <w:rFonts w:ascii="Arial" w:cs="Arial" w:eastAsia="Arial" w:hAnsi="Arial"/>
                <w:sz w:val="18"/>
                <w:szCs w:val="18"/>
                <w:color w:val="auto"/>
              </w:rPr>
              <w:t>34</w:t>
            </w:r>
          </w:p>
        </w:tc>
        <w:tc>
          <w:tcPr>
            <w:tcW w:w="500" w:type="dxa"/>
            <w:vAlign w:val="bottom"/>
          </w:tcPr>
          <w:p>
            <w:pPr>
              <w:spacing w:after="0"/>
              <w:rPr>
                <w:sz w:val="18"/>
                <w:szCs w:val="18"/>
                <w:color w:val="auto"/>
              </w:rPr>
            </w:pPr>
          </w:p>
        </w:tc>
        <w:tc>
          <w:tcPr>
            <w:tcW w:w="1100" w:type="dxa"/>
            <w:vAlign w:val="bottom"/>
          </w:tcPr>
          <w:p>
            <w:pPr>
              <w:jc w:val="right"/>
              <w:ind w:right="454"/>
              <w:spacing w:after="0"/>
              <w:rPr>
                <w:sz w:val="20"/>
                <w:szCs w:val="20"/>
                <w:color w:val="auto"/>
              </w:rPr>
            </w:pPr>
            <w:r>
              <w:rPr>
                <w:rFonts w:ascii="Arial" w:cs="Arial" w:eastAsia="Arial" w:hAnsi="Arial"/>
                <w:sz w:val="18"/>
                <w:szCs w:val="18"/>
                <w:color w:val="auto"/>
              </w:rPr>
              <w:t>23</w:t>
            </w:r>
          </w:p>
        </w:tc>
        <w:tc>
          <w:tcPr>
            <w:tcW w:w="1060" w:type="dxa"/>
            <w:vAlign w:val="bottom"/>
          </w:tcPr>
          <w:p>
            <w:pPr>
              <w:jc w:val="right"/>
              <w:ind w:right="297"/>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0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r>
              <w:rPr>
                <w:rFonts w:ascii="Arial" w:cs="Arial" w:eastAsia="Arial" w:hAnsi="Arial"/>
                <w:sz w:val="11"/>
                <w:szCs w:val="11"/>
                <w:color w:val="auto"/>
              </w:rPr>
              <w:t>(b)</w:t>
            </w:r>
          </w:p>
        </w:tc>
        <w:tc>
          <w:tcPr>
            <w:tcW w:w="14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1,400</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189</w:t>
            </w:r>
          </w:p>
        </w:tc>
        <w:tc>
          <w:tcPr>
            <w:tcW w:w="50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54"/>
              <w:spacing w:after="0"/>
              <w:rPr>
                <w:sz w:val="20"/>
                <w:szCs w:val="20"/>
                <w:color w:val="auto"/>
              </w:rPr>
            </w:pPr>
            <w:r>
              <w:rPr>
                <w:rFonts w:ascii="Arial" w:cs="Arial" w:eastAsia="Arial" w:hAnsi="Arial"/>
                <w:sz w:val="18"/>
                <w:szCs w:val="18"/>
                <w:color w:val="auto"/>
              </w:rPr>
              <w:t>4</w:t>
            </w:r>
          </w:p>
        </w:tc>
        <w:tc>
          <w:tcPr>
            <w:tcW w:w="106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185</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04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1400" w:type="dxa"/>
            <w:vAlign w:val="bottom"/>
          </w:tcPr>
          <w:p>
            <w:pPr>
              <w:jc w:val="right"/>
              <w:ind w:right="134"/>
              <w:spacing w:after="0"/>
              <w:rPr>
                <w:sz w:val="20"/>
                <w:szCs w:val="20"/>
                <w:color w:val="auto"/>
              </w:rPr>
            </w:pPr>
            <w:r>
              <w:rPr>
                <w:rFonts w:ascii="Arial" w:cs="Arial" w:eastAsia="Arial" w:hAnsi="Arial"/>
                <w:sz w:val="18"/>
                <w:szCs w:val="18"/>
                <w:color w:val="auto"/>
              </w:rPr>
              <w:t>661</w:t>
            </w:r>
          </w:p>
        </w:tc>
        <w:tc>
          <w:tcPr>
            <w:tcW w:w="640" w:type="dxa"/>
            <w:vAlign w:val="bottom"/>
          </w:tcPr>
          <w:p>
            <w:pPr>
              <w:spacing w:after="0"/>
              <w:rPr>
                <w:sz w:val="18"/>
                <w:szCs w:val="18"/>
                <w:color w:val="auto"/>
              </w:rPr>
            </w:pPr>
          </w:p>
        </w:tc>
        <w:tc>
          <w:tcPr>
            <w:tcW w:w="1560" w:type="dxa"/>
            <w:vAlign w:val="bottom"/>
          </w:tcPr>
          <w:p>
            <w:pPr>
              <w:jc w:val="right"/>
              <w:ind w:right="276"/>
              <w:spacing w:after="0"/>
              <w:rPr>
                <w:sz w:val="20"/>
                <w:szCs w:val="20"/>
                <w:color w:val="auto"/>
              </w:rPr>
            </w:pPr>
            <w:r>
              <w:rPr>
                <w:rFonts w:ascii="Arial" w:cs="Arial" w:eastAsia="Arial" w:hAnsi="Arial"/>
                <w:sz w:val="18"/>
                <w:szCs w:val="18"/>
                <w:color w:val="auto"/>
              </w:rPr>
              <w:t>343</w:t>
            </w:r>
          </w:p>
        </w:tc>
        <w:tc>
          <w:tcPr>
            <w:tcW w:w="500" w:type="dxa"/>
            <w:vAlign w:val="bottom"/>
          </w:tcPr>
          <w:p>
            <w:pPr>
              <w:spacing w:after="0"/>
              <w:rPr>
                <w:sz w:val="18"/>
                <w:szCs w:val="18"/>
                <w:color w:val="auto"/>
              </w:rPr>
            </w:pPr>
          </w:p>
        </w:tc>
        <w:tc>
          <w:tcPr>
            <w:tcW w:w="1100" w:type="dxa"/>
            <w:vAlign w:val="bottom"/>
          </w:tcPr>
          <w:p>
            <w:pPr>
              <w:jc w:val="right"/>
              <w:ind w:right="454"/>
              <w:spacing w:after="0"/>
              <w:rPr>
                <w:sz w:val="20"/>
                <w:szCs w:val="20"/>
                <w:color w:val="auto"/>
              </w:rPr>
            </w:pPr>
            <w:r>
              <w:rPr>
                <w:rFonts w:ascii="Arial" w:cs="Arial" w:eastAsia="Arial" w:hAnsi="Arial"/>
                <w:sz w:val="18"/>
                <w:szCs w:val="18"/>
                <w:color w:val="auto"/>
              </w:rPr>
              <w:t>73</w:t>
            </w:r>
          </w:p>
        </w:tc>
        <w:tc>
          <w:tcPr>
            <w:tcW w:w="1060" w:type="dxa"/>
            <w:vAlign w:val="bottom"/>
          </w:tcPr>
          <w:p>
            <w:pPr>
              <w:jc w:val="right"/>
              <w:ind w:right="297"/>
              <w:spacing w:after="0"/>
              <w:rPr>
                <w:sz w:val="20"/>
                <w:szCs w:val="20"/>
                <w:color w:val="auto"/>
              </w:rPr>
            </w:pPr>
            <w:r>
              <w:rPr>
                <w:rFonts w:ascii="Arial" w:cs="Arial" w:eastAsia="Arial" w:hAnsi="Arial"/>
                <w:sz w:val="18"/>
                <w:szCs w:val="18"/>
                <w:color w:val="auto"/>
              </w:rPr>
              <w:t>270</w:t>
            </w:r>
          </w:p>
        </w:tc>
        <w:tc>
          <w:tcPr>
            <w:tcW w:w="44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40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(c)</w:t>
            </w:r>
          </w:p>
        </w:tc>
        <w:tc>
          <w:tcPr>
            <w:tcW w:w="14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7</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(167)</w:t>
            </w:r>
          </w:p>
        </w:tc>
        <w:tc>
          <w:tcPr>
            <w:tcW w:w="50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54"/>
              <w:spacing w:after="0"/>
              <w:rPr>
                <w:sz w:val="20"/>
                <w:szCs w:val="20"/>
                <w:color w:val="auto"/>
              </w:rPr>
            </w:pPr>
            <w:r>
              <w:rPr>
                <w:rFonts w:ascii="Arial" w:cs="Arial" w:eastAsia="Arial" w:hAnsi="Arial"/>
                <w:sz w:val="18"/>
                <w:szCs w:val="18"/>
                <w:color w:val="auto"/>
              </w:rPr>
              <w:t>69</w:t>
            </w:r>
          </w:p>
        </w:tc>
        <w:tc>
          <w:tcPr>
            <w:tcW w:w="106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rPr>
              <w:t>(236)</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14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(100)</w:t>
            </w:r>
          </w:p>
        </w:tc>
        <w:tc>
          <w:tcPr>
            <w:tcW w:w="6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4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4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5,851</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1,250</w:t>
            </w:r>
          </w:p>
        </w:tc>
        <w:tc>
          <w:tcPr>
            <w:tcW w:w="50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54"/>
              <w:spacing w:after="0"/>
              <w:rPr>
                <w:sz w:val="20"/>
                <w:szCs w:val="20"/>
                <w:color w:val="auto"/>
              </w:rPr>
            </w:pPr>
            <w:r>
              <w:rPr>
                <w:rFonts w:ascii="Arial" w:cs="Arial" w:eastAsia="Arial" w:hAnsi="Arial"/>
                <w:sz w:val="18"/>
                <w:szCs w:val="18"/>
                <w:color w:val="auto"/>
              </w:rPr>
              <w:t>352</w:t>
            </w:r>
          </w:p>
        </w:tc>
        <w:tc>
          <w:tcPr>
            <w:tcW w:w="106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898</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Corporate and Other</w:t>
            </w:r>
          </w:p>
        </w:tc>
        <w:tc>
          <w:tcPr>
            <w:tcW w:w="1400" w:type="dxa"/>
            <w:vAlign w:val="bottom"/>
          </w:tcPr>
          <w:p>
            <w:pPr>
              <w:jc w:val="right"/>
              <w:ind w:right="134"/>
              <w:spacing w:after="0"/>
              <w:rPr>
                <w:sz w:val="20"/>
                <w:szCs w:val="20"/>
                <w:color w:val="auto"/>
              </w:rPr>
            </w:pPr>
            <w:r>
              <w:rPr>
                <w:rFonts w:ascii="Arial" w:cs="Arial" w:eastAsia="Arial" w:hAnsi="Arial"/>
                <w:sz w:val="18"/>
                <w:szCs w:val="18"/>
                <w:color w:val="auto"/>
              </w:rPr>
              <w:t>133</w:t>
            </w:r>
          </w:p>
        </w:tc>
        <w:tc>
          <w:tcPr>
            <w:tcW w:w="640" w:type="dxa"/>
            <w:vAlign w:val="bottom"/>
          </w:tcPr>
          <w:p>
            <w:pPr>
              <w:spacing w:after="0"/>
              <w:rPr>
                <w:sz w:val="18"/>
                <w:szCs w:val="18"/>
                <w:color w:val="auto"/>
              </w:rPr>
            </w:pPr>
          </w:p>
        </w:tc>
        <w:tc>
          <w:tcPr>
            <w:tcW w:w="1560" w:type="dxa"/>
            <w:vAlign w:val="bottom"/>
          </w:tcPr>
          <w:p>
            <w:pPr>
              <w:jc w:val="right"/>
              <w:ind w:right="216"/>
              <w:spacing w:after="0"/>
              <w:rPr>
                <w:sz w:val="20"/>
                <w:szCs w:val="20"/>
                <w:color w:val="auto"/>
              </w:rPr>
            </w:pPr>
            <w:r>
              <w:rPr>
                <w:rFonts w:ascii="Arial" w:cs="Arial" w:eastAsia="Arial" w:hAnsi="Arial"/>
                <w:sz w:val="18"/>
                <w:szCs w:val="18"/>
                <w:color w:val="auto"/>
              </w:rPr>
              <w:t>(178)</w:t>
            </w:r>
          </w:p>
        </w:tc>
        <w:tc>
          <w:tcPr>
            <w:tcW w:w="500" w:type="dxa"/>
            <w:vAlign w:val="bottom"/>
          </w:tcPr>
          <w:p>
            <w:pPr>
              <w:spacing w:after="0"/>
              <w:rPr>
                <w:sz w:val="18"/>
                <w:szCs w:val="18"/>
                <w:color w:val="auto"/>
              </w:rPr>
            </w:pPr>
          </w:p>
        </w:tc>
        <w:tc>
          <w:tcPr>
            <w:tcW w:w="1100" w:type="dxa"/>
            <w:vAlign w:val="bottom"/>
          </w:tcPr>
          <w:p>
            <w:pPr>
              <w:jc w:val="right"/>
              <w:ind w:right="454"/>
              <w:spacing w:after="0"/>
              <w:rPr>
                <w:sz w:val="20"/>
                <w:szCs w:val="20"/>
                <w:color w:val="auto"/>
              </w:rPr>
            </w:pPr>
            <w:r>
              <w:rPr>
                <w:rFonts w:ascii="Arial" w:cs="Arial" w:eastAsia="Arial" w:hAnsi="Arial"/>
                <w:sz w:val="18"/>
                <w:szCs w:val="18"/>
                <w:color w:val="auto"/>
              </w:rPr>
              <w:t>16</w:t>
            </w:r>
          </w:p>
        </w:tc>
        <w:tc>
          <w:tcPr>
            <w:tcW w:w="1060" w:type="dxa"/>
            <w:vAlign w:val="bottom"/>
          </w:tcPr>
          <w:p>
            <w:pPr>
              <w:jc w:val="right"/>
              <w:ind w:right="237"/>
              <w:spacing w:after="0"/>
              <w:rPr>
                <w:sz w:val="20"/>
                <w:szCs w:val="20"/>
                <w:color w:val="auto"/>
              </w:rPr>
            </w:pPr>
            <w:r>
              <w:rPr>
                <w:rFonts w:ascii="Arial" w:cs="Arial" w:eastAsia="Arial" w:hAnsi="Arial"/>
                <w:sz w:val="18"/>
                <w:szCs w:val="18"/>
                <w:color w:val="auto"/>
              </w:rPr>
              <w:t>(194)</w:t>
            </w:r>
          </w:p>
        </w:tc>
        <w:tc>
          <w:tcPr>
            <w:tcW w:w="44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140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(324)</w:t>
            </w:r>
          </w:p>
        </w:tc>
        <w:tc>
          <w:tcPr>
            <w:tcW w:w="640" w:type="dxa"/>
            <w:vAlign w:val="bottom"/>
            <w:tcBorders>
              <w:bottom w:val="single" w:sz="8" w:color="auto"/>
            </w:tcBorders>
            <w:shd w:val="clear" w:color="auto" w:fill="E5E5E5"/>
          </w:tcPr>
          <w:p>
            <w:pPr>
              <w:spacing w:after="0"/>
              <w:rPr>
                <w:sz w:val="18"/>
                <w:szCs w:val="18"/>
                <w:color w:val="auto"/>
              </w:rPr>
            </w:pPr>
          </w:p>
        </w:tc>
        <w:tc>
          <w:tcPr>
            <w:tcW w:w="1560" w:type="dxa"/>
            <w:vAlign w:val="bottom"/>
            <w:tcBorders>
              <w:bottom w:val="single" w:sz="8" w:color="auto"/>
            </w:tcBorders>
            <w:shd w:val="clear" w:color="auto" w:fill="E5E5E5"/>
          </w:tcPr>
          <w:p>
            <w:pPr>
              <w:jc w:val="right"/>
              <w:ind w:right="276"/>
              <w:spacing w:after="0"/>
              <w:rPr>
                <w:sz w:val="20"/>
                <w:szCs w:val="20"/>
                <w:color w:val="auto"/>
              </w:rPr>
            </w:pPr>
            <w:r>
              <w:rPr>
                <w:rFonts w:ascii="Arial" w:cs="Arial" w:eastAsia="Arial" w:hAnsi="Arial"/>
                <w:sz w:val="18"/>
                <w:szCs w:val="18"/>
                <w:color w:val="auto"/>
              </w:rPr>
              <w:t>12</w:t>
            </w:r>
          </w:p>
        </w:tc>
        <w:tc>
          <w:tcPr>
            <w:tcW w:w="500" w:type="dxa"/>
            <w:vAlign w:val="bottom"/>
            <w:tcBorders>
              <w:bottom w:val="single" w:sz="8" w:color="auto"/>
            </w:tcBorders>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jc w:val="right"/>
              <w:ind w:right="394"/>
              <w:spacing w:after="0"/>
              <w:rPr>
                <w:sz w:val="20"/>
                <w:szCs w:val="20"/>
                <w:color w:val="auto"/>
              </w:rPr>
            </w:pPr>
            <w:r>
              <w:rPr>
                <w:rFonts w:ascii="Arial" w:cs="Arial" w:eastAsia="Arial" w:hAnsi="Arial"/>
                <w:sz w:val="18"/>
                <w:szCs w:val="18"/>
                <w:color w:val="auto"/>
              </w:rPr>
              <w:t>(1)</w:t>
            </w:r>
          </w:p>
        </w:tc>
        <w:tc>
          <w:tcPr>
            <w:tcW w:w="1060" w:type="dxa"/>
            <w:vAlign w:val="bottom"/>
            <w:tcBorders>
              <w:bottom w:val="single" w:sz="8" w:color="auto"/>
            </w:tcBorders>
            <w:shd w:val="clear" w:color="auto" w:fill="E5E5E5"/>
          </w:tcPr>
          <w:p>
            <w:pPr>
              <w:jc w:val="right"/>
              <w:ind w:right="297"/>
              <w:spacing w:after="0"/>
              <w:rPr>
                <w:sz w:val="20"/>
                <w:szCs w:val="20"/>
                <w:color w:val="auto"/>
              </w:rPr>
            </w:pPr>
            <w:r>
              <w:rPr>
                <w:rFonts w:ascii="Arial" w:cs="Arial" w:eastAsia="Arial" w:hAnsi="Arial"/>
                <w:sz w:val="18"/>
                <w:szCs w:val="18"/>
                <w:color w:val="auto"/>
              </w:rPr>
              <w:t>13</w:t>
            </w:r>
          </w:p>
        </w:tc>
        <w:tc>
          <w:tcPr>
            <w:tcW w:w="4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Comcast Consolidated</w:t>
            </w:r>
          </w:p>
        </w:tc>
        <w:tc>
          <w:tcPr>
            <w:tcW w:w="14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$ 16,151</w:t>
            </w: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b w:val="1"/>
                <w:bCs w:val="1"/>
                <w:color w:val="auto"/>
              </w:rPr>
              <w:t>5,330</w:t>
            </w: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b w:val="1"/>
                <w:bCs w:val="1"/>
                <w:color w:val="auto"/>
              </w:rPr>
              <w:t>1,916</w:t>
            </w: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b w:val="1"/>
                <w:bCs w:val="1"/>
                <w:color w:val="auto"/>
              </w:rPr>
              <w:t>$ 3,414</w:t>
            </w:r>
          </w:p>
        </w:tc>
        <w:tc>
          <w:tcPr>
            <w:tcW w:w="4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1,726</w:t>
            </w:r>
          </w:p>
        </w:tc>
        <w:tc>
          <w:tcPr>
            <w:tcW w:w="0" w:type="dxa"/>
            <w:vAlign w:val="bottom"/>
          </w:tcPr>
          <w:p>
            <w:pPr>
              <w:spacing w:after="0"/>
              <w:rPr>
                <w:sz w:val="1"/>
                <w:szCs w:val="1"/>
                <w:color w:val="auto"/>
              </w:rPr>
            </w:pPr>
          </w:p>
        </w:tc>
      </w:tr>
      <w:tr>
        <w:trPr>
          <w:trHeight w:val="363"/>
        </w:trPr>
        <w:tc>
          <w:tcPr>
            <w:tcW w:w="4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16</w:t>
            </w: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Nine Months Ended September 30, 2014</w:t>
            </w:r>
          </w:p>
        </w:tc>
        <w:tc>
          <w:tcPr>
            <w:tcW w:w="10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20" w:type="dxa"/>
            <w:vAlign w:val="bottom"/>
            <w:gridSpan w:val="2"/>
          </w:tcPr>
          <w:p>
            <w:pPr>
              <w:ind w:left="380"/>
              <w:spacing w:after="0" w:line="131" w:lineRule="exact"/>
              <w:rPr>
                <w:sz w:val="20"/>
                <w:szCs w:val="20"/>
                <w:color w:val="auto"/>
              </w:rPr>
            </w:pPr>
            <w:r>
              <w:rPr>
                <w:rFonts w:ascii="Arial" w:cs="Arial" w:eastAsia="Arial" w:hAnsi="Arial"/>
                <w:sz w:val="14"/>
                <w:szCs w:val="14"/>
                <w:color w:val="auto"/>
              </w:rPr>
              <w:t>Operating Income (Loss)</w:t>
            </w:r>
          </w:p>
        </w:tc>
        <w:tc>
          <w:tcPr>
            <w:tcW w:w="1540" w:type="dxa"/>
            <w:vAlign w:val="bottom"/>
            <w:gridSpan w:val="2"/>
          </w:tcPr>
          <w:p>
            <w:pPr>
              <w:ind w:left="360"/>
              <w:spacing w:after="0" w:line="131" w:lineRule="exact"/>
              <w:rPr>
                <w:sz w:val="20"/>
                <w:szCs w:val="20"/>
                <w:color w:val="auto"/>
              </w:rPr>
            </w:pPr>
            <w:r>
              <w:rPr>
                <w:rFonts w:ascii="Arial" w:cs="Arial" w:eastAsia="Arial" w:hAnsi="Arial"/>
                <w:sz w:val="14"/>
                <w:szCs w:val="14"/>
                <w:color w:val="auto"/>
              </w:rPr>
              <w:t>Depreciation</w:t>
            </w:r>
          </w:p>
        </w:tc>
        <w:tc>
          <w:tcPr>
            <w:tcW w:w="1040" w:type="dxa"/>
            <w:vAlign w:val="bottom"/>
          </w:tcPr>
          <w:p>
            <w:pPr>
              <w:jc w:val="center"/>
              <w:ind w:right="97"/>
              <w:spacing w:after="0" w:line="131" w:lineRule="exact"/>
              <w:rPr>
                <w:sz w:val="20"/>
                <w:szCs w:val="20"/>
                <w:color w:val="auto"/>
              </w:rPr>
            </w:pPr>
            <w:r>
              <w:rPr>
                <w:rFonts w:ascii="Arial" w:cs="Arial" w:eastAsia="Arial" w:hAnsi="Arial"/>
                <w:sz w:val="14"/>
                <w:szCs w:val="14"/>
                <w:color w:val="auto"/>
                <w:w w:val="87"/>
              </w:rPr>
              <w:t>Operating</w:t>
            </w: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vMerge w:val="restart"/>
          </w:tcPr>
          <w:p>
            <w:pPr>
              <w:jc w:val="right"/>
              <w:ind w:right="154"/>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(e)</w:t>
            </w:r>
          </w:p>
        </w:tc>
        <w:tc>
          <w:tcPr>
            <w:tcW w:w="2020" w:type="dxa"/>
            <w:vAlign w:val="bottom"/>
            <w:gridSpan w:val="2"/>
          </w:tcPr>
          <w:p>
            <w:pPr>
              <w:ind w:left="400"/>
              <w:spacing w:after="0" w:line="133" w:lineRule="exact"/>
              <w:rPr>
                <w:sz w:val="20"/>
                <w:szCs w:val="20"/>
                <w:color w:val="auto"/>
              </w:rPr>
            </w:pPr>
            <w:r>
              <w:rPr>
                <w:rFonts w:ascii="Arial" w:cs="Arial" w:eastAsia="Arial" w:hAnsi="Arial"/>
                <w:sz w:val="14"/>
                <w:szCs w:val="14"/>
                <w:color w:val="auto"/>
              </w:rPr>
              <w:t>Before Depreciation and</w:t>
            </w:r>
          </w:p>
        </w:tc>
        <w:tc>
          <w:tcPr>
            <w:tcW w:w="460" w:type="dxa"/>
            <w:vAlign w:val="bottom"/>
          </w:tcPr>
          <w:p>
            <w:pPr>
              <w:spacing w:after="0"/>
              <w:rPr>
                <w:sz w:val="11"/>
                <w:szCs w:val="11"/>
                <w:color w:val="auto"/>
              </w:rPr>
            </w:pPr>
          </w:p>
        </w:tc>
        <w:tc>
          <w:tcPr>
            <w:tcW w:w="1080" w:type="dxa"/>
            <w:vAlign w:val="bottom"/>
          </w:tcPr>
          <w:p>
            <w:pPr>
              <w:jc w:val="right"/>
              <w:ind w:right="654"/>
              <w:spacing w:after="0" w:line="133" w:lineRule="exact"/>
              <w:rPr>
                <w:sz w:val="20"/>
                <w:szCs w:val="20"/>
                <w:color w:val="auto"/>
              </w:rPr>
            </w:pPr>
            <w:r>
              <w:rPr>
                <w:rFonts w:ascii="Arial" w:cs="Arial" w:eastAsia="Arial" w:hAnsi="Arial"/>
                <w:sz w:val="14"/>
                <w:szCs w:val="14"/>
                <w:color w:val="auto"/>
              </w:rPr>
              <w:t>and</w:t>
            </w:r>
          </w:p>
        </w:tc>
        <w:tc>
          <w:tcPr>
            <w:tcW w:w="1040" w:type="dxa"/>
            <w:vAlign w:val="bottom"/>
          </w:tcPr>
          <w:p>
            <w:pPr>
              <w:jc w:val="center"/>
              <w:ind w:right="117"/>
              <w:spacing w:after="0" w:line="133" w:lineRule="exact"/>
              <w:rPr>
                <w:sz w:val="20"/>
                <w:szCs w:val="20"/>
                <w:color w:val="auto"/>
              </w:rPr>
            </w:pPr>
            <w:r>
              <w:rPr>
                <w:rFonts w:ascii="Arial" w:cs="Arial" w:eastAsia="Arial" w:hAnsi="Arial"/>
                <w:sz w:val="14"/>
                <w:szCs w:val="14"/>
                <w:color w:val="auto"/>
                <w:w w:val="87"/>
              </w:rPr>
              <w:t>Income</w:t>
            </w:r>
          </w:p>
        </w:tc>
        <w:tc>
          <w:tcPr>
            <w:tcW w:w="42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4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134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55"/>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(f)</w:t>
            </w:r>
          </w:p>
        </w:tc>
        <w:tc>
          <w:tcPr>
            <w:tcW w:w="15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rPr>
              <w:t>Amortization</w:t>
            </w:r>
          </w:p>
        </w:tc>
        <w:tc>
          <w:tcPr>
            <w:tcW w:w="10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color w:val="auto"/>
                <w:w w:val="87"/>
              </w:rPr>
              <w:t>(Loss)</w:t>
            </w:r>
          </w:p>
        </w:tc>
        <w:tc>
          <w:tcPr>
            <w:tcW w:w="11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43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3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$ 32,827</w:t>
            </w:r>
          </w:p>
        </w:tc>
        <w:tc>
          <w:tcPr>
            <w:tcW w:w="560" w:type="dxa"/>
            <w:vAlign w:val="bottom"/>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13,428</w:t>
            </w:r>
          </w:p>
        </w:tc>
        <w:tc>
          <w:tcPr>
            <w:tcW w:w="460" w:type="dxa"/>
            <w:vAlign w:val="bottom"/>
            <w:shd w:val="clear" w:color="auto" w:fill="E5E5E5"/>
          </w:tcPr>
          <w:p>
            <w:pPr>
              <w:ind w:left="34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4,749</w:t>
            </w:r>
          </w:p>
        </w:tc>
        <w:tc>
          <w:tcPr>
            <w:tcW w:w="1040" w:type="dxa"/>
            <w:vAlign w:val="bottom"/>
            <w:shd w:val="clear" w:color="auto" w:fill="E5E5E5"/>
          </w:tcPr>
          <w:p>
            <w:pPr>
              <w:jc w:val="right"/>
              <w:ind w:right="257"/>
              <w:spacing w:after="0"/>
              <w:rPr>
                <w:sz w:val="20"/>
                <w:szCs w:val="20"/>
                <w:color w:val="auto"/>
              </w:rPr>
            </w:pPr>
            <w:r>
              <w:rPr>
                <w:rFonts w:ascii="Arial" w:cs="Arial" w:eastAsia="Arial" w:hAnsi="Arial"/>
                <w:sz w:val="18"/>
                <w:szCs w:val="18"/>
                <w:color w:val="auto"/>
              </w:rPr>
              <w:t>$ 8,679</w:t>
            </w:r>
          </w:p>
        </w:tc>
        <w:tc>
          <w:tcPr>
            <w:tcW w:w="42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NBCUniversal</w:t>
            </w: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(b)</w:t>
            </w:r>
          </w:p>
        </w:tc>
        <w:tc>
          <w:tcPr>
            <w:tcW w:w="13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7,236</w:t>
            </w:r>
          </w:p>
        </w:tc>
        <w:tc>
          <w:tcPr>
            <w:tcW w:w="560" w:type="dxa"/>
            <w:vAlign w:val="bottom"/>
            <w:shd w:val="clear" w:color="auto" w:fill="E5E5E5"/>
          </w:tcPr>
          <w:p>
            <w:pPr>
              <w:spacing w:after="0"/>
              <w:rPr>
                <w:sz w:val="18"/>
                <w:szCs w:val="18"/>
                <w:color w:val="auto"/>
              </w:rPr>
            </w:pPr>
          </w:p>
        </w:tc>
        <w:tc>
          <w:tcPr>
            <w:tcW w:w="146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2,677</w:t>
            </w:r>
          </w:p>
        </w:tc>
        <w:tc>
          <w:tcPr>
            <w:tcW w:w="46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558</w:t>
            </w:r>
          </w:p>
        </w:tc>
        <w:tc>
          <w:tcPr>
            <w:tcW w:w="1040" w:type="dxa"/>
            <w:vAlign w:val="bottom"/>
            <w:shd w:val="clear" w:color="auto" w:fill="E5E5E5"/>
          </w:tcPr>
          <w:p>
            <w:pPr>
              <w:jc w:val="right"/>
              <w:ind w:right="257"/>
              <w:spacing w:after="0"/>
              <w:rPr>
                <w:sz w:val="20"/>
                <w:szCs w:val="20"/>
                <w:color w:val="auto"/>
              </w:rPr>
            </w:pPr>
            <w:r>
              <w:rPr>
                <w:rFonts w:ascii="Arial" w:cs="Arial" w:eastAsia="Arial" w:hAnsi="Arial"/>
                <w:sz w:val="18"/>
                <w:szCs w:val="18"/>
                <w:color w:val="auto"/>
              </w:rPr>
              <w:t>2,119</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Broadcast Television</w:t>
            </w: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6,207</w:t>
            </w:r>
          </w:p>
        </w:tc>
        <w:tc>
          <w:tcPr>
            <w:tcW w:w="560" w:type="dxa"/>
            <w:vAlign w:val="bottom"/>
          </w:tcPr>
          <w:p>
            <w:pPr>
              <w:spacing w:after="0"/>
              <w:rPr>
                <w:sz w:val="18"/>
                <w:szCs w:val="18"/>
                <w:color w:val="auto"/>
              </w:rPr>
            </w:pPr>
          </w:p>
        </w:tc>
        <w:tc>
          <w:tcPr>
            <w:tcW w:w="1460" w:type="dxa"/>
            <w:vAlign w:val="bottom"/>
          </w:tcPr>
          <w:p>
            <w:pPr>
              <w:jc w:val="right"/>
              <w:ind w:right="195"/>
              <w:spacing w:after="0"/>
              <w:rPr>
                <w:sz w:val="20"/>
                <w:szCs w:val="20"/>
                <w:color w:val="auto"/>
              </w:rPr>
            </w:pPr>
            <w:r>
              <w:rPr>
                <w:rFonts w:ascii="Arial" w:cs="Arial" w:eastAsia="Arial" w:hAnsi="Arial"/>
                <w:sz w:val="18"/>
                <w:szCs w:val="18"/>
                <w:color w:val="auto"/>
              </w:rPr>
              <w:t>504</w:t>
            </w:r>
          </w:p>
        </w:tc>
        <w:tc>
          <w:tcPr>
            <w:tcW w:w="460" w:type="dxa"/>
            <w:vAlign w:val="bottom"/>
          </w:tcPr>
          <w:p>
            <w:pPr>
              <w:spacing w:after="0"/>
              <w:rPr>
                <w:sz w:val="18"/>
                <w:szCs w:val="18"/>
                <w:color w:val="auto"/>
              </w:rPr>
            </w:pPr>
          </w:p>
        </w:tc>
        <w:tc>
          <w:tcPr>
            <w:tcW w:w="1080" w:type="dxa"/>
            <w:vAlign w:val="bottom"/>
          </w:tcPr>
          <w:p>
            <w:pPr>
              <w:jc w:val="right"/>
              <w:ind w:right="374"/>
              <w:spacing w:after="0"/>
              <w:rPr>
                <w:sz w:val="20"/>
                <w:szCs w:val="20"/>
                <w:color w:val="auto"/>
              </w:rPr>
            </w:pPr>
            <w:r>
              <w:rPr>
                <w:rFonts w:ascii="Arial" w:cs="Arial" w:eastAsia="Arial" w:hAnsi="Arial"/>
                <w:sz w:val="18"/>
                <w:szCs w:val="18"/>
                <w:color w:val="auto"/>
              </w:rPr>
              <w:t>78</w:t>
            </w:r>
          </w:p>
        </w:tc>
        <w:tc>
          <w:tcPr>
            <w:tcW w:w="1040" w:type="dxa"/>
            <w:vAlign w:val="bottom"/>
          </w:tcPr>
          <w:p>
            <w:pPr>
              <w:jc w:val="right"/>
              <w:ind w:right="257"/>
              <w:spacing w:after="0"/>
              <w:rPr>
                <w:sz w:val="20"/>
                <w:szCs w:val="20"/>
                <w:color w:val="auto"/>
              </w:rPr>
            </w:pPr>
            <w:r>
              <w:rPr>
                <w:rFonts w:ascii="Arial" w:cs="Arial" w:eastAsia="Arial" w:hAnsi="Arial"/>
                <w:sz w:val="18"/>
                <w:szCs w:val="18"/>
                <w:color w:val="auto"/>
              </w:rPr>
              <w:t>426</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Filmed Entertainment</w:t>
            </w:r>
            <w:r>
              <w:rPr>
                <w:rFonts w:ascii="Arial" w:cs="Arial" w:eastAsia="Arial" w:hAnsi="Arial"/>
                <w:sz w:val="11"/>
                <w:szCs w:val="11"/>
                <w:color w:val="auto"/>
              </w:rPr>
              <w:t>(b)</w:t>
            </w:r>
          </w:p>
        </w:tc>
        <w:tc>
          <w:tcPr>
            <w:tcW w:w="13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3,713</w:t>
            </w:r>
          </w:p>
        </w:tc>
        <w:tc>
          <w:tcPr>
            <w:tcW w:w="560" w:type="dxa"/>
            <w:vAlign w:val="bottom"/>
            <w:shd w:val="clear" w:color="auto" w:fill="E5E5E5"/>
          </w:tcPr>
          <w:p>
            <w:pPr>
              <w:spacing w:after="0"/>
              <w:rPr>
                <w:sz w:val="18"/>
                <w:szCs w:val="18"/>
                <w:color w:val="auto"/>
              </w:rPr>
            </w:pPr>
          </w:p>
        </w:tc>
        <w:tc>
          <w:tcPr>
            <w:tcW w:w="146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634</w:t>
            </w:r>
          </w:p>
        </w:tc>
        <w:tc>
          <w:tcPr>
            <w:tcW w:w="46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16</w:t>
            </w:r>
          </w:p>
        </w:tc>
        <w:tc>
          <w:tcPr>
            <w:tcW w:w="1040" w:type="dxa"/>
            <w:vAlign w:val="bottom"/>
            <w:shd w:val="clear" w:color="auto" w:fill="E5E5E5"/>
          </w:tcPr>
          <w:p>
            <w:pPr>
              <w:jc w:val="right"/>
              <w:ind w:right="257"/>
              <w:spacing w:after="0"/>
              <w:rPr>
                <w:sz w:val="20"/>
                <w:szCs w:val="20"/>
                <w:color w:val="auto"/>
              </w:rPr>
            </w:pPr>
            <w:r>
              <w:rPr>
                <w:rFonts w:ascii="Arial" w:cs="Arial" w:eastAsia="Arial" w:hAnsi="Arial"/>
                <w:sz w:val="18"/>
                <w:szCs w:val="18"/>
                <w:color w:val="auto"/>
              </w:rPr>
              <w:t>618</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Theme Parks</w:t>
            </w: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1,888</w:t>
            </w:r>
          </w:p>
        </w:tc>
        <w:tc>
          <w:tcPr>
            <w:tcW w:w="560" w:type="dxa"/>
            <w:vAlign w:val="bottom"/>
          </w:tcPr>
          <w:p>
            <w:pPr>
              <w:spacing w:after="0"/>
              <w:rPr>
                <w:sz w:val="18"/>
                <w:szCs w:val="18"/>
                <w:color w:val="auto"/>
              </w:rPr>
            </w:pPr>
          </w:p>
        </w:tc>
        <w:tc>
          <w:tcPr>
            <w:tcW w:w="1460" w:type="dxa"/>
            <w:vAlign w:val="bottom"/>
          </w:tcPr>
          <w:p>
            <w:pPr>
              <w:jc w:val="right"/>
              <w:ind w:right="195"/>
              <w:spacing w:after="0"/>
              <w:rPr>
                <w:sz w:val="20"/>
                <w:szCs w:val="20"/>
                <w:color w:val="auto"/>
              </w:rPr>
            </w:pPr>
            <w:r>
              <w:rPr>
                <w:rFonts w:ascii="Arial" w:cs="Arial" w:eastAsia="Arial" w:hAnsi="Arial"/>
                <w:sz w:val="18"/>
                <w:szCs w:val="18"/>
                <w:color w:val="auto"/>
              </w:rPr>
              <w:t>816</w:t>
            </w:r>
          </w:p>
        </w:tc>
        <w:tc>
          <w:tcPr>
            <w:tcW w:w="460" w:type="dxa"/>
            <w:vAlign w:val="bottom"/>
          </w:tcPr>
          <w:p>
            <w:pPr>
              <w:spacing w:after="0"/>
              <w:rPr>
                <w:sz w:val="18"/>
                <w:szCs w:val="18"/>
                <w:color w:val="auto"/>
              </w:rPr>
            </w:pPr>
          </w:p>
        </w:tc>
        <w:tc>
          <w:tcPr>
            <w:tcW w:w="1080" w:type="dxa"/>
            <w:vAlign w:val="bottom"/>
          </w:tcPr>
          <w:p>
            <w:pPr>
              <w:jc w:val="right"/>
              <w:ind w:right="374"/>
              <w:spacing w:after="0"/>
              <w:rPr>
                <w:sz w:val="20"/>
                <w:szCs w:val="20"/>
                <w:color w:val="auto"/>
              </w:rPr>
            </w:pPr>
            <w:r>
              <w:rPr>
                <w:rFonts w:ascii="Arial" w:cs="Arial" w:eastAsia="Arial" w:hAnsi="Arial"/>
                <w:sz w:val="18"/>
                <w:szCs w:val="18"/>
                <w:color w:val="auto"/>
              </w:rPr>
              <w:t>210</w:t>
            </w:r>
          </w:p>
        </w:tc>
        <w:tc>
          <w:tcPr>
            <w:tcW w:w="1040" w:type="dxa"/>
            <w:vAlign w:val="bottom"/>
          </w:tcPr>
          <w:p>
            <w:pPr>
              <w:jc w:val="right"/>
              <w:ind w:right="257"/>
              <w:spacing w:after="0"/>
              <w:rPr>
                <w:sz w:val="20"/>
                <w:szCs w:val="20"/>
                <w:color w:val="auto"/>
              </w:rPr>
            </w:pPr>
            <w:r>
              <w:rPr>
                <w:rFonts w:ascii="Arial" w:cs="Arial" w:eastAsia="Arial" w:hAnsi="Arial"/>
                <w:sz w:val="18"/>
                <w:szCs w:val="18"/>
                <w:color w:val="auto"/>
              </w:rPr>
              <w:t>606</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(c)</w:t>
            </w:r>
          </w:p>
        </w:tc>
        <w:tc>
          <w:tcPr>
            <w:tcW w:w="13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10</w:t>
            </w:r>
          </w:p>
        </w:tc>
        <w:tc>
          <w:tcPr>
            <w:tcW w:w="560" w:type="dxa"/>
            <w:vAlign w:val="bottom"/>
            <w:shd w:val="clear" w:color="auto" w:fill="E5E5E5"/>
          </w:tcPr>
          <w:p>
            <w:pPr>
              <w:spacing w:after="0"/>
              <w:rPr>
                <w:sz w:val="18"/>
                <w:szCs w:val="18"/>
                <w:color w:val="auto"/>
              </w:rPr>
            </w:pPr>
          </w:p>
        </w:tc>
        <w:tc>
          <w:tcPr>
            <w:tcW w:w="14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(464)</w:t>
            </w:r>
          </w:p>
        </w:tc>
        <w:tc>
          <w:tcPr>
            <w:tcW w:w="46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244</w:t>
            </w:r>
          </w:p>
        </w:tc>
        <w:tc>
          <w:tcPr>
            <w:tcW w:w="104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(708)</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13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(241)</w:t>
            </w:r>
          </w:p>
        </w:tc>
        <w:tc>
          <w:tcPr>
            <w:tcW w:w="5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(6)</w:t>
            </w: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(6)</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NBCUniversal</w:t>
            </w:r>
          </w:p>
        </w:tc>
        <w:tc>
          <w:tcPr>
            <w:tcW w:w="13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18,813</w:t>
            </w:r>
          </w:p>
        </w:tc>
        <w:tc>
          <w:tcPr>
            <w:tcW w:w="560" w:type="dxa"/>
            <w:vAlign w:val="bottom"/>
            <w:shd w:val="clear" w:color="auto" w:fill="E5E5E5"/>
          </w:tcPr>
          <w:p>
            <w:pPr>
              <w:spacing w:after="0"/>
              <w:rPr>
                <w:sz w:val="18"/>
                <w:szCs w:val="18"/>
                <w:color w:val="auto"/>
              </w:rPr>
            </w:pPr>
          </w:p>
        </w:tc>
        <w:tc>
          <w:tcPr>
            <w:tcW w:w="146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4,161</w:t>
            </w:r>
          </w:p>
        </w:tc>
        <w:tc>
          <w:tcPr>
            <w:tcW w:w="46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1,106</w:t>
            </w:r>
          </w:p>
        </w:tc>
        <w:tc>
          <w:tcPr>
            <w:tcW w:w="1040" w:type="dxa"/>
            <w:vAlign w:val="bottom"/>
            <w:shd w:val="clear" w:color="auto" w:fill="E5E5E5"/>
          </w:tcPr>
          <w:p>
            <w:pPr>
              <w:jc w:val="right"/>
              <w:ind w:right="257"/>
              <w:spacing w:after="0"/>
              <w:rPr>
                <w:sz w:val="20"/>
                <w:szCs w:val="20"/>
                <w:color w:val="auto"/>
              </w:rPr>
            </w:pPr>
            <w:r>
              <w:rPr>
                <w:rFonts w:ascii="Arial" w:cs="Arial" w:eastAsia="Arial" w:hAnsi="Arial"/>
                <w:sz w:val="18"/>
                <w:szCs w:val="18"/>
                <w:color w:val="auto"/>
              </w:rPr>
              <w:t>3,055</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520</w:t>
            </w:r>
          </w:p>
        </w:tc>
        <w:tc>
          <w:tcPr>
            <w:tcW w:w="560" w:type="dxa"/>
            <w:vAlign w:val="bottom"/>
          </w:tcPr>
          <w:p>
            <w:pPr>
              <w:spacing w:after="0"/>
              <w:rPr>
                <w:sz w:val="18"/>
                <w:szCs w:val="18"/>
                <w:color w:val="auto"/>
              </w:rPr>
            </w:pPr>
          </w:p>
        </w:tc>
        <w:tc>
          <w:tcPr>
            <w:tcW w:w="1460" w:type="dxa"/>
            <w:vAlign w:val="bottom"/>
          </w:tcPr>
          <w:p>
            <w:pPr>
              <w:jc w:val="right"/>
              <w:ind w:right="135"/>
              <w:spacing w:after="0"/>
              <w:rPr>
                <w:sz w:val="20"/>
                <w:szCs w:val="20"/>
                <w:color w:val="auto"/>
              </w:rPr>
            </w:pPr>
            <w:r>
              <w:rPr>
                <w:rFonts w:ascii="Arial" w:cs="Arial" w:eastAsia="Arial" w:hAnsi="Arial"/>
                <w:sz w:val="18"/>
                <w:szCs w:val="18"/>
                <w:color w:val="auto"/>
              </w:rPr>
              <w:t>(532)</w:t>
            </w:r>
          </w:p>
        </w:tc>
        <w:tc>
          <w:tcPr>
            <w:tcW w:w="460" w:type="dxa"/>
            <w:vAlign w:val="bottom"/>
          </w:tcPr>
          <w:p>
            <w:pPr>
              <w:spacing w:after="0"/>
              <w:rPr>
                <w:sz w:val="18"/>
                <w:szCs w:val="18"/>
                <w:color w:val="auto"/>
              </w:rPr>
            </w:pPr>
          </w:p>
        </w:tc>
        <w:tc>
          <w:tcPr>
            <w:tcW w:w="1080" w:type="dxa"/>
            <w:vAlign w:val="bottom"/>
          </w:tcPr>
          <w:p>
            <w:pPr>
              <w:jc w:val="right"/>
              <w:ind w:right="374"/>
              <w:spacing w:after="0"/>
              <w:rPr>
                <w:sz w:val="20"/>
                <w:szCs w:val="20"/>
                <w:color w:val="auto"/>
              </w:rPr>
            </w:pPr>
            <w:r>
              <w:rPr>
                <w:rFonts w:ascii="Arial" w:cs="Arial" w:eastAsia="Arial" w:hAnsi="Arial"/>
                <w:sz w:val="18"/>
                <w:szCs w:val="18"/>
                <w:color w:val="auto"/>
              </w:rPr>
              <w:t>74</w:t>
            </w:r>
          </w:p>
        </w:tc>
        <w:tc>
          <w:tcPr>
            <w:tcW w:w="1040" w:type="dxa"/>
            <w:vAlign w:val="bottom"/>
          </w:tcPr>
          <w:p>
            <w:pPr>
              <w:jc w:val="right"/>
              <w:ind w:right="197"/>
              <w:spacing w:after="0"/>
              <w:rPr>
                <w:sz w:val="20"/>
                <w:szCs w:val="20"/>
                <w:color w:val="auto"/>
              </w:rPr>
            </w:pPr>
            <w:r>
              <w:rPr>
                <w:rFonts w:ascii="Arial" w:cs="Arial" w:eastAsia="Arial" w:hAnsi="Arial"/>
                <w:sz w:val="18"/>
                <w:szCs w:val="18"/>
                <w:color w:val="auto"/>
              </w:rPr>
              <w:t>(606)</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13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(1,117)</w:t>
            </w:r>
          </w:p>
        </w:tc>
        <w:tc>
          <w:tcPr>
            <w:tcW w:w="560" w:type="dxa"/>
            <w:vAlign w:val="bottom"/>
            <w:tcBorders>
              <w:bottom w:val="single" w:sz="8" w:color="auto"/>
            </w:tcBorders>
            <w:shd w:val="clear" w:color="auto" w:fill="E5E5E5"/>
          </w:tcPr>
          <w:p>
            <w:pPr>
              <w:spacing w:after="0"/>
              <w:rPr>
                <w:sz w:val="18"/>
                <w:szCs w:val="18"/>
                <w:color w:val="auto"/>
              </w:rPr>
            </w:pPr>
          </w:p>
        </w:tc>
        <w:tc>
          <w:tcPr>
            <w:tcW w:w="14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(11)</w:t>
            </w:r>
          </w:p>
        </w:tc>
        <w:tc>
          <w:tcPr>
            <w:tcW w:w="46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374"/>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(11)</w:t>
            </w:r>
          </w:p>
        </w:tc>
        <w:tc>
          <w:tcPr>
            <w:tcW w:w="4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Comcast Consolidated</w:t>
            </w:r>
          </w:p>
        </w:tc>
        <w:tc>
          <w:tcPr>
            <w:tcW w:w="13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$ 51,043</w:t>
            </w: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b w:val="1"/>
                <w:bCs w:val="1"/>
                <w:color w:val="auto"/>
              </w:rPr>
              <w:t>17,046</w:t>
            </w:r>
          </w:p>
        </w:tc>
        <w:tc>
          <w:tcPr>
            <w:tcW w:w="4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b w:val="1"/>
                <w:bCs w:val="1"/>
                <w:color w:val="auto"/>
              </w:rPr>
              <w:t>5,929</w:t>
            </w:r>
          </w:p>
        </w:tc>
        <w:tc>
          <w:tcPr>
            <w:tcW w:w="104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b w:val="1"/>
                <w:bCs w:val="1"/>
                <w:color w:val="auto"/>
              </w:rPr>
              <w:t>$11,117</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5,196</w:t>
            </w:r>
          </w:p>
        </w:tc>
        <w:tc>
          <w:tcPr>
            <w:tcW w:w="0" w:type="dxa"/>
            <w:vAlign w:val="bottom"/>
          </w:tcPr>
          <w:p>
            <w:pPr>
              <w:spacing w:after="0"/>
              <w:rPr>
                <w:sz w:val="1"/>
                <w:szCs w:val="1"/>
                <w:color w:val="auto"/>
              </w:rPr>
            </w:pPr>
          </w:p>
        </w:tc>
      </w:tr>
      <w:tr>
        <w:trPr>
          <w:trHeight w:val="284"/>
        </w:trPr>
        <w:tc>
          <w:tcPr>
            <w:tcW w:w="40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4"/>
                <w:szCs w:val="14"/>
                <w:color w:val="auto"/>
              </w:rPr>
              <w:t>Nine Months Ended September 30, 2013</w:t>
            </w:r>
          </w:p>
        </w:tc>
        <w:tc>
          <w:tcPr>
            <w:tcW w:w="10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20" w:type="dxa"/>
            <w:vAlign w:val="bottom"/>
            <w:gridSpan w:val="2"/>
          </w:tcPr>
          <w:p>
            <w:pPr>
              <w:ind w:left="180"/>
              <w:spacing w:after="0" w:line="131" w:lineRule="exact"/>
              <w:rPr>
                <w:sz w:val="20"/>
                <w:szCs w:val="20"/>
                <w:color w:val="auto"/>
              </w:rPr>
            </w:pPr>
            <w:r>
              <w:rPr>
                <w:rFonts w:ascii="Arial" w:cs="Arial" w:eastAsia="Arial" w:hAnsi="Arial"/>
                <w:sz w:val="14"/>
                <w:szCs w:val="14"/>
                <w:color w:val="auto"/>
              </w:rPr>
              <w:t>Operating Income (Loss)</w:t>
            </w:r>
          </w:p>
        </w:tc>
        <w:tc>
          <w:tcPr>
            <w:tcW w:w="1540" w:type="dxa"/>
            <w:vAlign w:val="bottom"/>
            <w:gridSpan w:val="2"/>
          </w:tcPr>
          <w:p>
            <w:pPr>
              <w:ind w:left="220"/>
              <w:spacing w:after="0" w:line="131" w:lineRule="exact"/>
              <w:rPr>
                <w:sz w:val="20"/>
                <w:szCs w:val="20"/>
                <w:color w:val="auto"/>
              </w:rPr>
            </w:pPr>
            <w:r>
              <w:rPr>
                <w:rFonts w:ascii="Arial" w:cs="Arial" w:eastAsia="Arial" w:hAnsi="Arial"/>
                <w:sz w:val="14"/>
                <w:szCs w:val="14"/>
                <w:color w:val="auto"/>
              </w:rPr>
              <w:t>Depreciation</w:t>
            </w:r>
          </w:p>
        </w:tc>
        <w:tc>
          <w:tcPr>
            <w:tcW w:w="1040" w:type="dxa"/>
            <w:vAlign w:val="bottom"/>
          </w:tcPr>
          <w:p>
            <w:pPr>
              <w:jc w:val="center"/>
              <w:ind w:right="257"/>
              <w:spacing w:after="0" w:line="131" w:lineRule="exact"/>
              <w:rPr>
                <w:sz w:val="20"/>
                <w:szCs w:val="20"/>
                <w:color w:val="auto"/>
              </w:rPr>
            </w:pPr>
            <w:r>
              <w:rPr>
                <w:rFonts w:ascii="Arial" w:cs="Arial" w:eastAsia="Arial" w:hAnsi="Arial"/>
                <w:sz w:val="14"/>
                <w:szCs w:val="14"/>
                <w:color w:val="auto"/>
                <w:w w:val="87"/>
              </w:rPr>
              <w:t>Operating</w:t>
            </w: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vMerge w:val="restart"/>
          </w:tcPr>
          <w:p>
            <w:pPr>
              <w:jc w:val="right"/>
              <w:ind w:right="434"/>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(e)</w:t>
            </w:r>
          </w:p>
        </w:tc>
        <w:tc>
          <w:tcPr>
            <w:tcW w:w="2020" w:type="dxa"/>
            <w:vAlign w:val="bottom"/>
            <w:gridSpan w:val="2"/>
          </w:tcPr>
          <w:p>
            <w:pPr>
              <w:ind w:left="200"/>
              <w:spacing w:after="0" w:line="133" w:lineRule="exact"/>
              <w:rPr>
                <w:sz w:val="20"/>
                <w:szCs w:val="20"/>
                <w:color w:val="auto"/>
              </w:rPr>
            </w:pPr>
            <w:r>
              <w:rPr>
                <w:rFonts w:ascii="Arial" w:cs="Arial" w:eastAsia="Arial" w:hAnsi="Arial"/>
                <w:sz w:val="14"/>
                <w:szCs w:val="14"/>
                <w:color w:val="auto"/>
              </w:rPr>
              <w:t>Before Depreciation and</w:t>
            </w:r>
          </w:p>
        </w:tc>
        <w:tc>
          <w:tcPr>
            <w:tcW w:w="460" w:type="dxa"/>
            <w:vAlign w:val="bottom"/>
          </w:tcPr>
          <w:p>
            <w:pPr>
              <w:spacing w:after="0"/>
              <w:rPr>
                <w:sz w:val="11"/>
                <w:szCs w:val="11"/>
                <w:color w:val="auto"/>
              </w:rPr>
            </w:pPr>
          </w:p>
        </w:tc>
        <w:tc>
          <w:tcPr>
            <w:tcW w:w="1080" w:type="dxa"/>
            <w:vAlign w:val="bottom"/>
          </w:tcPr>
          <w:p>
            <w:pPr>
              <w:jc w:val="right"/>
              <w:ind w:right="774"/>
              <w:spacing w:after="0" w:line="133" w:lineRule="exact"/>
              <w:rPr>
                <w:sz w:val="20"/>
                <w:szCs w:val="20"/>
                <w:color w:val="auto"/>
              </w:rPr>
            </w:pPr>
            <w:r>
              <w:rPr>
                <w:rFonts w:ascii="Arial" w:cs="Arial" w:eastAsia="Arial" w:hAnsi="Arial"/>
                <w:sz w:val="14"/>
                <w:szCs w:val="14"/>
                <w:color w:val="auto"/>
                <w:w w:val="85"/>
              </w:rPr>
              <w:t>and</w:t>
            </w:r>
          </w:p>
        </w:tc>
        <w:tc>
          <w:tcPr>
            <w:tcW w:w="1040" w:type="dxa"/>
            <w:vAlign w:val="bottom"/>
          </w:tcPr>
          <w:p>
            <w:pPr>
              <w:jc w:val="center"/>
              <w:ind w:right="237"/>
              <w:spacing w:after="0" w:line="133" w:lineRule="exact"/>
              <w:rPr>
                <w:sz w:val="20"/>
                <w:szCs w:val="20"/>
                <w:color w:val="auto"/>
              </w:rPr>
            </w:pPr>
            <w:r>
              <w:rPr>
                <w:rFonts w:ascii="Arial" w:cs="Arial" w:eastAsia="Arial" w:hAnsi="Arial"/>
                <w:sz w:val="14"/>
                <w:szCs w:val="14"/>
                <w:color w:val="auto"/>
                <w:w w:val="87"/>
              </w:rPr>
              <w:t>Income</w:t>
            </w:r>
          </w:p>
        </w:tc>
        <w:tc>
          <w:tcPr>
            <w:tcW w:w="42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4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1340" w:type="dxa"/>
            <w:vAlign w:val="bottom"/>
            <w:tcBorders>
              <w:bottom w:val="single" w:sz="8" w:color="auto"/>
            </w:tcBorders>
            <w:vMerge w:val="continue"/>
          </w:tcPr>
          <w:p>
            <w:pPr>
              <w:spacing w:after="0"/>
              <w:rPr>
                <w:sz w:val="15"/>
                <w:szCs w:val="15"/>
                <w:color w:val="auto"/>
              </w:rPr>
            </w:pPr>
          </w:p>
        </w:tc>
        <w:tc>
          <w:tcPr>
            <w:tcW w:w="2020" w:type="dxa"/>
            <w:vAlign w:val="bottom"/>
            <w:tcBorders>
              <w:bottom w:val="single" w:sz="8" w:color="auto"/>
            </w:tcBorders>
            <w:gridSpan w:val="2"/>
          </w:tcPr>
          <w:p>
            <w:pPr>
              <w:jc w:val="right"/>
              <w:ind w:right="655"/>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(f)</w:t>
            </w:r>
          </w:p>
        </w:tc>
        <w:tc>
          <w:tcPr>
            <w:tcW w:w="15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Amortization</w:t>
            </w:r>
          </w:p>
        </w:tc>
        <w:tc>
          <w:tcPr>
            <w:tcW w:w="104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color w:val="auto"/>
                <w:w w:val="87"/>
              </w:rPr>
              <w:t>(Loss)</w:t>
            </w:r>
          </w:p>
        </w:tc>
        <w:tc>
          <w:tcPr>
            <w:tcW w:w="11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43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340" w:type="dxa"/>
            <w:vAlign w:val="bottom"/>
            <w:shd w:val="clear" w:color="auto" w:fill="E5E5E5"/>
          </w:tcPr>
          <w:p>
            <w:pPr>
              <w:jc w:val="right"/>
              <w:ind w:right="434"/>
              <w:spacing w:after="0"/>
              <w:rPr>
                <w:sz w:val="20"/>
                <w:szCs w:val="20"/>
                <w:color w:val="auto"/>
              </w:rPr>
            </w:pPr>
            <w:r>
              <w:rPr>
                <w:rFonts w:ascii="Arial" w:cs="Arial" w:eastAsia="Arial" w:hAnsi="Arial"/>
                <w:sz w:val="18"/>
                <w:szCs w:val="18"/>
                <w:color w:val="auto"/>
              </w:rPr>
              <w:t>$ 31,175</w:t>
            </w:r>
          </w:p>
        </w:tc>
        <w:tc>
          <w:tcPr>
            <w:tcW w:w="560" w:type="dxa"/>
            <w:vAlign w:val="bottom"/>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12,800</w:t>
            </w:r>
          </w:p>
        </w:tc>
        <w:tc>
          <w:tcPr>
            <w:tcW w:w="4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514"/>
              <w:spacing w:after="0"/>
              <w:rPr>
                <w:sz w:val="20"/>
                <w:szCs w:val="20"/>
                <w:color w:val="auto"/>
              </w:rPr>
            </w:pPr>
            <w:r>
              <w:rPr>
                <w:rFonts w:ascii="Arial" w:cs="Arial" w:eastAsia="Arial" w:hAnsi="Arial"/>
                <w:sz w:val="18"/>
                <w:szCs w:val="18"/>
                <w:color w:val="auto"/>
              </w:rPr>
              <w:t>4,780</w:t>
            </w:r>
          </w:p>
        </w:tc>
        <w:tc>
          <w:tcPr>
            <w:tcW w:w="104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w w:val="99"/>
              </w:rPr>
              <w:t>$ 8,020</w:t>
            </w:r>
          </w:p>
        </w:tc>
        <w:tc>
          <w:tcPr>
            <w:tcW w:w="42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3,766</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NBCUniversal</w:t>
            </w: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(b)</w:t>
            </w:r>
          </w:p>
        </w:tc>
        <w:tc>
          <w:tcPr>
            <w:tcW w:w="1340" w:type="dxa"/>
            <w:vAlign w:val="bottom"/>
            <w:shd w:val="clear" w:color="auto" w:fill="E5E5E5"/>
          </w:tcPr>
          <w:p>
            <w:pPr>
              <w:jc w:val="right"/>
              <w:ind w:right="434"/>
              <w:spacing w:after="0"/>
              <w:rPr>
                <w:sz w:val="20"/>
                <w:szCs w:val="20"/>
                <w:color w:val="auto"/>
              </w:rPr>
            </w:pPr>
            <w:r>
              <w:rPr>
                <w:rFonts w:ascii="Arial" w:cs="Arial" w:eastAsia="Arial" w:hAnsi="Arial"/>
                <w:sz w:val="18"/>
                <w:szCs w:val="18"/>
                <w:color w:val="auto"/>
              </w:rPr>
              <w:t>6,877</w:t>
            </w:r>
          </w:p>
        </w:tc>
        <w:tc>
          <w:tcPr>
            <w:tcW w:w="560" w:type="dxa"/>
            <w:vAlign w:val="bottom"/>
            <w:shd w:val="clear" w:color="auto" w:fill="E5E5E5"/>
          </w:tcPr>
          <w:p>
            <w:pPr>
              <w:spacing w:after="0"/>
              <w:rPr>
                <w:sz w:val="18"/>
                <w:szCs w:val="18"/>
                <w:color w:val="auto"/>
              </w:rPr>
            </w:pPr>
          </w:p>
        </w:tc>
        <w:tc>
          <w:tcPr>
            <w:tcW w:w="146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2,572</w:t>
            </w:r>
          </w:p>
        </w:tc>
        <w:tc>
          <w:tcPr>
            <w:tcW w:w="46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514"/>
              <w:spacing w:after="0"/>
              <w:rPr>
                <w:sz w:val="20"/>
                <w:szCs w:val="20"/>
                <w:color w:val="auto"/>
              </w:rPr>
            </w:pPr>
            <w:r>
              <w:rPr>
                <w:rFonts w:ascii="Arial" w:cs="Arial" w:eastAsia="Arial" w:hAnsi="Arial"/>
                <w:sz w:val="18"/>
                <w:szCs w:val="18"/>
                <w:color w:val="auto"/>
              </w:rPr>
              <w:t>549</w:t>
            </w:r>
          </w:p>
        </w:tc>
        <w:tc>
          <w:tcPr>
            <w:tcW w:w="104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2,023</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Broadcast Television</w:t>
            </w:r>
          </w:p>
        </w:tc>
        <w:tc>
          <w:tcPr>
            <w:tcW w:w="1340" w:type="dxa"/>
            <w:vAlign w:val="bottom"/>
          </w:tcPr>
          <w:p>
            <w:pPr>
              <w:jc w:val="right"/>
              <w:ind w:right="434"/>
              <w:spacing w:after="0"/>
              <w:rPr>
                <w:sz w:val="20"/>
                <w:szCs w:val="20"/>
                <w:color w:val="auto"/>
              </w:rPr>
            </w:pPr>
            <w:r>
              <w:rPr>
                <w:rFonts w:ascii="Arial" w:cs="Arial" w:eastAsia="Arial" w:hAnsi="Arial"/>
                <w:sz w:val="18"/>
                <w:szCs w:val="18"/>
                <w:color w:val="auto"/>
              </w:rPr>
              <w:t>4,893</w:t>
            </w:r>
          </w:p>
        </w:tc>
        <w:tc>
          <w:tcPr>
            <w:tcW w:w="560" w:type="dxa"/>
            <w:vAlign w:val="bottom"/>
          </w:tcPr>
          <w:p>
            <w:pPr>
              <w:spacing w:after="0"/>
              <w:rPr>
                <w:sz w:val="18"/>
                <w:szCs w:val="18"/>
                <w:color w:val="auto"/>
              </w:rPr>
            </w:pPr>
          </w:p>
        </w:tc>
        <w:tc>
          <w:tcPr>
            <w:tcW w:w="1460" w:type="dxa"/>
            <w:vAlign w:val="bottom"/>
          </w:tcPr>
          <w:p>
            <w:pPr>
              <w:jc w:val="right"/>
              <w:ind w:right="395"/>
              <w:spacing w:after="0"/>
              <w:rPr>
                <w:sz w:val="20"/>
                <w:szCs w:val="20"/>
                <w:color w:val="auto"/>
              </w:rPr>
            </w:pPr>
            <w:r>
              <w:rPr>
                <w:rFonts w:ascii="Arial" w:cs="Arial" w:eastAsia="Arial" w:hAnsi="Arial"/>
                <w:sz w:val="18"/>
                <w:szCs w:val="18"/>
                <w:color w:val="auto"/>
              </w:rPr>
              <w:t>205</w:t>
            </w:r>
          </w:p>
        </w:tc>
        <w:tc>
          <w:tcPr>
            <w:tcW w:w="460" w:type="dxa"/>
            <w:vAlign w:val="bottom"/>
          </w:tcPr>
          <w:p>
            <w:pPr>
              <w:spacing w:after="0"/>
              <w:rPr>
                <w:sz w:val="18"/>
                <w:szCs w:val="18"/>
                <w:color w:val="auto"/>
              </w:rPr>
            </w:pPr>
          </w:p>
        </w:tc>
        <w:tc>
          <w:tcPr>
            <w:tcW w:w="1080" w:type="dxa"/>
            <w:vAlign w:val="bottom"/>
          </w:tcPr>
          <w:p>
            <w:pPr>
              <w:jc w:val="right"/>
              <w:ind w:right="514"/>
              <w:spacing w:after="0"/>
              <w:rPr>
                <w:sz w:val="20"/>
                <w:szCs w:val="20"/>
                <w:color w:val="auto"/>
              </w:rPr>
            </w:pPr>
            <w:r>
              <w:rPr>
                <w:rFonts w:ascii="Arial" w:cs="Arial" w:eastAsia="Arial" w:hAnsi="Arial"/>
                <w:sz w:val="18"/>
                <w:szCs w:val="18"/>
                <w:color w:val="auto"/>
              </w:rPr>
              <w:t>74</w:t>
            </w:r>
          </w:p>
        </w:tc>
        <w:tc>
          <w:tcPr>
            <w:tcW w:w="1040" w:type="dxa"/>
            <w:vAlign w:val="bottom"/>
          </w:tcPr>
          <w:p>
            <w:pPr>
              <w:jc w:val="right"/>
              <w:ind w:right="337"/>
              <w:spacing w:after="0"/>
              <w:rPr>
                <w:sz w:val="20"/>
                <w:szCs w:val="20"/>
                <w:color w:val="auto"/>
              </w:rPr>
            </w:pPr>
            <w:r>
              <w:rPr>
                <w:rFonts w:ascii="Arial" w:cs="Arial" w:eastAsia="Arial" w:hAnsi="Arial"/>
                <w:sz w:val="18"/>
                <w:szCs w:val="18"/>
                <w:color w:val="auto"/>
              </w:rPr>
              <w:t>131</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Filmed Entertainment</w:t>
            </w:r>
            <w:r>
              <w:rPr>
                <w:rFonts w:ascii="Arial" w:cs="Arial" w:eastAsia="Arial" w:hAnsi="Arial"/>
                <w:sz w:val="11"/>
                <w:szCs w:val="11"/>
                <w:color w:val="auto"/>
              </w:rPr>
              <w:t>(b)</w:t>
            </w:r>
          </w:p>
        </w:tc>
        <w:tc>
          <w:tcPr>
            <w:tcW w:w="1340" w:type="dxa"/>
            <w:vAlign w:val="bottom"/>
            <w:shd w:val="clear" w:color="auto" w:fill="E5E5E5"/>
          </w:tcPr>
          <w:p>
            <w:pPr>
              <w:jc w:val="right"/>
              <w:ind w:right="434"/>
              <w:spacing w:after="0"/>
              <w:rPr>
                <w:sz w:val="20"/>
                <w:szCs w:val="20"/>
                <w:color w:val="auto"/>
              </w:rPr>
            </w:pPr>
            <w:r>
              <w:rPr>
                <w:rFonts w:ascii="Arial" w:cs="Arial" w:eastAsia="Arial" w:hAnsi="Arial"/>
                <w:sz w:val="18"/>
                <w:szCs w:val="18"/>
                <w:color w:val="auto"/>
              </w:rPr>
              <w:t>4,004</w:t>
            </w:r>
          </w:p>
        </w:tc>
        <w:tc>
          <w:tcPr>
            <w:tcW w:w="560" w:type="dxa"/>
            <w:vAlign w:val="bottom"/>
            <w:shd w:val="clear" w:color="auto" w:fill="E5E5E5"/>
          </w:tcPr>
          <w:p>
            <w:pPr>
              <w:spacing w:after="0"/>
              <w:rPr>
                <w:sz w:val="18"/>
                <w:szCs w:val="18"/>
                <w:color w:val="auto"/>
              </w:rPr>
            </w:pPr>
          </w:p>
        </w:tc>
        <w:tc>
          <w:tcPr>
            <w:tcW w:w="146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291</w:t>
            </w:r>
          </w:p>
        </w:tc>
        <w:tc>
          <w:tcPr>
            <w:tcW w:w="46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514"/>
              <w:spacing w:after="0"/>
              <w:rPr>
                <w:sz w:val="20"/>
                <w:szCs w:val="20"/>
                <w:color w:val="auto"/>
              </w:rPr>
            </w:pPr>
            <w:r>
              <w:rPr>
                <w:rFonts w:ascii="Arial" w:cs="Arial" w:eastAsia="Arial" w:hAnsi="Arial"/>
                <w:sz w:val="18"/>
                <w:szCs w:val="18"/>
                <w:color w:val="auto"/>
              </w:rPr>
              <w:t>11</w:t>
            </w:r>
          </w:p>
        </w:tc>
        <w:tc>
          <w:tcPr>
            <w:tcW w:w="104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280</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Theme Parks</w:t>
            </w:r>
          </w:p>
        </w:tc>
        <w:tc>
          <w:tcPr>
            <w:tcW w:w="1340" w:type="dxa"/>
            <w:vAlign w:val="bottom"/>
          </w:tcPr>
          <w:p>
            <w:pPr>
              <w:jc w:val="right"/>
              <w:ind w:right="434"/>
              <w:spacing w:after="0"/>
              <w:rPr>
                <w:sz w:val="20"/>
                <w:szCs w:val="20"/>
                <w:color w:val="auto"/>
              </w:rPr>
            </w:pPr>
            <w:r>
              <w:rPr>
                <w:rFonts w:ascii="Arial" w:cs="Arial" w:eastAsia="Arial" w:hAnsi="Arial"/>
                <w:sz w:val="18"/>
                <w:szCs w:val="18"/>
                <w:color w:val="auto"/>
              </w:rPr>
              <w:t>1,669</w:t>
            </w:r>
          </w:p>
        </w:tc>
        <w:tc>
          <w:tcPr>
            <w:tcW w:w="560" w:type="dxa"/>
            <w:vAlign w:val="bottom"/>
          </w:tcPr>
          <w:p>
            <w:pPr>
              <w:spacing w:after="0"/>
              <w:rPr>
                <w:sz w:val="18"/>
                <w:szCs w:val="18"/>
                <w:color w:val="auto"/>
              </w:rPr>
            </w:pPr>
          </w:p>
        </w:tc>
        <w:tc>
          <w:tcPr>
            <w:tcW w:w="1460" w:type="dxa"/>
            <w:vAlign w:val="bottom"/>
          </w:tcPr>
          <w:p>
            <w:pPr>
              <w:jc w:val="right"/>
              <w:ind w:right="395"/>
              <w:spacing w:after="0"/>
              <w:rPr>
                <w:sz w:val="20"/>
                <w:szCs w:val="20"/>
                <w:color w:val="auto"/>
              </w:rPr>
            </w:pPr>
            <w:r>
              <w:rPr>
                <w:rFonts w:ascii="Arial" w:cs="Arial" w:eastAsia="Arial" w:hAnsi="Arial"/>
                <w:sz w:val="18"/>
                <w:szCs w:val="18"/>
                <w:color w:val="auto"/>
              </w:rPr>
              <w:t>747</w:t>
            </w:r>
          </w:p>
        </w:tc>
        <w:tc>
          <w:tcPr>
            <w:tcW w:w="460" w:type="dxa"/>
            <w:vAlign w:val="bottom"/>
          </w:tcPr>
          <w:p>
            <w:pPr>
              <w:spacing w:after="0"/>
              <w:rPr>
                <w:sz w:val="18"/>
                <w:szCs w:val="18"/>
                <w:color w:val="auto"/>
              </w:rPr>
            </w:pPr>
          </w:p>
        </w:tc>
        <w:tc>
          <w:tcPr>
            <w:tcW w:w="1080" w:type="dxa"/>
            <w:vAlign w:val="bottom"/>
          </w:tcPr>
          <w:p>
            <w:pPr>
              <w:jc w:val="right"/>
              <w:ind w:right="514"/>
              <w:spacing w:after="0"/>
              <w:rPr>
                <w:sz w:val="20"/>
                <w:szCs w:val="20"/>
                <w:color w:val="auto"/>
              </w:rPr>
            </w:pPr>
            <w:r>
              <w:rPr>
                <w:rFonts w:ascii="Arial" w:cs="Arial" w:eastAsia="Arial" w:hAnsi="Arial"/>
                <w:sz w:val="18"/>
                <w:szCs w:val="18"/>
                <w:color w:val="auto"/>
              </w:rPr>
              <w:t>218</w:t>
            </w:r>
          </w:p>
        </w:tc>
        <w:tc>
          <w:tcPr>
            <w:tcW w:w="1040" w:type="dxa"/>
            <w:vAlign w:val="bottom"/>
          </w:tcPr>
          <w:p>
            <w:pPr>
              <w:jc w:val="right"/>
              <w:ind w:right="337"/>
              <w:spacing w:after="0"/>
              <w:rPr>
                <w:sz w:val="20"/>
                <w:szCs w:val="20"/>
                <w:color w:val="auto"/>
              </w:rPr>
            </w:pPr>
            <w:r>
              <w:rPr>
                <w:rFonts w:ascii="Arial" w:cs="Arial" w:eastAsia="Arial" w:hAnsi="Arial"/>
                <w:sz w:val="18"/>
                <w:szCs w:val="18"/>
                <w:color w:val="auto"/>
              </w:rPr>
              <w:t>529</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(c)</w:t>
            </w:r>
          </w:p>
        </w:tc>
        <w:tc>
          <w:tcPr>
            <w:tcW w:w="1340" w:type="dxa"/>
            <w:vAlign w:val="bottom"/>
            <w:shd w:val="clear" w:color="auto" w:fill="E5E5E5"/>
          </w:tcPr>
          <w:p>
            <w:pPr>
              <w:jc w:val="right"/>
              <w:ind w:right="434"/>
              <w:spacing w:after="0"/>
              <w:rPr>
                <w:sz w:val="20"/>
                <w:szCs w:val="20"/>
                <w:color w:val="auto"/>
              </w:rPr>
            </w:pPr>
            <w:r>
              <w:rPr>
                <w:rFonts w:ascii="Arial" w:cs="Arial" w:eastAsia="Arial" w:hAnsi="Arial"/>
                <w:sz w:val="18"/>
                <w:szCs w:val="18"/>
                <w:color w:val="auto"/>
              </w:rPr>
              <w:t>25</w:t>
            </w:r>
          </w:p>
        </w:tc>
        <w:tc>
          <w:tcPr>
            <w:tcW w:w="560" w:type="dxa"/>
            <w:vAlign w:val="bottom"/>
            <w:shd w:val="clear" w:color="auto" w:fill="E5E5E5"/>
          </w:tcPr>
          <w:p>
            <w:pPr>
              <w:spacing w:after="0"/>
              <w:rPr>
                <w:sz w:val="18"/>
                <w:szCs w:val="18"/>
                <w:color w:val="auto"/>
              </w:rPr>
            </w:pPr>
          </w:p>
        </w:tc>
        <w:tc>
          <w:tcPr>
            <w:tcW w:w="146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(416)</w:t>
            </w:r>
          </w:p>
        </w:tc>
        <w:tc>
          <w:tcPr>
            <w:tcW w:w="46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514"/>
              <w:spacing w:after="0"/>
              <w:rPr>
                <w:sz w:val="20"/>
                <w:szCs w:val="20"/>
                <w:color w:val="auto"/>
              </w:rPr>
            </w:pPr>
            <w:r>
              <w:rPr>
                <w:rFonts w:ascii="Arial" w:cs="Arial" w:eastAsia="Arial" w:hAnsi="Arial"/>
                <w:sz w:val="18"/>
                <w:szCs w:val="18"/>
                <w:color w:val="auto"/>
              </w:rPr>
              <w:t>193</w:t>
            </w:r>
          </w:p>
        </w:tc>
        <w:tc>
          <w:tcPr>
            <w:tcW w:w="104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(609)</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134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(282)</w:t>
            </w:r>
          </w:p>
        </w:tc>
        <w:tc>
          <w:tcPr>
            <w:tcW w:w="5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rPr>
              <w:t>(5)</w:t>
            </w: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color w:val="auto"/>
              </w:rPr>
              <w:t>(5)</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NBCUniversal</w:t>
            </w:r>
          </w:p>
        </w:tc>
        <w:tc>
          <w:tcPr>
            <w:tcW w:w="1340" w:type="dxa"/>
            <w:vAlign w:val="bottom"/>
            <w:shd w:val="clear" w:color="auto" w:fill="E5E5E5"/>
          </w:tcPr>
          <w:p>
            <w:pPr>
              <w:jc w:val="right"/>
              <w:ind w:right="434"/>
              <w:spacing w:after="0"/>
              <w:rPr>
                <w:sz w:val="20"/>
                <w:szCs w:val="20"/>
                <w:color w:val="auto"/>
              </w:rPr>
            </w:pPr>
            <w:r>
              <w:rPr>
                <w:rFonts w:ascii="Arial" w:cs="Arial" w:eastAsia="Arial" w:hAnsi="Arial"/>
                <w:sz w:val="18"/>
                <w:szCs w:val="18"/>
                <w:color w:val="auto"/>
              </w:rPr>
              <w:t>17,186</w:t>
            </w:r>
          </w:p>
        </w:tc>
        <w:tc>
          <w:tcPr>
            <w:tcW w:w="560" w:type="dxa"/>
            <w:vAlign w:val="bottom"/>
            <w:shd w:val="clear" w:color="auto" w:fill="E5E5E5"/>
          </w:tcPr>
          <w:p>
            <w:pPr>
              <w:spacing w:after="0"/>
              <w:rPr>
                <w:sz w:val="18"/>
                <w:szCs w:val="18"/>
                <w:color w:val="auto"/>
              </w:rPr>
            </w:pPr>
          </w:p>
        </w:tc>
        <w:tc>
          <w:tcPr>
            <w:tcW w:w="146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3,394</w:t>
            </w:r>
          </w:p>
        </w:tc>
        <w:tc>
          <w:tcPr>
            <w:tcW w:w="46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514"/>
              <w:spacing w:after="0"/>
              <w:rPr>
                <w:sz w:val="20"/>
                <w:szCs w:val="20"/>
                <w:color w:val="auto"/>
              </w:rPr>
            </w:pPr>
            <w:r>
              <w:rPr>
                <w:rFonts w:ascii="Arial" w:cs="Arial" w:eastAsia="Arial" w:hAnsi="Arial"/>
                <w:sz w:val="18"/>
                <w:szCs w:val="18"/>
                <w:color w:val="auto"/>
              </w:rPr>
              <w:t>1,045</w:t>
            </w:r>
          </w:p>
        </w:tc>
        <w:tc>
          <w:tcPr>
            <w:tcW w:w="104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2,349</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340" w:type="dxa"/>
            <w:vAlign w:val="bottom"/>
          </w:tcPr>
          <w:p>
            <w:pPr>
              <w:jc w:val="right"/>
              <w:ind w:right="434"/>
              <w:spacing w:after="0"/>
              <w:rPr>
                <w:sz w:val="20"/>
                <w:szCs w:val="20"/>
                <w:color w:val="auto"/>
              </w:rPr>
            </w:pPr>
            <w:r>
              <w:rPr>
                <w:rFonts w:ascii="Arial" w:cs="Arial" w:eastAsia="Arial" w:hAnsi="Arial"/>
                <w:sz w:val="18"/>
                <w:szCs w:val="18"/>
                <w:color w:val="auto"/>
              </w:rPr>
              <w:t>431</w:t>
            </w:r>
          </w:p>
        </w:tc>
        <w:tc>
          <w:tcPr>
            <w:tcW w:w="560" w:type="dxa"/>
            <w:vAlign w:val="bottom"/>
          </w:tcPr>
          <w:p>
            <w:pPr>
              <w:spacing w:after="0"/>
              <w:rPr>
                <w:sz w:val="18"/>
                <w:szCs w:val="18"/>
                <w:color w:val="auto"/>
              </w:rPr>
            </w:pPr>
          </w:p>
        </w:tc>
        <w:tc>
          <w:tcPr>
            <w:tcW w:w="1460" w:type="dxa"/>
            <w:vAlign w:val="bottom"/>
          </w:tcPr>
          <w:p>
            <w:pPr>
              <w:jc w:val="right"/>
              <w:ind w:right="335"/>
              <w:spacing w:after="0"/>
              <w:rPr>
                <w:sz w:val="20"/>
                <w:szCs w:val="20"/>
                <w:color w:val="auto"/>
              </w:rPr>
            </w:pPr>
            <w:r>
              <w:rPr>
                <w:rFonts w:ascii="Arial" w:cs="Arial" w:eastAsia="Arial" w:hAnsi="Arial"/>
                <w:sz w:val="18"/>
                <w:szCs w:val="18"/>
                <w:color w:val="auto"/>
              </w:rPr>
              <w:t>(380)</w:t>
            </w:r>
          </w:p>
        </w:tc>
        <w:tc>
          <w:tcPr>
            <w:tcW w:w="460" w:type="dxa"/>
            <w:vAlign w:val="bottom"/>
          </w:tcPr>
          <w:p>
            <w:pPr>
              <w:spacing w:after="0"/>
              <w:rPr>
                <w:sz w:val="18"/>
                <w:szCs w:val="18"/>
                <w:color w:val="auto"/>
              </w:rPr>
            </w:pPr>
          </w:p>
        </w:tc>
        <w:tc>
          <w:tcPr>
            <w:tcW w:w="1080" w:type="dxa"/>
            <w:vAlign w:val="bottom"/>
          </w:tcPr>
          <w:p>
            <w:pPr>
              <w:jc w:val="right"/>
              <w:ind w:right="514"/>
              <w:spacing w:after="0"/>
              <w:rPr>
                <w:sz w:val="20"/>
                <w:szCs w:val="20"/>
                <w:color w:val="auto"/>
              </w:rPr>
            </w:pPr>
            <w:r>
              <w:rPr>
                <w:rFonts w:ascii="Arial" w:cs="Arial" w:eastAsia="Arial" w:hAnsi="Arial"/>
                <w:sz w:val="18"/>
                <w:szCs w:val="18"/>
                <w:color w:val="auto"/>
              </w:rPr>
              <w:t>48</w:t>
            </w:r>
          </w:p>
        </w:tc>
        <w:tc>
          <w:tcPr>
            <w:tcW w:w="1040" w:type="dxa"/>
            <w:vAlign w:val="bottom"/>
          </w:tcPr>
          <w:p>
            <w:pPr>
              <w:jc w:val="right"/>
              <w:ind w:right="277"/>
              <w:spacing w:after="0"/>
              <w:rPr>
                <w:sz w:val="20"/>
                <w:szCs w:val="20"/>
                <w:color w:val="auto"/>
              </w:rPr>
            </w:pPr>
            <w:r>
              <w:rPr>
                <w:rFonts w:ascii="Arial" w:cs="Arial" w:eastAsia="Arial" w:hAnsi="Arial"/>
                <w:sz w:val="18"/>
                <w:szCs w:val="18"/>
                <w:color w:val="auto"/>
              </w:rPr>
              <w:t>(428)</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1340" w:type="dxa"/>
            <w:vAlign w:val="bottom"/>
            <w:tcBorders>
              <w:bottom w:val="single" w:sz="8" w:color="auto"/>
            </w:tcBorders>
            <w:shd w:val="clear" w:color="auto" w:fill="E5E5E5"/>
          </w:tcPr>
          <w:p>
            <w:pPr>
              <w:jc w:val="right"/>
              <w:ind w:right="374"/>
              <w:spacing w:after="0"/>
              <w:rPr>
                <w:sz w:val="20"/>
                <w:szCs w:val="20"/>
                <w:color w:val="auto"/>
              </w:rPr>
            </w:pPr>
            <w:r>
              <w:rPr>
                <w:rFonts w:ascii="Arial" w:cs="Arial" w:eastAsia="Arial" w:hAnsi="Arial"/>
                <w:sz w:val="18"/>
                <w:szCs w:val="18"/>
                <w:color w:val="auto"/>
              </w:rPr>
              <w:t>(1,061)</w:t>
            </w:r>
          </w:p>
        </w:tc>
        <w:tc>
          <w:tcPr>
            <w:tcW w:w="560" w:type="dxa"/>
            <w:vAlign w:val="bottom"/>
            <w:tcBorders>
              <w:bottom w:val="single" w:sz="8" w:color="auto"/>
            </w:tcBorders>
            <w:shd w:val="clear" w:color="auto" w:fill="E5E5E5"/>
          </w:tcPr>
          <w:p>
            <w:pPr>
              <w:spacing w:after="0"/>
              <w:rPr>
                <w:sz w:val="18"/>
                <w:szCs w:val="18"/>
                <w:color w:val="auto"/>
              </w:rPr>
            </w:pPr>
          </w:p>
        </w:tc>
        <w:tc>
          <w:tcPr>
            <w:tcW w:w="146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rPr>
              <w:t>(25)</w:t>
            </w:r>
          </w:p>
        </w:tc>
        <w:tc>
          <w:tcPr>
            <w:tcW w:w="46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514"/>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5E5E5"/>
          </w:tcPr>
          <w:p>
            <w:pPr>
              <w:jc w:val="right"/>
              <w:ind w:right="277"/>
              <w:spacing w:after="0"/>
              <w:rPr>
                <w:sz w:val="20"/>
                <w:szCs w:val="20"/>
                <w:color w:val="auto"/>
              </w:rPr>
            </w:pPr>
            <w:r>
              <w:rPr>
                <w:rFonts w:ascii="Arial" w:cs="Arial" w:eastAsia="Arial" w:hAnsi="Arial"/>
                <w:sz w:val="18"/>
                <w:szCs w:val="18"/>
                <w:color w:val="auto"/>
              </w:rPr>
              <w:t>(25)</w:t>
            </w:r>
          </w:p>
        </w:tc>
        <w:tc>
          <w:tcPr>
            <w:tcW w:w="4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Comcast Consolidated</w:t>
            </w: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8"/>
                <w:szCs w:val="18"/>
                <w:b w:val="1"/>
                <w:bCs w:val="1"/>
                <w:color w:val="auto"/>
              </w:rPr>
              <w:t>$ 47,731</w:t>
            </w:r>
          </w:p>
        </w:tc>
        <w:tc>
          <w:tcPr>
            <w:tcW w:w="5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tcPr>
          <w:p>
            <w:pPr>
              <w:jc w:val="right"/>
              <w:ind w:right="395"/>
              <w:spacing w:after="0"/>
              <w:rPr>
                <w:sz w:val="20"/>
                <w:szCs w:val="20"/>
                <w:color w:val="auto"/>
              </w:rPr>
            </w:pPr>
            <w:r>
              <w:rPr>
                <w:rFonts w:ascii="Arial" w:cs="Arial" w:eastAsia="Arial" w:hAnsi="Arial"/>
                <w:sz w:val="18"/>
                <w:szCs w:val="18"/>
                <w:b w:val="1"/>
                <w:bCs w:val="1"/>
                <w:color w:val="auto"/>
              </w:rPr>
              <w:t>15,789</w:t>
            </w: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8"/>
                <w:szCs w:val="18"/>
                <w:b w:val="1"/>
                <w:bCs w:val="1"/>
                <w:color w:val="auto"/>
              </w:rPr>
              <w:t>5,873</w:t>
            </w:r>
          </w:p>
        </w:tc>
        <w:tc>
          <w:tcPr>
            <w:tcW w:w="1040" w:type="dxa"/>
            <w:vAlign w:val="bottom"/>
            <w:tcBorders>
              <w:bottom w:val="single" w:sz="8" w:color="auto"/>
            </w:tcBorders>
          </w:tcPr>
          <w:p>
            <w:pPr>
              <w:jc w:val="right"/>
              <w:ind w:right="337"/>
              <w:spacing w:after="0"/>
              <w:rPr>
                <w:sz w:val="20"/>
                <w:szCs w:val="20"/>
                <w:color w:val="auto"/>
              </w:rPr>
            </w:pPr>
            <w:r>
              <w:rPr>
                <w:rFonts w:ascii="Arial" w:cs="Arial" w:eastAsia="Arial" w:hAnsi="Arial"/>
                <w:sz w:val="18"/>
                <w:szCs w:val="18"/>
                <w:b w:val="1"/>
                <w:bCs w:val="1"/>
                <w:color w:val="auto"/>
                <w:w w:val="99"/>
              </w:rPr>
              <w:t>$ 9,916</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4,593</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the three and nine months ended September 30, 2014 and 2013, Cable Communications segment revenue was derived from the following sources:</w:t>
      </w:r>
    </w:p>
    <w:p>
      <w:pPr>
        <w:spacing w:after="0" w:line="4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780" w:type="dxa"/>
            <w:vAlign w:val="bottom"/>
            <w:gridSpan w:val="2"/>
          </w:tcPr>
          <w:p>
            <w:pPr>
              <w:jc w:val="right"/>
              <w:ind w:right="712"/>
              <w:spacing w:after="0"/>
              <w:rPr>
                <w:sz w:val="20"/>
                <w:szCs w:val="20"/>
                <w:color w:val="auto"/>
              </w:rPr>
            </w:pPr>
            <w:r>
              <w:rPr>
                <w:rFonts w:ascii="Arial" w:cs="Arial" w:eastAsia="Arial" w:hAnsi="Arial"/>
                <w:sz w:val="14"/>
                <w:szCs w:val="14"/>
                <w:color w:val="auto"/>
              </w:rPr>
              <w:t>Three Months Ended</w:t>
            </w:r>
          </w:p>
        </w:tc>
        <w:tc>
          <w:tcPr>
            <w:tcW w:w="2140" w:type="dxa"/>
            <w:vAlign w:val="bottom"/>
            <w:gridSpan w:val="2"/>
          </w:tcPr>
          <w:p>
            <w:pPr>
              <w:jc w:val="right"/>
              <w:ind w:right="412"/>
              <w:spacing w:after="0"/>
              <w:rPr>
                <w:sz w:val="20"/>
                <w:szCs w:val="20"/>
                <w:color w:val="auto"/>
              </w:rPr>
            </w:pPr>
            <w:r>
              <w:rPr>
                <w:rFonts w:ascii="Arial" w:cs="Arial" w:eastAsia="Arial" w:hAnsi="Arial"/>
                <w:sz w:val="14"/>
                <w:szCs w:val="14"/>
                <w:color w:val="auto"/>
              </w:rPr>
              <w:t>Nine Months Ended</w:t>
            </w:r>
          </w:p>
        </w:tc>
      </w:tr>
      <w:tr>
        <w:trPr>
          <w:trHeight w:val="159"/>
        </w:trPr>
        <w:tc>
          <w:tcPr>
            <w:tcW w:w="6120" w:type="dxa"/>
            <w:vAlign w:val="bottom"/>
          </w:tcPr>
          <w:p>
            <w:pPr>
              <w:spacing w:after="0"/>
              <w:rPr>
                <w:sz w:val="13"/>
                <w:szCs w:val="13"/>
                <w:color w:val="auto"/>
              </w:rPr>
            </w:pPr>
          </w:p>
        </w:tc>
        <w:tc>
          <w:tcPr>
            <w:tcW w:w="18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September 30</w:t>
            </w:r>
          </w:p>
        </w:tc>
        <w:tc>
          <w:tcPr>
            <w:tcW w:w="9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September 30</w:t>
            </w:r>
          </w:p>
        </w:tc>
        <w:tc>
          <w:tcPr>
            <w:tcW w:w="600" w:type="dxa"/>
            <w:vAlign w:val="bottom"/>
            <w:tcBorders>
              <w:bottom w:val="single" w:sz="8" w:color="auto"/>
            </w:tcBorders>
          </w:tcPr>
          <w:p>
            <w:pPr>
              <w:spacing w:after="0"/>
              <w:rPr>
                <w:sz w:val="13"/>
                <w:szCs w:val="13"/>
                <w:color w:val="auto"/>
              </w:rPr>
            </w:pPr>
          </w:p>
        </w:tc>
      </w:tr>
      <w:tr>
        <w:trPr>
          <w:trHeight w:val="223"/>
        </w:trPr>
        <w:tc>
          <w:tcPr>
            <w:tcW w:w="6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color w:val="auto"/>
              </w:rPr>
              <w:t>2014</w:t>
            </w:r>
          </w:p>
        </w:tc>
        <w:tc>
          <w:tcPr>
            <w:tcW w:w="9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w w:val="96"/>
              </w:rPr>
              <w:t>2013</w:t>
            </w:r>
          </w:p>
        </w:tc>
        <w:tc>
          <w:tcPr>
            <w:tcW w:w="154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color w:val="auto"/>
              </w:rPr>
              <w:t>2014</w:t>
            </w:r>
          </w:p>
        </w:tc>
        <w:tc>
          <w:tcPr>
            <w:tcW w:w="6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w w:val="96"/>
              </w:rPr>
              <w:t>2013</w:t>
            </w:r>
          </w:p>
        </w:tc>
      </w:tr>
      <w:tr>
        <w:trPr>
          <w:trHeight w:val="142"/>
        </w:trPr>
        <w:tc>
          <w:tcPr>
            <w:tcW w:w="612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Residential:</w:t>
            </w:r>
          </w:p>
        </w:tc>
        <w:tc>
          <w:tcPr>
            <w:tcW w:w="18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54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r>
      <w:tr>
        <w:trPr>
          <w:trHeight w:val="149"/>
        </w:trPr>
        <w:tc>
          <w:tcPr>
            <w:tcW w:w="6120" w:type="dxa"/>
            <w:vAlign w:val="bottom"/>
          </w:tcPr>
          <w:p>
            <w:pPr>
              <w:ind w:left="440"/>
              <w:spacing w:after="0" w:line="149" w:lineRule="exact"/>
              <w:rPr>
                <w:sz w:val="20"/>
                <w:szCs w:val="20"/>
                <w:color w:val="auto"/>
              </w:rPr>
            </w:pPr>
            <w:r>
              <w:rPr>
                <w:rFonts w:ascii="Arial" w:cs="Arial" w:eastAsia="Arial" w:hAnsi="Arial"/>
                <w:sz w:val="14"/>
                <w:szCs w:val="14"/>
                <w:color w:val="auto"/>
              </w:rPr>
              <w:t>Video</w:t>
            </w:r>
          </w:p>
        </w:tc>
        <w:tc>
          <w:tcPr>
            <w:tcW w:w="1860" w:type="dxa"/>
            <w:vAlign w:val="bottom"/>
          </w:tcPr>
          <w:p>
            <w:pPr>
              <w:jc w:val="right"/>
              <w:ind w:right="592"/>
              <w:spacing w:after="0" w:line="149" w:lineRule="exact"/>
              <w:rPr>
                <w:sz w:val="20"/>
                <w:szCs w:val="20"/>
                <w:color w:val="auto"/>
              </w:rPr>
            </w:pPr>
            <w:r>
              <w:rPr>
                <w:rFonts w:ascii="Arial" w:cs="Arial" w:eastAsia="Arial" w:hAnsi="Arial"/>
                <w:sz w:val="14"/>
                <w:szCs w:val="14"/>
                <w:color w:val="auto"/>
              </w:rPr>
              <w:t>46.9%</w:t>
            </w:r>
          </w:p>
        </w:tc>
        <w:tc>
          <w:tcPr>
            <w:tcW w:w="9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48.9%</w:t>
            </w:r>
          </w:p>
        </w:tc>
        <w:tc>
          <w:tcPr>
            <w:tcW w:w="1540" w:type="dxa"/>
            <w:vAlign w:val="bottom"/>
          </w:tcPr>
          <w:p>
            <w:pPr>
              <w:jc w:val="right"/>
              <w:ind w:right="592"/>
              <w:spacing w:after="0" w:line="149" w:lineRule="exact"/>
              <w:rPr>
                <w:sz w:val="20"/>
                <w:szCs w:val="20"/>
                <w:color w:val="auto"/>
              </w:rPr>
            </w:pPr>
            <w:r>
              <w:rPr>
                <w:rFonts w:ascii="Arial" w:cs="Arial" w:eastAsia="Arial" w:hAnsi="Arial"/>
                <w:sz w:val="14"/>
                <w:szCs w:val="14"/>
                <w:color w:val="auto"/>
              </w:rPr>
              <w:t>47.5%</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49.4%</w:t>
            </w:r>
          </w:p>
        </w:tc>
      </w:tr>
      <w:tr>
        <w:trPr>
          <w:trHeight w:val="149"/>
        </w:trPr>
        <w:tc>
          <w:tcPr>
            <w:tcW w:w="6120" w:type="dxa"/>
            <w:vAlign w:val="bottom"/>
            <w:shd w:val="clear" w:color="auto" w:fill="E5E5E5"/>
          </w:tcPr>
          <w:p>
            <w:pPr>
              <w:ind w:left="440"/>
              <w:spacing w:after="0" w:line="149" w:lineRule="exact"/>
              <w:rPr>
                <w:sz w:val="20"/>
                <w:szCs w:val="20"/>
                <w:color w:val="auto"/>
              </w:rPr>
            </w:pPr>
            <w:r>
              <w:rPr>
                <w:rFonts w:ascii="Arial" w:cs="Arial" w:eastAsia="Arial" w:hAnsi="Arial"/>
                <w:sz w:val="14"/>
                <w:szCs w:val="14"/>
                <w:color w:val="auto"/>
              </w:rPr>
              <w:t>High-speed Internet</w:t>
            </w:r>
          </w:p>
        </w:tc>
        <w:tc>
          <w:tcPr>
            <w:tcW w:w="1860" w:type="dxa"/>
            <w:vAlign w:val="bottom"/>
            <w:shd w:val="clear" w:color="auto" w:fill="E5E5E5"/>
          </w:tcPr>
          <w:p>
            <w:pPr>
              <w:jc w:val="right"/>
              <w:ind w:right="592"/>
              <w:spacing w:after="0" w:line="149" w:lineRule="exact"/>
              <w:rPr>
                <w:sz w:val="20"/>
                <w:szCs w:val="20"/>
                <w:color w:val="auto"/>
              </w:rPr>
            </w:pPr>
            <w:r>
              <w:rPr>
                <w:rFonts w:ascii="Arial" w:cs="Arial" w:eastAsia="Arial" w:hAnsi="Arial"/>
                <w:sz w:val="14"/>
                <w:szCs w:val="14"/>
                <w:color w:val="auto"/>
              </w:rPr>
              <w:t>25.7%</w:t>
            </w:r>
          </w:p>
        </w:tc>
        <w:tc>
          <w:tcPr>
            <w:tcW w:w="920" w:type="dxa"/>
            <w:vAlign w:val="bottom"/>
            <w:shd w:val="clear" w:color="auto" w:fill="E5E5E5"/>
          </w:tcPr>
          <w:p>
            <w:pPr>
              <w:jc w:val="right"/>
              <w:ind w:right="292"/>
              <w:spacing w:after="0" w:line="149" w:lineRule="exact"/>
              <w:rPr>
                <w:sz w:val="20"/>
                <w:szCs w:val="20"/>
                <w:color w:val="auto"/>
              </w:rPr>
            </w:pPr>
            <w:r>
              <w:rPr>
                <w:rFonts w:ascii="Arial" w:cs="Arial" w:eastAsia="Arial" w:hAnsi="Arial"/>
                <w:sz w:val="14"/>
                <w:szCs w:val="14"/>
                <w:color w:val="auto"/>
              </w:rPr>
              <w:t>24.7%</w:t>
            </w:r>
          </w:p>
        </w:tc>
        <w:tc>
          <w:tcPr>
            <w:tcW w:w="1540" w:type="dxa"/>
            <w:vAlign w:val="bottom"/>
            <w:shd w:val="clear" w:color="auto" w:fill="E5E5E5"/>
          </w:tcPr>
          <w:p>
            <w:pPr>
              <w:jc w:val="right"/>
              <w:ind w:right="592"/>
              <w:spacing w:after="0" w:line="149" w:lineRule="exact"/>
              <w:rPr>
                <w:sz w:val="20"/>
                <w:szCs w:val="20"/>
                <w:color w:val="auto"/>
              </w:rPr>
            </w:pPr>
            <w:r>
              <w:rPr>
                <w:rFonts w:ascii="Arial" w:cs="Arial" w:eastAsia="Arial" w:hAnsi="Arial"/>
                <w:sz w:val="14"/>
                <w:szCs w:val="14"/>
                <w:color w:val="auto"/>
              </w:rPr>
              <w:t>25.6%</w:t>
            </w:r>
          </w:p>
        </w:tc>
        <w:tc>
          <w:tcPr>
            <w:tcW w:w="6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24.6%</w:t>
            </w:r>
          </w:p>
        </w:tc>
      </w:tr>
      <w:tr>
        <w:trPr>
          <w:trHeight w:val="149"/>
        </w:trPr>
        <w:tc>
          <w:tcPr>
            <w:tcW w:w="6120" w:type="dxa"/>
            <w:vAlign w:val="bottom"/>
          </w:tcPr>
          <w:p>
            <w:pPr>
              <w:ind w:left="440"/>
              <w:spacing w:after="0" w:line="149" w:lineRule="exact"/>
              <w:rPr>
                <w:sz w:val="20"/>
                <w:szCs w:val="20"/>
                <w:color w:val="auto"/>
              </w:rPr>
            </w:pPr>
            <w:r>
              <w:rPr>
                <w:rFonts w:ascii="Arial" w:cs="Arial" w:eastAsia="Arial" w:hAnsi="Arial"/>
                <w:sz w:val="14"/>
                <w:szCs w:val="14"/>
                <w:color w:val="auto"/>
              </w:rPr>
              <w:t>Voice</w:t>
            </w:r>
          </w:p>
        </w:tc>
        <w:tc>
          <w:tcPr>
            <w:tcW w:w="1860" w:type="dxa"/>
            <w:vAlign w:val="bottom"/>
          </w:tcPr>
          <w:p>
            <w:pPr>
              <w:jc w:val="right"/>
              <w:ind w:right="592"/>
              <w:spacing w:after="0" w:line="149" w:lineRule="exact"/>
              <w:rPr>
                <w:sz w:val="20"/>
                <w:szCs w:val="20"/>
                <w:color w:val="auto"/>
              </w:rPr>
            </w:pPr>
            <w:r>
              <w:rPr>
                <w:rFonts w:ascii="Arial" w:cs="Arial" w:eastAsia="Arial" w:hAnsi="Arial"/>
                <w:sz w:val="14"/>
                <w:szCs w:val="14"/>
                <w:color w:val="auto"/>
              </w:rPr>
              <w:t>8.3%</w:t>
            </w:r>
          </w:p>
        </w:tc>
        <w:tc>
          <w:tcPr>
            <w:tcW w:w="9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8.8%</w:t>
            </w:r>
          </w:p>
        </w:tc>
        <w:tc>
          <w:tcPr>
            <w:tcW w:w="1540" w:type="dxa"/>
            <w:vAlign w:val="bottom"/>
          </w:tcPr>
          <w:p>
            <w:pPr>
              <w:jc w:val="right"/>
              <w:ind w:right="592"/>
              <w:spacing w:after="0" w:line="149" w:lineRule="exact"/>
              <w:rPr>
                <w:sz w:val="20"/>
                <w:szCs w:val="20"/>
                <w:color w:val="auto"/>
              </w:rPr>
            </w:pPr>
            <w:r>
              <w:rPr>
                <w:rFonts w:ascii="Arial" w:cs="Arial" w:eastAsia="Arial" w:hAnsi="Arial"/>
                <w:sz w:val="14"/>
                <w:szCs w:val="14"/>
                <w:color w:val="auto"/>
              </w:rPr>
              <w:t>8.4%</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8.8%</w:t>
            </w:r>
          </w:p>
        </w:tc>
      </w:tr>
      <w:tr>
        <w:trPr>
          <w:trHeight w:val="149"/>
        </w:trPr>
        <w:tc>
          <w:tcPr>
            <w:tcW w:w="61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Business services</w:t>
            </w:r>
          </w:p>
        </w:tc>
        <w:tc>
          <w:tcPr>
            <w:tcW w:w="1860" w:type="dxa"/>
            <w:vAlign w:val="bottom"/>
            <w:shd w:val="clear" w:color="auto" w:fill="E5E5E5"/>
          </w:tcPr>
          <w:p>
            <w:pPr>
              <w:jc w:val="right"/>
              <w:ind w:right="592"/>
              <w:spacing w:after="0" w:line="149" w:lineRule="exact"/>
              <w:rPr>
                <w:sz w:val="20"/>
                <w:szCs w:val="20"/>
                <w:color w:val="auto"/>
              </w:rPr>
            </w:pPr>
            <w:r>
              <w:rPr>
                <w:rFonts w:ascii="Arial" w:cs="Arial" w:eastAsia="Arial" w:hAnsi="Arial"/>
                <w:sz w:val="14"/>
                <w:szCs w:val="14"/>
                <w:color w:val="auto"/>
              </w:rPr>
              <w:t>9.2%</w:t>
            </w:r>
          </w:p>
        </w:tc>
        <w:tc>
          <w:tcPr>
            <w:tcW w:w="920" w:type="dxa"/>
            <w:vAlign w:val="bottom"/>
            <w:shd w:val="clear" w:color="auto" w:fill="E5E5E5"/>
          </w:tcPr>
          <w:p>
            <w:pPr>
              <w:jc w:val="right"/>
              <w:ind w:right="292"/>
              <w:spacing w:after="0" w:line="149" w:lineRule="exact"/>
              <w:rPr>
                <w:sz w:val="20"/>
                <w:szCs w:val="20"/>
                <w:color w:val="auto"/>
              </w:rPr>
            </w:pPr>
            <w:r>
              <w:rPr>
                <w:rFonts w:ascii="Arial" w:cs="Arial" w:eastAsia="Arial" w:hAnsi="Arial"/>
                <w:sz w:val="14"/>
                <w:szCs w:val="14"/>
                <w:color w:val="auto"/>
              </w:rPr>
              <w:t>8.0%</w:t>
            </w:r>
          </w:p>
        </w:tc>
        <w:tc>
          <w:tcPr>
            <w:tcW w:w="1540" w:type="dxa"/>
            <w:vAlign w:val="bottom"/>
            <w:shd w:val="clear" w:color="auto" w:fill="E5E5E5"/>
          </w:tcPr>
          <w:p>
            <w:pPr>
              <w:jc w:val="right"/>
              <w:ind w:right="592"/>
              <w:spacing w:after="0" w:line="149" w:lineRule="exact"/>
              <w:rPr>
                <w:sz w:val="20"/>
                <w:szCs w:val="20"/>
                <w:color w:val="auto"/>
              </w:rPr>
            </w:pPr>
            <w:r>
              <w:rPr>
                <w:rFonts w:ascii="Arial" w:cs="Arial" w:eastAsia="Arial" w:hAnsi="Arial"/>
                <w:sz w:val="14"/>
                <w:szCs w:val="14"/>
                <w:color w:val="auto"/>
              </w:rPr>
              <w:t>8.8%</w:t>
            </w:r>
          </w:p>
        </w:tc>
        <w:tc>
          <w:tcPr>
            <w:tcW w:w="6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7.6%</w:t>
            </w: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Advertising</w:t>
            </w:r>
          </w:p>
        </w:tc>
        <w:tc>
          <w:tcPr>
            <w:tcW w:w="1860" w:type="dxa"/>
            <w:vAlign w:val="bottom"/>
          </w:tcPr>
          <w:p>
            <w:pPr>
              <w:jc w:val="right"/>
              <w:ind w:right="592"/>
              <w:spacing w:after="0" w:line="149" w:lineRule="exact"/>
              <w:rPr>
                <w:sz w:val="20"/>
                <w:szCs w:val="20"/>
                <w:color w:val="auto"/>
              </w:rPr>
            </w:pPr>
            <w:r>
              <w:rPr>
                <w:rFonts w:ascii="Arial" w:cs="Arial" w:eastAsia="Arial" w:hAnsi="Arial"/>
                <w:sz w:val="14"/>
                <w:szCs w:val="14"/>
                <w:color w:val="auto"/>
              </w:rPr>
              <w:t>5.5%</w:t>
            </w:r>
          </w:p>
        </w:tc>
        <w:tc>
          <w:tcPr>
            <w:tcW w:w="9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5.2%</w:t>
            </w:r>
          </w:p>
        </w:tc>
        <w:tc>
          <w:tcPr>
            <w:tcW w:w="1540" w:type="dxa"/>
            <w:vAlign w:val="bottom"/>
          </w:tcPr>
          <w:p>
            <w:pPr>
              <w:jc w:val="right"/>
              <w:ind w:right="592"/>
              <w:spacing w:after="0" w:line="149" w:lineRule="exact"/>
              <w:rPr>
                <w:sz w:val="20"/>
                <w:szCs w:val="20"/>
                <w:color w:val="auto"/>
              </w:rPr>
            </w:pPr>
            <w:r>
              <w:rPr>
                <w:rFonts w:ascii="Arial" w:cs="Arial" w:eastAsia="Arial" w:hAnsi="Arial"/>
                <w:sz w:val="14"/>
                <w:szCs w:val="14"/>
                <w:color w:val="auto"/>
              </w:rPr>
              <w:t>5.3%</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r>
      <w:tr>
        <w:trPr>
          <w:trHeight w:val="149"/>
        </w:trPr>
        <w:tc>
          <w:tcPr>
            <w:tcW w:w="612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Other</w:t>
            </w:r>
          </w:p>
        </w:tc>
        <w:tc>
          <w:tcPr>
            <w:tcW w:w="1860" w:type="dxa"/>
            <w:vAlign w:val="bottom"/>
            <w:tcBorders>
              <w:bottom w:val="single" w:sz="8" w:color="auto"/>
            </w:tcBorders>
            <w:shd w:val="clear" w:color="auto" w:fill="E5E5E5"/>
          </w:tcPr>
          <w:p>
            <w:pPr>
              <w:jc w:val="right"/>
              <w:ind w:right="592"/>
              <w:spacing w:after="0" w:line="149" w:lineRule="exact"/>
              <w:rPr>
                <w:sz w:val="20"/>
                <w:szCs w:val="20"/>
                <w:color w:val="auto"/>
              </w:rPr>
            </w:pPr>
            <w:r>
              <w:rPr>
                <w:rFonts w:ascii="Arial" w:cs="Arial" w:eastAsia="Arial" w:hAnsi="Arial"/>
                <w:sz w:val="14"/>
                <w:szCs w:val="14"/>
                <w:color w:val="auto"/>
              </w:rPr>
              <w:t>4.4%</w:t>
            </w:r>
          </w:p>
        </w:tc>
        <w:tc>
          <w:tcPr>
            <w:tcW w:w="920" w:type="dxa"/>
            <w:vAlign w:val="bottom"/>
            <w:tcBorders>
              <w:bottom w:val="single" w:sz="8" w:color="auto"/>
            </w:tcBorders>
            <w:shd w:val="clear" w:color="auto" w:fill="E5E5E5"/>
          </w:tcPr>
          <w:p>
            <w:pPr>
              <w:jc w:val="right"/>
              <w:ind w:right="292"/>
              <w:spacing w:after="0" w:line="149" w:lineRule="exact"/>
              <w:rPr>
                <w:sz w:val="20"/>
                <w:szCs w:val="20"/>
                <w:color w:val="auto"/>
              </w:rPr>
            </w:pPr>
            <w:r>
              <w:rPr>
                <w:rFonts w:ascii="Arial" w:cs="Arial" w:eastAsia="Arial" w:hAnsi="Arial"/>
                <w:sz w:val="14"/>
                <w:szCs w:val="14"/>
                <w:color w:val="auto"/>
              </w:rPr>
              <w:t>4.4%</w:t>
            </w:r>
          </w:p>
        </w:tc>
        <w:tc>
          <w:tcPr>
            <w:tcW w:w="1540" w:type="dxa"/>
            <w:vAlign w:val="bottom"/>
            <w:tcBorders>
              <w:bottom w:val="single" w:sz="8" w:color="auto"/>
            </w:tcBorders>
            <w:shd w:val="clear" w:color="auto" w:fill="E5E5E5"/>
          </w:tcPr>
          <w:p>
            <w:pPr>
              <w:jc w:val="right"/>
              <w:ind w:right="592"/>
              <w:spacing w:after="0" w:line="149" w:lineRule="exact"/>
              <w:rPr>
                <w:sz w:val="20"/>
                <w:szCs w:val="20"/>
                <w:color w:val="auto"/>
              </w:rPr>
            </w:pPr>
            <w:r>
              <w:rPr>
                <w:rFonts w:ascii="Arial" w:cs="Arial" w:eastAsia="Arial" w:hAnsi="Arial"/>
                <w:sz w:val="14"/>
                <w:szCs w:val="14"/>
                <w:color w:val="auto"/>
              </w:rPr>
              <w:t>4.4%</w:t>
            </w:r>
          </w:p>
        </w:tc>
        <w:tc>
          <w:tcPr>
            <w:tcW w:w="60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4.5%</w:t>
            </w:r>
          </w:p>
        </w:tc>
      </w:tr>
      <w:tr>
        <w:trPr>
          <w:trHeight w:val="149"/>
        </w:trPr>
        <w:tc>
          <w:tcPr>
            <w:tcW w:w="61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w:t>
            </w:r>
          </w:p>
        </w:tc>
        <w:tc>
          <w:tcPr>
            <w:tcW w:w="1860" w:type="dxa"/>
            <w:vAlign w:val="bottom"/>
            <w:tcBorders>
              <w:bottom w:val="single" w:sz="8" w:color="auto"/>
            </w:tcBorders>
          </w:tcPr>
          <w:p>
            <w:pPr>
              <w:jc w:val="right"/>
              <w:ind w:right="592"/>
              <w:spacing w:after="0" w:line="142" w:lineRule="exact"/>
              <w:rPr>
                <w:sz w:val="20"/>
                <w:szCs w:val="20"/>
                <w:color w:val="auto"/>
              </w:rPr>
            </w:pPr>
            <w:r>
              <w:rPr>
                <w:rFonts w:ascii="Arial" w:cs="Arial" w:eastAsia="Arial" w:hAnsi="Arial"/>
                <w:sz w:val="14"/>
                <w:szCs w:val="14"/>
                <w:color w:val="auto"/>
              </w:rPr>
              <w:t>100%</w:t>
            </w:r>
          </w:p>
        </w:tc>
        <w:tc>
          <w:tcPr>
            <w:tcW w:w="9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color w:val="auto"/>
              </w:rPr>
              <w:t>100%</w:t>
            </w:r>
          </w:p>
        </w:tc>
        <w:tc>
          <w:tcPr>
            <w:tcW w:w="1540" w:type="dxa"/>
            <w:vAlign w:val="bottom"/>
            <w:tcBorders>
              <w:bottom w:val="single" w:sz="8" w:color="auto"/>
            </w:tcBorders>
          </w:tcPr>
          <w:p>
            <w:pPr>
              <w:jc w:val="right"/>
              <w:ind w:right="592"/>
              <w:spacing w:after="0" w:line="142" w:lineRule="exact"/>
              <w:rPr>
                <w:sz w:val="20"/>
                <w:szCs w:val="20"/>
                <w:color w:val="auto"/>
              </w:rPr>
            </w:pPr>
            <w:r>
              <w:rPr>
                <w:rFonts w:ascii="Arial" w:cs="Arial" w:eastAsia="Arial" w:hAnsi="Arial"/>
                <w:sz w:val="14"/>
                <w:szCs w:val="14"/>
                <w:color w:val="auto"/>
              </w:rPr>
              <w:t>100%</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w:t>
            </w:r>
          </w:p>
        </w:tc>
      </w:tr>
    </w:tbl>
    <w:p>
      <w:pPr>
        <w:spacing w:after="0" w:line="5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Subscription revenue received from customers who purchase bundled services at a discounted rate is allocated proportionally to each service based on the individual service’s price on a stand-alone basis.</w:t>
      </w:r>
    </w:p>
    <w:p>
      <w:pPr>
        <w:spacing w:after="0" w:line="78" w:lineRule="exact"/>
        <w:rPr>
          <w:sz w:val="20"/>
          <w:szCs w:val="20"/>
          <w:color w:val="auto"/>
        </w:rPr>
      </w:pPr>
    </w:p>
    <w:p>
      <w:pPr>
        <w:jc w:val="both"/>
        <w:ind w:left="360"/>
        <w:spacing w:after="0" w:line="239" w:lineRule="auto"/>
        <w:rPr>
          <w:sz w:val="20"/>
          <w:szCs w:val="20"/>
          <w:color w:val="auto"/>
        </w:rPr>
      </w:pPr>
      <w:r>
        <w:rPr>
          <w:rFonts w:ascii="Arial" w:cs="Arial" w:eastAsia="Arial" w:hAnsi="Arial"/>
          <w:sz w:val="14"/>
          <w:szCs w:val="14"/>
          <w:color w:val="auto"/>
        </w:rPr>
        <w:t>For both the three and nine months ended September 30, 2014, 2.8% of Cable Communications segment revenue was derived from franchise and other regulatory fees. For both the three and nine months ended September 30, 2013, 2.9% of Cable Communications segment revenue was derived from franchise and other regulatory fees.</w:t>
      </w:r>
    </w:p>
    <w:p>
      <w:pPr>
        <w:spacing w:after="0" w:line="44" w:lineRule="exact"/>
        <w:rPr>
          <w:sz w:val="20"/>
          <w:szCs w:val="20"/>
          <w:color w:val="auto"/>
        </w:rPr>
      </w:pPr>
    </w:p>
    <w:p>
      <w:pPr>
        <w:ind w:left="340" w:hanging="332"/>
        <w:spacing w:after="0" w:line="239"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Beginning in 2014, Fandango, our movie ticketing and entertainment business that was previously presented in our Cable Networks segment, is now presented in the Filmed Entertainment segment to reflect the change in our management reporting presentation. Due to</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2" w:lineRule="exact"/>
        <w:rPr>
          <w:sz w:val="20"/>
          <w:szCs w:val="20"/>
          <w:color w:val="auto"/>
        </w:rPr>
      </w:pPr>
    </w:p>
    <w:p>
      <w:pPr>
        <w:ind w:left="340"/>
        <w:spacing w:after="0" w:line="239" w:lineRule="auto"/>
        <w:rPr>
          <w:sz w:val="20"/>
          <w:szCs w:val="20"/>
          <w:color w:val="auto"/>
        </w:rPr>
      </w:pPr>
      <w:r>
        <w:rPr>
          <w:rFonts w:ascii="Arial" w:cs="Arial" w:eastAsia="Arial" w:hAnsi="Arial"/>
          <w:sz w:val="14"/>
          <w:szCs w:val="14"/>
          <w:color w:val="auto"/>
        </w:rPr>
        <w:t>immateriality, prior period amounts have not been adjusted. The change in presentation resulted in the reclassification of $195 million of goodwill from our Cable Networks segment to our Filmed Entertainment segment.</w:t>
      </w:r>
    </w:p>
    <w:p>
      <w:pPr>
        <w:spacing w:after="0" w:line="4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includes costs associated with overhead, allocations, personnel costs and headquarter initiatives.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The most common types of transactions are the following:</w:t>
      </w:r>
    </w:p>
    <w:p>
      <w:pPr>
        <w:spacing w:after="0" w:line="55"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1"/>
          <w:numId w:val="9"/>
        </w:numPr>
        <w:rPr>
          <w:rFonts w:ascii="Arial" w:cs="Arial" w:eastAsia="Arial" w:hAnsi="Arial"/>
          <w:sz w:val="14"/>
          <w:szCs w:val="14"/>
          <w:color w:val="auto"/>
        </w:rPr>
      </w:pPr>
      <w:r>
        <w:rPr>
          <w:rFonts w:ascii="Arial" w:cs="Arial" w:eastAsia="Arial" w:hAnsi="Arial"/>
          <w:sz w:val="14"/>
          <w:szCs w:val="14"/>
          <w:color w:val="auto"/>
        </w:rPr>
        <w:t>our Cable Networks and Broadcast Television segments generate revenue by selling programming to our Cable Communications segment, which represents a substantial majority of the revenue elimination amount</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1"/>
          <w:numId w:val="9"/>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Cable Networks segment</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1"/>
          <w:numId w:val="9"/>
        </w:numPr>
        <w:rPr>
          <w:rFonts w:ascii="Arial" w:cs="Arial" w:eastAsia="Arial" w:hAnsi="Arial"/>
          <w:sz w:val="14"/>
          <w:szCs w:val="14"/>
          <w:color w:val="auto"/>
        </w:rPr>
      </w:pPr>
      <w:r>
        <w:rPr>
          <w:rFonts w:ascii="Arial" w:cs="Arial" w:eastAsia="Arial" w:hAnsi="Arial"/>
          <w:sz w:val="14"/>
          <w:szCs w:val="14"/>
          <w:color w:val="auto"/>
        </w:rPr>
        <w:t>our Filmed Entertainment and Broadcast Television segments generate revenue by licensing content to our Cable Networks segment</w:t>
      </w:r>
    </w:p>
    <w:p>
      <w:pPr>
        <w:spacing w:after="0" w:line="55"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1"/>
          <w:numId w:val="9"/>
        </w:numPr>
        <w:rPr>
          <w:rFonts w:ascii="Arial" w:cs="Arial" w:eastAsia="Arial" w:hAnsi="Arial"/>
          <w:sz w:val="14"/>
          <w:szCs w:val="14"/>
          <w:color w:val="auto"/>
        </w:rPr>
      </w:pPr>
      <w:r>
        <w:rPr>
          <w:rFonts w:ascii="Arial" w:cs="Arial" w:eastAsia="Arial" w:hAnsi="Arial"/>
          <w:sz w:val="14"/>
          <w:szCs w:val="14"/>
          <w:color w:val="auto"/>
        </w:rPr>
        <w:t>our Cable Communications segment receives incentives offered by our Cable Networks segment in connection with its distribution of the Cable Networks’ content that are recorded as a reduction to programming expenses</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use operating income (loss) before depreciation and amortization, excluding impairment charges related to fixed and intangible assets and gains or losses on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attributable to Comcast Corporation, net cash provided by operating activities, or other measures of performance or liquidity we have reported in accordance with GAAP.</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Condensed Consolidating Financial Information</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Comcast Corporation (“Comcast Parent”), our cable guarantors and NBCUniversal Media, LLC (referred to as “NBCUniversal Media Parent” in the tables below) have fully and unconditionally guaranteed each other’s debt securities. Comcast MO Group, CCH and Comcast MO of Delaware are collectively referred to as the “Combined CCHMO Parents.”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Comcast Parent and the cable guarantors also fully and unconditionally guarantee NBCUniversal Enterprise’s $4 billion aggregate principal amount of senior notes, its $1.35 billion revolving credit facility due March 2018 and the associated commercial paper program. NBCUniversal Media Parent does not guarantee the NBCUniversal Enterprise senior notes, credit facility or commercial paper program.</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Parent provides an unconditional subordinated guarantee of the $185 million principal amount currently outstanding of Comcast Holdings’ ZONES due October 2029. Neither the cable guarantors nor NBCUniversal Media Parent guarantee the Comcast Holdings’ ZONES due October 2029. None of Comcast Parent, the cable guarantors nor NBCUniversal Media Parent guarantee the $62 million principal amount currently outstanding of Comcast Holdings’ ZONES due November 2029.</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Combined</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Non-</w:t>
            </w:r>
          </w:p>
        </w:tc>
        <w:tc>
          <w:tcPr>
            <w:tcW w:w="260" w:type="dxa"/>
            <w:vAlign w:val="bottom"/>
          </w:tcPr>
          <w:p>
            <w:pPr>
              <w:spacing w:after="0"/>
              <w:rPr>
                <w:sz w:val="12"/>
                <w:szCs w:val="12"/>
                <w:color w:val="auto"/>
              </w:rPr>
            </w:pPr>
          </w:p>
        </w:tc>
        <w:tc>
          <w:tcPr>
            <w:tcW w:w="840" w:type="dxa"/>
            <w:vAlign w:val="bottom"/>
          </w:tcPr>
          <w:p>
            <w:pPr>
              <w:jc w:val="center"/>
              <w:ind w:right="213"/>
              <w:spacing w:after="0" w:line="149" w:lineRule="exact"/>
              <w:rPr>
                <w:sz w:val="20"/>
                <w:szCs w:val="20"/>
                <w:color w:val="auto"/>
              </w:rPr>
            </w:pPr>
            <w:r>
              <w:rPr>
                <w:rFonts w:ascii="Arial" w:cs="Arial" w:eastAsia="Arial" w:hAnsi="Arial"/>
                <w:sz w:val="14"/>
                <w:szCs w:val="14"/>
                <w:color w:val="auto"/>
                <w:w w:val="76"/>
              </w:rPr>
              <w:t>and</w:t>
            </w:r>
          </w:p>
        </w:tc>
        <w:tc>
          <w:tcPr>
            <w:tcW w:w="9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80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680" w:type="dxa"/>
            <w:vAlign w:val="bottom"/>
          </w:tcPr>
          <w:p>
            <w:pPr>
              <w:jc w:val="right"/>
              <w:ind w:right="113"/>
              <w:spacing w:after="0" w:line="149" w:lineRule="exact"/>
              <w:rPr>
                <w:sz w:val="20"/>
                <w:szCs w:val="20"/>
                <w:color w:val="auto"/>
              </w:rPr>
            </w:pPr>
            <w:r>
              <w:rPr>
                <w:rFonts w:ascii="Arial" w:cs="Arial" w:eastAsia="Arial" w:hAnsi="Arial"/>
                <w:sz w:val="14"/>
                <w:szCs w:val="14"/>
                <w:color w:val="auto"/>
                <w:w w:val="83"/>
              </w:rPr>
              <w:t>Comcast</w:t>
            </w:r>
          </w:p>
        </w:tc>
        <w:tc>
          <w:tcPr>
            <w:tcW w:w="280" w:type="dxa"/>
            <w:vAlign w:val="bottom"/>
          </w:tcPr>
          <w:p>
            <w:pPr>
              <w:spacing w:after="0"/>
              <w:rPr>
                <w:sz w:val="12"/>
                <w:szCs w:val="12"/>
                <w:color w:val="auto"/>
              </w:rPr>
            </w:pPr>
          </w:p>
        </w:tc>
        <w:tc>
          <w:tcPr>
            <w:tcW w:w="72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CCCL</w:t>
            </w:r>
          </w:p>
        </w:tc>
        <w:tc>
          <w:tcPr>
            <w:tcW w:w="84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CCHMO</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NBCUniversal</w:t>
            </w:r>
          </w:p>
        </w:tc>
        <w:tc>
          <w:tcPr>
            <w:tcW w:w="94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Guarantor</w:t>
            </w:r>
          </w:p>
        </w:tc>
        <w:tc>
          <w:tcPr>
            <w:tcW w:w="11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0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3"/>
              </w:rPr>
              <w:t>Comcast</w:t>
            </w:r>
          </w:p>
        </w:tc>
        <w:tc>
          <w:tcPr>
            <w:tcW w:w="0" w:type="dxa"/>
            <w:vAlign w:val="bottom"/>
          </w:tcPr>
          <w:p>
            <w:pPr>
              <w:spacing w:after="0"/>
              <w:rPr>
                <w:sz w:val="1"/>
                <w:szCs w:val="1"/>
                <w:color w:val="auto"/>
              </w:rPr>
            </w:pPr>
          </w:p>
        </w:tc>
      </w:tr>
      <w:tr>
        <w:trPr>
          <w:trHeight w:val="159"/>
        </w:trPr>
        <w:tc>
          <w:tcPr>
            <w:tcW w:w="38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3"/>
                <w:szCs w:val="13"/>
                <w:color w:val="auto"/>
              </w:rPr>
            </w:pPr>
          </w:p>
        </w:tc>
        <w:tc>
          <w:tcPr>
            <w:tcW w:w="620" w:type="dxa"/>
            <w:vAlign w:val="bottom"/>
          </w:tcPr>
          <w:p>
            <w:pPr>
              <w:jc w:val="right"/>
              <w:ind w:right="173"/>
              <w:spacing w:after="0" w:line="159" w:lineRule="exact"/>
              <w:rPr>
                <w:sz w:val="20"/>
                <w:szCs w:val="20"/>
                <w:color w:val="auto"/>
              </w:rPr>
            </w:pPr>
            <w:r>
              <w:rPr>
                <w:rFonts w:ascii="Arial" w:cs="Arial" w:eastAsia="Arial" w:hAnsi="Arial"/>
                <w:sz w:val="14"/>
                <w:szCs w:val="14"/>
                <w:color w:val="auto"/>
                <w:w w:val="82"/>
              </w:rPr>
              <w:t>Parent</w:t>
            </w:r>
          </w:p>
        </w:tc>
        <w:tc>
          <w:tcPr>
            <w:tcW w:w="220" w:type="dxa"/>
            <w:vAlign w:val="bottom"/>
          </w:tcPr>
          <w:p>
            <w:pPr>
              <w:spacing w:after="0"/>
              <w:rPr>
                <w:sz w:val="13"/>
                <w:szCs w:val="13"/>
                <w:color w:val="auto"/>
              </w:rPr>
            </w:pPr>
          </w:p>
        </w:tc>
        <w:tc>
          <w:tcPr>
            <w:tcW w:w="680" w:type="dxa"/>
            <w:vAlign w:val="bottom"/>
          </w:tcPr>
          <w:p>
            <w:pPr>
              <w:jc w:val="right"/>
              <w:ind w:right="93"/>
              <w:spacing w:after="0" w:line="159" w:lineRule="exact"/>
              <w:rPr>
                <w:sz w:val="20"/>
                <w:szCs w:val="20"/>
                <w:color w:val="auto"/>
              </w:rPr>
            </w:pPr>
            <w:r>
              <w:rPr>
                <w:rFonts w:ascii="Arial" w:cs="Arial" w:eastAsia="Arial" w:hAnsi="Arial"/>
                <w:sz w:val="14"/>
                <w:szCs w:val="14"/>
                <w:color w:val="auto"/>
                <w:w w:val="88"/>
              </w:rPr>
              <w:t>Holdings</w:t>
            </w:r>
          </w:p>
        </w:tc>
        <w:tc>
          <w:tcPr>
            <w:tcW w:w="280" w:type="dxa"/>
            <w:vAlign w:val="bottom"/>
          </w:tcPr>
          <w:p>
            <w:pPr>
              <w:spacing w:after="0"/>
              <w:rPr>
                <w:sz w:val="13"/>
                <w:szCs w:val="13"/>
                <w:color w:val="auto"/>
              </w:rPr>
            </w:pPr>
          </w:p>
        </w:tc>
        <w:tc>
          <w:tcPr>
            <w:tcW w:w="720" w:type="dxa"/>
            <w:vAlign w:val="bottom"/>
          </w:tcPr>
          <w:p>
            <w:pPr>
              <w:jc w:val="right"/>
              <w:ind w:right="213"/>
              <w:spacing w:after="0" w:line="159" w:lineRule="exact"/>
              <w:rPr>
                <w:sz w:val="20"/>
                <w:szCs w:val="20"/>
                <w:color w:val="auto"/>
              </w:rPr>
            </w:pPr>
            <w:r>
              <w:rPr>
                <w:rFonts w:ascii="Arial" w:cs="Arial" w:eastAsia="Arial" w:hAnsi="Arial"/>
                <w:sz w:val="14"/>
                <w:szCs w:val="14"/>
                <w:color w:val="auto"/>
                <w:w w:val="96"/>
              </w:rPr>
              <w:t>Parent</w:t>
            </w:r>
          </w:p>
        </w:tc>
        <w:tc>
          <w:tcPr>
            <w:tcW w:w="220" w:type="dxa"/>
            <w:vAlign w:val="bottom"/>
          </w:tcPr>
          <w:p>
            <w:pPr>
              <w:spacing w:after="0"/>
              <w:rPr>
                <w:sz w:val="13"/>
                <w:szCs w:val="13"/>
                <w:color w:val="auto"/>
              </w:rPr>
            </w:pPr>
          </w:p>
        </w:tc>
        <w:tc>
          <w:tcPr>
            <w:tcW w:w="620" w:type="dxa"/>
            <w:vAlign w:val="bottom"/>
          </w:tcPr>
          <w:p>
            <w:pPr>
              <w:jc w:val="right"/>
              <w:ind w:right="133"/>
              <w:spacing w:after="0" w:line="159" w:lineRule="exact"/>
              <w:rPr>
                <w:sz w:val="20"/>
                <w:szCs w:val="20"/>
                <w:color w:val="auto"/>
              </w:rPr>
            </w:pPr>
            <w:r>
              <w:rPr>
                <w:rFonts w:ascii="Arial" w:cs="Arial" w:eastAsia="Arial" w:hAnsi="Arial"/>
                <w:sz w:val="14"/>
                <w:szCs w:val="14"/>
                <w:color w:val="auto"/>
                <w:w w:val="78"/>
              </w:rPr>
              <w:t>Parents</w:t>
            </w:r>
          </w:p>
        </w:tc>
        <w:tc>
          <w:tcPr>
            <w:tcW w:w="1080" w:type="dxa"/>
            <w:vAlign w:val="bottom"/>
            <w:gridSpan w:val="2"/>
          </w:tcPr>
          <w:p>
            <w:pPr>
              <w:jc w:val="right"/>
              <w:ind w:right="92"/>
              <w:spacing w:after="0" w:line="159" w:lineRule="exact"/>
              <w:rPr>
                <w:sz w:val="20"/>
                <w:szCs w:val="20"/>
                <w:color w:val="auto"/>
              </w:rPr>
            </w:pPr>
            <w:r>
              <w:rPr>
                <w:rFonts w:ascii="Arial" w:cs="Arial" w:eastAsia="Arial" w:hAnsi="Arial"/>
                <w:sz w:val="14"/>
                <w:szCs w:val="14"/>
                <w:color w:val="auto"/>
              </w:rPr>
              <w:t>Media Parent</w:t>
            </w:r>
          </w:p>
        </w:tc>
        <w:tc>
          <w:tcPr>
            <w:tcW w:w="9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Subsidiaries</w:t>
            </w:r>
          </w:p>
        </w:tc>
        <w:tc>
          <w:tcPr>
            <w:tcW w:w="110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920" w:type="dxa"/>
            <w:vAlign w:val="bottom"/>
            <w:gridSpan w:val="2"/>
          </w:tcPr>
          <w:p>
            <w:pPr>
              <w:jc w:val="right"/>
              <w:ind w:right="33"/>
              <w:spacing w:after="0" w:line="159" w:lineRule="exact"/>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196</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4,351</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5</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526</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6,172</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Programming rights</w:t>
            </w:r>
          </w:p>
        </w:tc>
        <w:tc>
          <w:tcPr>
            <w:tcW w:w="1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992</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222</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43</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1,429</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244</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13,470</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8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5,560</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21</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373</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2,735</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94"/>
              </w:rPr>
              <w:t>Investments in and amounts due from subsidiaries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eliminated upon consolidation</w:t>
            </w:r>
          </w:p>
        </w:tc>
        <w:tc>
          <w:tcPr>
            <w:tcW w:w="18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84,503</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103,462</w:t>
            </w:r>
          </w:p>
        </w:tc>
        <w:tc>
          <w:tcPr>
            <w:tcW w:w="28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w w:val="86"/>
              </w:rPr>
              <w:t>110,327</w:t>
            </w:r>
          </w:p>
        </w:tc>
        <w:tc>
          <w:tcPr>
            <w:tcW w:w="22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59,160</w:t>
            </w:r>
          </w:p>
        </w:tc>
        <w:tc>
          <w:tcPr>
            <w:tcW w:w="34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41,038</w:t>
            </w:r>
          </w:p>
        </w:tc>
        <w:tc>
          <w:tcPr>
            <w:tcW w:w="240" w:type="dxa"/>
            <w:vAlign w:val="bottom"/>
          </w:tcPr>
          <w:p>
            <w:pPr>
              <w:spacing w:after="0"/>
              <w:rPr>
                <w:sz w:val="19"/>
                <w:szCs w:val="19"/>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95,665</w:t>
            </w:r>
          </w:p>
        </w:tc>
        <w:tc>
          <w:tcPr>
            <w:tcW w:w="26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(494,155)</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30,160</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30,362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Franchise rights</w:t>
            </w:r>
          </w:p>
        </w:tc>
        <w:tc>
          <w:tcPr>
            <w:tcW w:w="18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59,364</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59,364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27,323</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8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17,080</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17,089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1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1,187</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148</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94</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2,059</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(1,014)</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3"/>
              </w:rPr>
              <w:t>86,144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103,610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6"/>
              </w:rPr>
              <w:t>110,327</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3"/>
              </w:rPr>
              <w:t>59,160</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41,749</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6"/>
              </w:rPr>
              <w:t>253,416</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(495,169)</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159,237</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w w:val="88"/>
              </w:rPr>
              <w:t>Accounts payable and accrued expenses related to</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trade creditors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5,669</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5,680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participations and residuals</w:t>
            </w:r>
          </w:p>
        </w:tc>
        <w:tc>
          <w:tcPr>
            <w:tcW w:w="1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1,444</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w w:val="99"/>
              </w:rPr>
              <w:t>Accrued expenses and other current liabilities</w:t>
            </w:r>
          </w:p>
        </w:tc>
        <w:tc>
          <w:tcPr>
            <w:tcW w:w="18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1,374</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283</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415</w:t>
            </w:r>
          </w:p>
        </w:tc>
        <w:tc>
          <w:tcPr>
            <w:tcW w:w="24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3,997</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900</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679</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1,008</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936</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2,285</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283</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700</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1,423</w:t>
            </w:r>
          </w:p>
        </w:tc>
        <w:tc>
          <w:tcPr>
            <w:tcW w:w="24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12,046</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17,084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3"/>
              </w:rPr>
              <w:t>28,401</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131</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1,827</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822</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9,219</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4,427</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44,827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719</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32,319</w:t>
            </w:r>
          </w:p>
        </w:tc>
        <w:tc>
          <w:tcPr>
            <w:tcW w:w="2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(870)</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32,227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2,160</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945</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7,427</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10,388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88"/>
              </w:rPr>
              <w:t>Redeemable noncontrolling interests and redeemable</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18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1,058</w:t>
            </w:r>
          </w:p>
        </w:tc>
        <w:tc>
          <w:tcPr>
            <w:tcW w:w="260" w:type="dxa"/>
            <w:vAlign w:val="bottom"/>
          </w:tcPr>
          <w:p>
            <w:pPr>
              <w:spacing w:after="0"/>
              <w:rPr>
                <w:sz w:val="19"/>
                <w:szCs w:val="19"/>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shd w:val="clear" w:color="auto" w:fill="E5E5E5"/>
          </w:tcPr>
          <w:p>
            <w:pPr>
              <w:spacing w:after="0"/>
              <w:rPr>
                <w:sz w:val="20"/>
                <w:szCs w:val="20"/>
                <w:color w:val="auto"/>
              </w:rPr>
            </w:pPr>
            <w:r>
              <w:rPr>
                <w:rFonts w:ascii="Arial" w:cs="Arial" w:eastAsia="Arial" w:hAnsi="Arial"/>
                <w:sz w:val="18"/>
                <w:szCs w:val="18"/>
                <w:color w:val="auto"/>
              </w:rPr>
              <w:t>Equity:</w:t>
            </w:r>
          </w:p>
        </w:tc>
        <w:tc>
          <w:tcPr>
            <w:tcW w:w="1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shareholders’ equity</w:t>
            </w:r>
          </w:p>
        </w:tc>
        <w:tc>
          <w:tcPr>
            <w:tcW w:w="1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3"/>
              </w:rPr>
              <w:t>53,268</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9"/>
              </w:rPr>
              <w:t>102,477</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6"/>
              </w:rPr>
              <w:t>108,153</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3"/>
              </w:rPr>
              <w:t>57,638</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30,103</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86"/>
              </w:rPr>
              <w:t>195,784</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0"/>
              </w:rPr>
              <w:t>(494,155)</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53,268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99"/>
              </w:rPr>
              <w:t>Total Comcast Corporation shareholders’ equity</w:t>
            </w:r>
          </w:p>
        </w:tc>
        <w:tc>
          <w:tcPr>
            <w:tcW w:w="18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53,298</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102,477</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w w:val="86"/>
              </w:rPr>
              <w:t>108,153</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57,638</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30,103</w:t>
            </w:r>
          </w:p>
        </w:tc>
        <w:tc>
          <w:tcPr>
            <w:tcW w:w="24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w w:val="86"/>
              </w:rPr>
              <w:t>195,784</w:t>
            </w:r>
          </w:p>
        </w:tc>
        <w:tc>
          <w:tcPr>
            <w:tcW w:w="2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(494,155)</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53,298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355</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3"/>
              </w:rPr>
              <w:t>53,298</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102,477</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6"/>
              </w:rPr>
              <w:t>108,153</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3"/>
              </w:rPr>
              <w:t>57,638</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30,103</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86"/>
              </w:rPr>
              <w:t>196,139</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0"/>
              </w:rPr>
              <w:t>(494,155)</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53,653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3"/>
              </w:rPr>
              <w:t>86,144</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9"/>
              </w:rPr>
              <w:t>103,610</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6"/>
              </w:rPr>
              <w:t>110,327</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3"/>
              </w:rPr>
              <w:t>59,160</w:t>
            </w:r>
          </w:p>
        </w:tc>
        <w:tc>
          <w:tcPr>
            <w:tcW w:w="3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rPr>
              <w:t>41,749</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86"/>
              </w:rPr>
              <w:t>253,416</w:t>
            </w:r>
          </w:p>
        </w:tc>
        <w:tc>
          <w:tcPr>
            <w:tcW w:w="2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0"/>
              </w:rPr>
              <w:t>(495,169)</w:t>
            </w:r>
          </w:p>
        </w:tc>
        <w:tc>
          <w:tcPr>
            <w:tcW w:w="2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159,237</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ind w:right="253"/>
              <w:spacing w:after="0"/>
              <w:rPr>
                <w:sz w:val="20"/>
                <w:szCs w:val="20"/>
                <w:color w:val="auto"/>
              </w:rPr>
            </w:pPr>
            <w:r>
              <w:rPr>
                <w:rFonts w:ascii="Arial" w:cs="Arial" w:eastAsia="Arial" w:hAnsi="Arial"/>
                <w:sz w:val="14"/>
                <w:szCs w:val="14"/>
                <w:color w:val="auto"/>
              </w:rPr>
              <w:t>Non-</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gridSpan w:val="2"/>
          </w:tcPr>
          <w:p>
            <w:pPr>
              <w:ind w:left="140"/>
              <w:spacing w:after="0" w:line="135" w:lineRule="exact"/>
              <w:rPr>
                <w:sz w:val="20"/>
                <w:szCs w:val="20"/>
                <w:color w:val="auto"/>
              </w:rPr>
            </w:pPr>
            <w:r>
              <w:rPr>
                <w:rFonts w:ascii="Arial" w:cs="Arial" w:eastAsia="Arial" w:hAnsi="Arial"/>
                <w:sz w:val="14"/>
                <w:szCs w:val="14"/>
                <w:color w:val="auto"/>
              </w:rPr>
              <w:t>Combined</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center"/>
              <w:ind w:right="213"/>
              <w:spacing w:after="0" w:line="135" w:lineRule="exact"/>
              <w:rPr>
                <w:sz w:val="20"/>
                <w:szCs w:val="20"/>
                <w:color w:val="auto"/>
              </w:rPr>
            </w:pPr>
            <w:r>
              <w:rPr>
                <w:rFonts w:ascii="Arial" w:cs="Arial" w:eastAsia="Arial" w:hAnsi="Arial"/>
                <w:sz w:val="14"/>
                <w:szCs w:val="14"/>
                <w:color w:val="auto"/>
                <w:w w:val="85"/>
              </w:rPr>
              <w:t>and</w:t>
            </w:r>
          </w:p>
        </w:tc>
        <w:tc>
          <w:tcPr>
            <w:tcW w:w="920" w:type="dxa"/>
            <w:vAlign w:val="bottom"/>
            <w:gridSpan w:val="2"/>
          </w:tcPr>
          <w:p>
            <w:pPr>
              <w:ind w:left="120"/>
              <w:spacing w:after="0" w:line="135" w:lineRule="exact"/>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6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Comcast</w:t>
            </w:r>
          </w:p>
        </w:tc>
        <w:tc>
          <w:tcPr>
            <w:tcW w:w="80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700" w:type="dxa"/>
            <w:vAlign w:val="bottom"/>
          </w:tcPr>
          <w:p>
            <w:pPr>
              <w:jc w:val="right"/>
              <w:ind w:right="213"/>
              <w:spacing w:after="0" w:line="149" w:lineRule="exact"/>
              <w:rPr>
                <w:sz w:val="20"/>
                <w:szCs w:val="20"/>
                <w:color w:val="auto"/>
              </w:rPr>
            </w:pPr>
            <w:r>
              <w:rPr>
                <w:rFonts w:ascii="Arial" w:cs="Arial" w:eastAsia="Arial" w:hAnsi="Arial"/>
                <w:sz w:val="14"/>
                <w:szCs w:val="14"/>
                <w:color w:val="auto"/>
                <w:w w:val="99"/>
              </w:rPr>
              <w:t>CCCL</w:t>
            </w:r>
          </w:p>
        </w:tc>
        <w:tc>
          <w:tcPr>
            <w:tcW w:w="86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CCHMO</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NBCUniversal</w:t>
            </w:r>
          </w:p>
        </w:tc>
        <w:tc>
          <w:tcPr>
            <w:tcW w:w="94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Guarantor</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0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3"/>
              </w:rPr>
              <w:t>Comcast</w:t>
            </w:r>
          </w:p>
        </w:tc>
        <w:tc>
          <w:tcPr>
            <w:tcW w:w="0" w:type="dxa"/>
            <w:vAlign w:val="bottom"/>
          </w:tcPr>
          <w:p>
            <w:pPr>
              <w:spacing w:after="0"/>
              <w:rPr>
                <w:sz w:val="1"/>
                <w:szCs w:val="1"/>
                <w:color w:val="auto"/>
              </w:rPr>
            </w:pPr>
          </w:p>
        </w:tc>
      </w:tr>
      <w:tr>
        <w:trPr>
          <w:trHeight w:val="173"/>
        </w:trPr>
        <w:tc>
          <w:tcPr>
            <w:tcW w:w="38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5"/>
                <w:szCs w:val="15"/>
                <w:color w:val="auto"/>
              </w:rPr>
            </w:pPr>
          </w:p>
        </w:tc>
        <w:tc>
          <w:tcPr>
            <w:tcW w:w="620" w:type="dxa"/>
            <w:vAlign w:val="bottom"/>
          </w:tcPr>
          <w:p>
            <w:pPr>
              <w:jc w:val="right"/>
              <w:ind w:right="153"/>
              <w:spacing w:after="0"/>
              <w:rPr>
                <w:sz w:val="20"/>
                <w:szCs w:val="20"/>
                <w:color w:val="auto"/>
              </w:rPr>
            </w:pPr>
            <w:r>
              <w:rPr>
                <w:rFonts w:ascii="Arial" w:cs="Arial" w:eastAsia="Arial" w:hAnsi="Arial"/>
                <w:sz w:val="14"/>
                <w:szCs w:val="14"/>
                <w:color w:val="auto"/>
                <w:w w:val="87"/>
              </w:rPr>
              <w:t>Parent</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color w:val="auto"/>
              </w:rPr>
              <w:t>Holdings</w:t>
            </w:r>
          </w:p>
        </w:tc>
        <w:tc>
          <w:tcPr>
            <w:tcW w:w="300" w:type="dxa"/>
            <w:vAlign w:val="bottom"/>
          </w:tcPr>
          <w:p>
            <w:pPr>
              <w:spacing w:after="0"/>
              <w:rPr>
                <w:sz w:val="15"/>
                <w:szCs w:val="15"/>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color w:val="auto"/>
                <w:w w:val="92"/>
              </w:rPr>
              <w:t>Parent</w:t>
            </w:r>
          </w:p>
        </w:tc>
        <w:tc>
          <w:tcPr>
            <w:tcW w:w="22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color w:val="auto"/>
                <w:w w:val="78"/>
              </w:rPr>
              <w:t>Parents</w:t>
            </w:r>
          </w:p>
        </w:tc>
        <w:tc>
          <w:tcPr>
            <w:tcW w:w="1080" w:type="dxa"/>
            <w:vAlign w:val="bottom"/>
            <w:gridSpan w:val="2"/>
          </w:tcPr>
          <w:p>
            <w:pPr>
              <w:jc w:val="right"/>
              <w:ind w:right="92"/>
              <w:spacing w:after="0"/>
              <w:rPr>
                <w:sz w:val="20"/>
                <w:szCs w:val="20"/>
                <w:color w:val="auto"/>
              </w:rPr>
            </w:pPr>
            <w:r>
              <w:rPr>
                <w:rFonts w:ascii="Arial" w:cs="Arial" w:eastAsia="Arial" w:hAnsi="Arial"/>
                <w:sz w:val="14"/>
                <w:szCs w:val="14"/>
                <w:color w:val="auto"/>
              </w:rPr>
              <w:t>Media Parent</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Subsidiaries</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20" w:type="dxa"/>
            <w:vAlign w:val="bottom"/>
            <w:gridSpan w:val="2"/>
          </w:tcPr>
          <w:p>
            <w:pPr>
              <w:jc w:val="right"/>
              <w:ind w:right="33"/>
              <w:spacing w:after="0"/>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82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336</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1,382</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3,573</w:t>
            </w:r>
          </w:p>
        </w:tc>
        <w:tc>
          <w:tcPr>
            <w:tcW w:w="2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6,376</w:t>
            </w:r>
          </w:p>
        </w:tc>
        <w:tc>
          <w:tcPr>
            <w:tcW w:w="260" w:type="dxa"/>
            <w:vAlign w:val="bottom"/>
          </w:tcPr>
          <w:p>
            <w:pPr>
              <w:spacing w:after="0"/>
              <w:rPr>
                <w:sz w:val="18"/>
                <w:szCs w:val="18"/>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Programming rights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928</w:t>
            </w:r>
          </w:p>
        </w:tc>
        <w:tc>
          <w:tcPr>
            <w:tcW w:w="2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237</w:t>
            </w: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1,208</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237</w:t>
            </w:r>
          </w:p>
        </w:tc>
        <w:tc>
          <w:tcPr>
            <w:tcW w:w="24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371</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13,467</w:t>
            </w:r>
          </w:p>
        </w:tc>
        <w:tc>
          <w:tcPr>
            <w:tcW w:w="2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4,994</w:t>
            </w:r>
          </w:p>
        </w:tc>
        <w:tc>
          <w:tcPr>
            <w:tcW w:w="260" w:type="dxa"/>
            <w:vAlign w:val="bottom"/>
          </w:tcPr>
          <w:p>
            <w:pPr>
              <w:spacing w:after="0"/>
              <w:rPr>
                <w:sz w:val="18"/>
                <w:szCs w:val="18"/>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11</w:t>
            </w:r>
          </w:p>
        </w:tc>
        <w:tc>
          <w:tcPr>
            <w:tcW w:w="24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374</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3,385</w:t>
            </w:r>
          </w:p>
        </w:tc>
        <w:tc>
          <w:tcPr>
            <w:tcW w:w="2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w w:val="95"/>
              </w:rPr>
              <w:t>Investments in and amounts due from subsidiaries</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eliminated upon consolidation</w:t>
            </w:r>
          </w:p>
        </w:tc>
        <w:tc>
          <w:tcPr>
            <w:tcW w:w="240" w:type="dxa"/>
            <w:vAlign w:val="bottom"/>
          </w:tcPr>
          <w:p>
            <w:pPr>
              <w:spacing w:after="0"/>
              <w:rPr>
                <w:sz w:val="19"/>
                <w:szCs w:val="19"/>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w w:val="87"/>
              </w:rPr>
              <w:t>79,956</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97,429</w:t>
            </w:r>
          </w:p>
        </w:tc>
        <w:tc>
          <w:tcPr>
            <w:tcW w:w="300" w:type="dxa"/>
            <w:vAlign w:val="bottom"/>
          </w:tcPr>
          <w:p>
            <w:pPr>
              <w:spacing w:after="0"/>
              <w:rPr>
                <w:sz w:val="19"/>
                <w:szCs w:val="19"/>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w w:val="82"/>
              </w:rPr>
              <w:t>102,673</w:t>
            </w:r>
          </w:p>
        </w:tc>
        <w:tc>
          <w:tcPr>
            <w:tcW w:w="220" w:type="dxa"/>
            <w:vAlign w:val="bottom"/>
          </w:tcPr>
          <w:p>
            <w:pPr>
              <w:spacing w:after="0"/>
              <w:rPr>
                <w:sz w:val="19"/>
                <w:szCs w:val="19"/>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w w:val="87"/>
              </w:rPr>
              <w:t>54,724</w:t>
            </w:r>
          </w:p>
        </w:tc>
        <w:tc>
          <w:tcPr>
            <w:tcW w:w="34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40,644</w:t>
            </w:r>
          </w:p>
        </w:tc>
        <w:tc>
          <w:tcPr>
            <w:tcW w:w="22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85,164</w:t>
            </w:r>
          </w:p>
        </w:tc>
        <w:tc>
          <w:tcPr>
            <w:tcW w:w="26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w w:val="88"/>
              </w:rPr>
              <w:t>(460,590)</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6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220</w:t>
            </w:r>
          </w:p>
        </w:tc>
        <w:tc>
          <w:tcPr>
            <w:tcW w:w="24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29,620</w:t>
            </w:r>
          </w:p>
        </w:tc>
        <w:tc>
          <w:tcPr>
            <w:tcW w:w="2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Franchise rights</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59,364</w:t>
            </w:r>
          </w:p>
        </w:tc>
        <w:tc>
          <w:tcPr>
            <w:tcW w:w="260" w:type="dxa"/>
            <w:vAlign w:val="bottom"/>
          </w:tcPr>
          <w:p>
            <w:pPr>
              <w:spacing w:after="0"/>
              <w:rPr>
                <w:sz w:val="18"/>
                <w:szCs w:val="18"/>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59,364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27,098</w:t>
            </w:r>
          </w:p>
        </w:tc>
        <w:tc>
          <w:tcPr>
            <w:tcW w:w="2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17,318</w:t>
            </w:r>
          </w:p>
        </w:tc>
        <w:tc>
          <w:tcPr>
            <w:tcW w:w="260" w:type="dxa"/>
            <w:vAlign w:val="bottom"/>
          </w:tcPr>
          <w:p>
            <w:pPr>
              <w:spacing w:after="0"/>
              <w:rPr>
                <w:sz w:val="18"/>
                <w:szCs w:val="18"/>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17,329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1,078</w:t>
            </w:r>
          </w:p>
        </w:tc>
        <w:tc>
          <w:tcPr>
            <w:tcW w:w="2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145</w:t>
            </w:r>
          </w:p>
        </w:tc>
        <w:tc>
          <w:tcPr>
            <w:tcW w:w="3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103</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1,899</w:t>
            </w:r>
          </w:p>
        </w:tc>
        <w:tc>
          <w:tcPr>
            <w:tcW w:w="26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(882)</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7"/>
              </w:rPr>
              <w:t>81,513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97,574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2"/>
              </w:rPr>
              <w:t>102,673</w:t>
            </w:r>
          </w:p>
        </w:tc>
        <w:tc>
          <w:tcPr>
            <w:tcW w:w="22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7"/>
              </w:rPr>
              <w:t>54,724</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41,492</w:t>
            </w:r>
          </w:p>
        </w:tc>
        <w:tc>
          <w:tcPr>
            <w:tcW w:w="22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6"/>
              </w:rPr>
              <w:t>242,309</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8"/>
              </w:rPr>
              <w:t>(461,472)</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158,813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w w:val="93"/>
              </w:rPr>
              <w:t>Accounts payable and accrued expenses related</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to trade creditors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5,520</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5,528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participations and residuals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1,239</w:t>
            </w:r>
          </w:p>
        </w:tc>
        <w:tc>
          <w:tcPr>
            <w:tcW w:w="2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1,371</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266</w:t>
            </w:r>
          </w:p>
        </w:tc>
        <w:tc>
          <w:tcPr>
            <w:tcW w:w="30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6,678</w:t>
            </w:r>
          </w:p>
        </w:tc>
        <w:tc>
          <w:tcPr>
            <w:tcW w:w="260" w:type="dxa"/>
            <w:vAlign w:val="bottom"/>
          </w:tcPr>
          <w:p>
            <w:pPr>
              <w:spacing w:after="0"/>
              <w:rPr>
                <w:sz w:val="18"/>
                <w:szCs w:val="18"/>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2,351</w:t>
            </w:r>
          </w:p>
        </w:tc>
        <w:tc>
          <w:tcPr>
            <w:tcW w:w="2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903</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3,730</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266</w:t>
            </w:r>
          </w:p>
        </w:tc>
        <w:tc>
          <w:tcPr>
            <w:tcW w:w="30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1,226</w:t>
            </w:r>
          </w:p>
        </w:tc>
        <w:tc>
          <w:tcPr>
            <w:tcW w:w="22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13,463</w:t>
            </w:r>
          </w:p>
        </w:tc>
        <w:tc>
          <w:tcPr>
            <w:tcW w:w="260" w:type="dxa"/>
            <w:vAlign w:val="bottom"/>
          </w:tcPr>
          <w:p>
            <w:pPr>
              <w:spacing w:after="0"/>
              <w:rPr>
                <w:sz w:val="18"/>
                <w:szCs w:val="18"/>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18,912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87"/>
              </w:rPr>
              <w:t>25,170</w:t>
            </w:r>
          </w:p>
        </w:tc>
        <w:tc>
          <w:tcPr>
            <w:tcW w:w="24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132</w:t>
            </w: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1,827</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1,505</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10,236</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5,697</w:t>
            </w:r>
          </w:p>
        </w:tc>
        <w:tc>
          <w:tcPr>
            <w:tcW w:w="2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44,567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777</w:t>
            </w:r>
          </w:p>
        </w:tc>
        <w:tc>
          <w:tcPr>
            <w:tcW w:w="30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31,840</w:t>
            </w:r>
          </w:p>
        </w:tc>
        <w:tc>
          <w:tcPr>
            <w:tcW w:w="26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(741)</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31,935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1,919</w:t>
            </w:r>
          </w:p>
        </w:tc>
        <w:tc>
          <w:tcPr>
            <w:tcW w:w="24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931</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8,675</w:t>
            </w:r>
          </w:p>
        </w:tc>
        <w:tc>
          <w:tcPr>
            <w:tcW w:w="2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11,384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w w:val="89"/>
              </w:rPr>
              <w:t>Redeemable noncontrolling interests and redeemable</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240" w:type="dxa"/>
            <w:vAlign w:val="bottom"/>
          </w:tcPr>
          <w:p>
            <w:pPr>
              <w:spacing w:after="0"/>
              <w:rPr>
                <w:sz w:val="19"/>
                <w:szCs w:val="19"/>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957</w:t>
            </w:r>
          </w:p>
        </w:tc>
        <w:tc>
          <w:tcPr>
            <w:tcW w:w="260" w:type="dxa"/>
            <w:vAlign w:val="bottom"/>
          </w:tcPr>
          <w:p>
            <w:pPr>
              <w:spacing w:after="0"/>
              <w:rPr>
                <w:sz w:val="19"/>
                <w:szCs w:val="19"/>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60" w:type="dxa"/>
            <w:vAlign w:val="bottom"/>
            <w:shd w:val="clear" w:color="auto" w:fill="E5E5E5"/>
          </w:tcPr>
          <w:p>
            <w:pPr>
              <w:spacing w:after="0"/>
              <w:rPr>
                <w:sz w:val="20"/>
                <w:szCs w:val="20"/>
                <w:color w:val="auto"/>
              </w:rPr>
            </w:pPr>
            <w:r>
              <w:rPr>
                <w:rFonts w:ascii="Arial" w:cs="Arial" w:eastAsia="Arial" w:hAnsi="Arial"/>
                <w:sz w:val="18"/>
                <w:szCs w:val="18"/>
                <w:color w:val="auto"/>
              </w:rPr>
              <w:t>Equity:</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shareholders’ equity</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87"/>
              </w:rPr>
              <w:t>50,664</w:t>
            </w:r>
          </w:p>
        </w:tc>
        <w:tc>
          <w:tcPr>
            <w:tcW w:w="2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3"/>
              </w:rPr>
              <w:t>96,399</w:t>
            </w:r>
          </w:p>
        </w:tc>
        <w:tc>
          <w:tcPr>
            <w:tcW w:w="3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2"/>
              </w:rPr>
              <w:t>100,666</w:t>
            </w:r>
          </w:p>
        </w:tc>
        <w:tc>
          <w:tcPr>
            <w:tcW w:w="2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7"/>
              </w:rPr>
              <w:t>53,172</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29,040</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6"/>
              </w:rPr>
              <w:t>181,313</w:t>
            </w:r>
          </w:p>
        </w:tc>
        <w:tc>
          <w:tcPr>
            <w:tcW w:w="26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88"/>
              </w:rPr>
              <w:t>(460,590)</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50,664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Total Comcast Corporation shareholders’ equity</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w w:val="87"/>
              </w:rPr>
              <w:t>50,694</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96,399</w:t>
            </w:r>
          </w:p>
        </w:tc>
        <w:tc>
          <w:tcPr>
            <w:tcW w:w="30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w w:val="82"/>
              </w:rPr>
              <w:t>100,666</w:t>
            </w:r>
          </w:p>
        </w:tc>
        <w:tc>
          <w:tcPr>
            <w:tcW w:w="22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w w:val="87"/>
              </w:rPr>
              <w:t>53,172</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29,040</w:t>
            </w:r>
          </w:p>
        </w:tc>
        <w:tc>
          <w:tcPr>
            <w:tcW w:w="22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w w:val="86"/>
              </w:rPr>
              <w:t>181,313</w:t>
            </w:r>
          </w:p>
        </w:tc>
        <w:tc>
          <w:tcPr>
            <w:tcW w:w="26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w w:val="88"/>
              </w:rPr>
              <w:t>(460,590)</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50,694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364</w:t>
            </w:r>
          </w:p>
        </w:tc>
        <w:tc>
          <w:tcPr>
            <w:tcW w:w="26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87"/>
              </w:rPr>
              <w:t>50,694</w:t>
            </w: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96,399</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2"/>
              </w:rPr>
              <w:t>100,666</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7"/>
              </w:rPr>
              <w:t>53,172</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29,040</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6"/>
              </w:rPr>
              <w:t>181,677</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88"/>
              </w:rPr>
              <w:t>(460,590)</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51,058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liabilities and equity</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87"/>
              </w:rPr>
              <w:t>81,513</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3"/>
              </w:rPr>
              <w:t>97,574</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2"/>
              </w:rPr>
              <w:t>102,673</w:t>
            </w:r>
          </w:p>
        </w:tc>
        <w:tc>
          <w:tcPr>
            <w:tcW w:w="22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7"/>
              </w:rPr>
              <w:t>54,724</w:t>
            </w:r>
          </w:p>
        </w:tc>
        <w:tc>
          <w:tcPr>
            <w:tcW w:w="3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rPr>
              <w:t>41,492</w:t>
            </w:r>
          </w:p>
        </w:tc>
        <w:tc>
          <w:tcPr>
            <w:tcW w:w="22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6"/>
              </w:rPr>
              <w:t>242,309</w:t>
            </w:r>
          </w:p>
        </w:tc>
        <w:tc>
          <w:tcPr>
            <w:tcW w:w="2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88"/>
              </w:rPr>
              <w:t>(461,472)</w:t>
            </w:r>
          </w:p>
        </w:tc>
        <w:tc>
          <w:tcPr>
            <w:tcW w:w="2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158,813</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For the Three Months Ended September 30, 2014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vMerge w:val="restart"/>
          </w:tcPr>
          <w:p>
            <w:pPr>
              <w:jc w:val="right"/>
              <w:ind w:right="273"/>
              <w:spacing w:after="0"/>
              <w:rPr>
                <w:sz w:val="20"/>
                <w:szCs w:val="20"/>
                <w:color w:val="auto"/>
              </w:rPr>
            </w:pPr>
            <w:r>
              <w:rPr>
                <w:rFonts w:ascii="Arial" w:cs="Arial" w:eastAsia="Arial" w:hAnsi="Arial"/>
                <w:sz w:val="14"/>
                <w:szCs w:val="14"/>
                <w:color w:val="auto"/>
              </w:rPr>
              <w:t>Non-</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2"/>
          </w:tcPr>
          <w:p>
            <w:pPr>
              <w:ind w:left="100"/>
              <w:spacing w:after="0" w:line="135" w:lineRule="exact"/>
              <w:rPr>
                <w:sz w:val="20"/>
                <w:szCs w:val="20"/>
                <w:color w:val="auto"/>
              </w:rPr>
            </w:pPr>
            <w:r>
              <w:rPr>
                <w:rFonts w:ascii="Arial" w:cs="Arial" w:eastAsia="Arial" w:hAnsi="Arial"/>
                <w:sz w:val="14"/>
                <w:szCs w:val="14"/>
                <w:color w:val="auto"/>
              </w:rPr>
              <w:t>Combined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jc w:val="center"/>
              <w:ind w:right="253"/>
              <w:spacing w:after="0" w:line="135"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20"/>
              <w:spacing w:after="0" w:line="135" w:lineRule="exact"/>
              <w:rPr>
                <w:sz w:val="20"/>
                <w:szCs w:val="20"/>
                <w:color w:val="auto"/>
              </w:rPr>
            </w:pPr>
            <w:r>
              <w:rPr>
                <w:rFonts w:ascii="Arial" w:cs="Arial" w:eastAsia="Arial" w:hAnsi="Arial"/>
                <w:sz w:val="14"/>
                <w:szCs w:val="14"/>
                <w:color w:val="auto"/>
                <w:w w:val="97"/>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7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Comcast</w:t>
            </w:r>
          </w:p>
        </w:tc>
        <w:tc>
          <w:tcPr>
            <w:tcW w:w="68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4"/>
              </w:rPr>
              <w:t>Comcast</w:t>
            </w:r>
          </w:p>
        </w:tc>
        <w:tc>
          <w:tcPr>
            <w:tcW w:w="9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CCCL</w:t>
            </w:r>
          </w:p>
        </w:tc>
        <w:tc>
          <w:tcPr>
            <w:tcW w:w="84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CCHMO</w:t>
            </w:r>
          </w:p>
        </w:tc>
        <w:tc>
          <w:tcPr>
            <w:tcW w:w="11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NBCUniversal</w:t>
            </w:r>
          </w:p>
        </w:tc>
        <w:tc>
          <w:tcPr>
            <w:tcW w:w="94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c>
          <w:tcPr>
            <w:tcW w:w="0" w:type="dxa"/>
            <w:vAlign w:val="bottom"/>
          </w:tcPr>
          <w:p>
            <w:pPr>
              <w:spacing w:after="0"/>
              <w:rPr>
                <w:sz w:val="1"/>
                <w:szCs w:val="1"/>
                <w:color w:val="auto"/>
              </w:rPr>
            </w:pPr>
          </w:p>
        </w:tc>
      </w:tr>
      <w:tr>
        <w:trPr>
          <w:trHeight w:val="173"/>
        </w:trPr>
        <w:tc>
          <w:tcPr>
            <w:tcW w:w="41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760" w:type="dxa"/>
            <w:vAlign w:val="bottom"/>
            <w:gridSpan w:val="2"/>
          </w:tcPr>
          <w:p>
            <w:pPr>
              <w:jc w:val="right"/>
              <w:ind w:right="152"/>
              <w:spacing w:after="0"/>
              <w:rPr>
                <w:sz w:val="20"/>
                <w:szCs w:val="20"/>
                <w:color w:val="auto"/>
              </w:rPr>
            </w:pPr>
            <w:r>
              <w:rPr>
                <w:rFonts w:ascii="Arial" w:cs="Arial" w:eastAsia="Arial" w:hAnsi="Arial"/>
                <w:sz w:val="14"/>
                <w:szCs w:val="14"/>
                <w:color w:val="auto"/>
              </w:rPr>
              <w:t>Parent</w:t>
            </w:r>
          </w:p>
        </w:tc>
        <w:tc>
          <w:tcPr>
            <w:tcW w:w="680" w:type="dxa"/>
            <w:vAlign w:val="bottom"/>
            <w:gridSpan w:val="2"/>
          </w:tcPr>
          <w:p>
            <w:pPr>
              <w:ind w:left="120"/>
              <w:spacing w:after="0"/>
              <w:rPr>
                <w:sz w:val="20"/>
                <w:szCs w:val="20"/>
                <w:color w:val="auto"/>
              </w:rPr>
            </w:pPr>
            <w:r>
              <w:rPr>
                <w:rFonts w:ascii="Arial" w:cs="Arial" w:eastAsia="Arial" w:hAnsi="Arial"/>
                <w:sz w:val="14"/>
                <w:szCs w:val="14"/>
                <w:color w:val="auto"/>
                <w:w w:val="99"/>
              </w:rPr>
              <w:t>Holdings</w:t>
            </w:r>
          </w:p>
        </w:tc>
        <w:tc>
          <w:tcPr>
            <w:tcW w:w="900" w:type="dxa"/>
            <w:vAlign w:val="bottom"/>
            <w:gridSpan w:val="2"/>
          </w:tcPr>
          <w:p>
            <w:pPr>
              <w:jc w:val="right"/>
              <w:ind w:right="172"/>
              <w:spacing w:after="0"/>
              <w:rPr>
                <w:sz w:val="20"/>
                <w:szCs w:val="20"/>
                <w:color w:val="auto"/>
              </w:rPr>
            </w:pPr>
            <w:r>
              <w:rPr>
                <w:rFonts w:ascii="Arial" w:cs="Arial" w:eastAsia="Arial" w:hAnsi="Arial"/>
                <w:sz w:val="14"/>
                <w:szCs w:val="14"/>
                <w:color w:val="auto"/>
              </w:rPr>
              <w:t>Parent</w:t>
            </w:r>
          </w:p>
        </w:tc>
        <w:tc>
          <w:tcPr>
            <w:tcW w:w="840" w:type="dxa"/>
            <w:vAlign w:val="bottom"/>
            <w:gridSpan w:val="2"/>
          </w:tcPr>
          <w:p>
            <w:pPr>
              <w:jc w:val="right"/>
              <w:ind w:right="172"/>
              <w:spacing w:after="0"/>
              <w:rPr>
                <w:sz w:val="20"/>
                <w:szCs w:val="20"/>
                <w:color w:val="auto"/>
              </w:rPr>
            </w:pPr>
            <w:r>
              <w:rPr>
                <w:rFonts w:ascii="Arial" w:cs="Arial" w:eastAsia="Arial" w:hAnsi="Arial"/>
                <w:sz w:val="14"/>
                <w:szCs w:val="14"/>
                <w:color w:val="auto"/>
              </w:rPr>
              <w:t>Parents</w:t>
            </w:r>
          </w:p>
        </w:tc>
        <w:tc>
          <w:tcPr>
            <w:tcW w:w="1100" w:type="dxa"/>
            <w:vAlign w:val="bottom"/>
            <w:gridSpan w:val="2"/>
          </w:tcPr>
          <w:p>
            <w:pPr>
              <w:jc w:val="right"/>
              <w:ind w:right="132"/>
              <w:spacing w:after="0"/>
              <w:rPr>
                <w:sz w:val="20"/>
                <w:szCs w:val="20"/>
                <w:color w:val="auto"/>
              </w:rPr>
            </w:pPr>
            <w:r>
              <w:rPr>
                <w:rFonts w:ascii="Arial" w:cs="Arial" w:eastAsia="Arial" w:hAnsi="Arial"/>
                <w:sz w:val="14"/>
                <w:szCs w:val="14"/>
                <w:color w:val="auto"/>
              </w:rPr>
              <w:t>Media Parent</w:t>
            </w:r>
          </w:p>
        </w:tc>
        <w:tc>
          <w:tcPr>
            <w:tcW w:w="940" w:type="dxa"/>
            <w:vAlign w:val="bottom"/>
            <w:gridSpan w:val="2"/>
          </w:tcPr>
          <w:p>
            <w:pPr>
              <w:ind w:left="120"/>
              <w:spacing w:after="0"/>
              <w:rPr>
                <w:sz w:val="20"/>
                <w:szCs w:val="20"/>
                <w:color w:val="auto"/>
              </w:rPr>
            </w:pPr>
            <w:r>
              <w:rPr>
                <w:rFonts w:ascii="Arial" w:cs="Arial" w:eastAsia="Arial" w:hAnsi="Arial"/>
                <w:sz w:val="14"/>
                <w:szCs w:val="14"/>
                <w:color w:val="auto"/>
              </w:rPr>
              <w:t>Subsidiaries</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16,791</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16,791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237</w:t>
            </w:r>
          </w:p>
        </w:tc>
        <w:tc>
          <w:tcPr>
            <w:tcW w:w="22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237</w:t>
            </w:r>
          </w:p>
        </w:tc>
        <w:tc>
          <w:tcPr>
            <w:tcW w:w="2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146</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(620)</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237</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237</w:t>
            </w: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146</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4"/>
              </w:rPr>
              <w:t>16,791</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(620)</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16,791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Programming and production</w:t>
            </w:r>
          </w:p>
        </w:tc>
        <w:tc>
          <w:tcPr>
            <w:tcW w:w="2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4,772</w:t>
            </w:r>
          </w:p>
        </w:tc>
        <w:tc>
          <w:tcPr>
            <w:tcW w:w="30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Other operating and administrative</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197</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237</w:t>
            </w:r>
          </w:p>
        </w:tc>
        <w:tc>
          <w:tcPr>
            <w:tcW w:w="2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146</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203</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4,856</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(620)</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Advertising, marketing and promotion</w:t>
            </w:r>
          </w:p>
        </w:tc>
        <w:tc>
          <w:tcPr>
            <w:tcW w:w="2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1,296</w:t>
            </w:r>
          </w:p>
        </w:tc>
        <w:tc>
          <w:tcPr>
            <w:tcW w:w="30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10</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1,529</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419</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bottom w:val="single" w:sz="8" w:color="auto"/>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208</w:t>
            </w:r>
          </w:p>
        </w:tc>
        <w:tc>
          <w:tcPr>
            <w:tcW w:w="22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237</w:t>
            </w:r>
          </w:p>
        </w:tc>
        <w:tc>
          <w:tcPr>
            <w:tcW w:w="2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146</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203</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94"/>
              </w:rPr>
              <w:t>12,872</w:t>
            </w:r>
          </w:p>
        </w:tc>
        <w:tc>
          <w:tcPr>
            <w:tcW w:w="3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(620)</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13,046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(203)</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3,919</w:t>
            </w:r>
          </w:p>
        </w:tc>
        <w:tc>
          <w:tcPr>
            <w:tcW w:w="30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(412)</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 income (loss), net</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(14)</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32</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Equity in net income (losses) of investees, net</w:t>
            </w:r>
          </w:p>
        </w:tc>
        <w:tc>
          <w:tcPr>
            <w:tcW w:w="2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2,840</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2,556</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2,362</w:t>
            </w:r>
          </w:p>
        </w:tc>
        <w:tc>
          <w:tcPr>
            <w:tcW w:w="24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w w:val="93"/>
              </w:rPr>
              <w:t>1,801</w:t>
            </w:r>
          </w:p>
        </w:tc>
        <w:tc>
          <w:tcPr>
            <w:tcW w:w="36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1,144</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835</w:t>
            </w:r>
          </w:p>
        </w:tc>
        <w:tc>
          <w:tcPr>
            <w:tcW w:w="300" w:type="dxa"/>
            <w:vAlign w:val="bottom"/>
          </w:tcPr>
          <w:p>
            <w:pPr>
              <w:spacing w:after="0"/>
              <w:rPr>
                <w:sz w:val="18"/>
                <w:szCs w:val="18"/>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w w:val="95"/>
              </w:rPr>
              <w:t>(11,505)</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(93)</w:t>
            </w:r>
          </w:p>
        </w:tc>
        <w:tc>
          <w:tcPr>
            <w:tcW w:w="3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84"/>
              </w:rPr>
              <w:t>2,429</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2,556</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2,319</w:t>
            </w: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3"/>
              </w:rPr>
              <w:t>1,772</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1,016</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708</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5"/>
              </w:rPr>
              <w:t>(11,505)</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84"/>
              </w:rPr>
              <w:t>2,458</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2,556</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2,319</w:t>
            </w:r>
          </w:p>
        </w:tc>
        <w:tc>
          <w:tcPr>
            <w:tcW w:w="2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93"/>
              </w:rPr>
              <w:t>1,772</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813</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4,627</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5"/>
              </w:rPr>
              <w:t>(11,505)</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134</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10</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(555)</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84"/>
              </w:rPr>
              <w:t>2,592</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2,556</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2,334</w:t>
            </w:r>
          </w:p>
        </w:tc>
        <w:tc>
          <w:tcPr>
            <w:tcW w:w="2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93"/>
              </w:rPr>
              <w:t>1,782</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802</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4,072</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5"/>
              </w:rPr>
              <w:t>(11,505)</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w w:val="93"/>
              </w:rPr>
              <w:t>Net (income) loss attributable to noncontrolling interests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and redeemable subsidiary preferred stock</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89"/>
              </w:rPr>
              <w:t>Net income (loss) attributable to Comcast Corporation</w:t>
            </w:r>
          </w:p>
        </w:tc>
        <w:tc>
          <w:tcPr>
            <w:tcW w:w="20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b w:val="1"/>
                <w:bCs w:val="1"/>
                <w:color w:val="auto"/>
                <w:w w:val="84"/>
              </w:rPr>
              <w:t>2,592</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4"/>
              </w:rPr>
              <w:t>2,556</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2,334</w:t>
            </w:r>
          </w:p>
        </w:tc>
        <w:tc>
          <w:tcPr>
            <w:tcW w:w="24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b w:val="1"/>
                <w:bCs w:val="1"/>
                <w:color w:val="auto"/>
                <w:w w:val="93"/>
              </w:rPr>
              <w:t>1,782</w:t>
            </w:r>
          </w:p>
        </w:tc>
        <w:tc>
          <w:tcPr>
            <w:tcW w:w="36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802</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4,031</w:t>
            </w:r>
          </w:p>
        </w:tc>
        <w:tc>
          <w:tcPr>
            <w:tcW w:w="30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5"/>
              </w:rPr>
              <w:t>(11,505)</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2,592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spacing w:after="0" w:line="201" w:lineRule="exact"/>
              <w:rPr>
                <w:sz w:val="20"/>
                <w:szCs w:val="20"/>
                <w:color w:val="auto"/>
              </w:rPr>
            </w:pPr>
            <w:r>
              <w:rPr>
                <w:rFonts w:ascii="Arial" w:cs="Arial" w:eastAsia="Arial" w:hAnsi="Arial"/>
                <w:sz w:val="18"/>
                <w:szCs w:val="18"/>
                <w:b w:val="1"/>
                <w:bCs w:val="1"/>
                <w:color w:val="auto"/>
                <w:w w:val="89"/>
              </w:rPr>
              <w:t>Comprehensive income (loss) attributable to Comcast</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4"/>
              </w:rPr>
              <w:t>2,609</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2,551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2,335</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3"/>
              </w:rPr>
              <w:t>1,781</w:t>
            </w: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785</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4,031</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5"/>
              </w:rPr>
              <w:t>(11,483)</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2,609</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jc w:val="right"/>
              <w:ind w:right="39"/>
              <w:spacing w:after="0"/>
              <w:rPr>
                <w:sz w:val="20"/>
                <w:szCs w:val="20"/>
                <w:color w:val="auto"/>
              </w:rPr>
            </w:pPr>
            <w:r>
              <w:rPr>
                <w:rFonts w:ascii="Arial" w:cs="Arial" w:eastAsia="Arial" w:hAnsi="Arial"/>
                <w:sz w:val="18"/>
                <w:szCs w:val="18"/>
                <w:color w:val="auto"/>
                <w:w w:val="89"/>
              </w:rPr>
              <w:t>22</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For the Three Months Ended September 30, 2013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vMerge w:val="restart"/>
          </w:tcPr>
          <w:p>
            <w:pPr>
              <w:jc w:val="right"/>
              <w:ind w:right="313"/>
              <w:spacing w:after="0"/>
              <w:rPr>
                <w:sz w:val="20"/>
                <w:szCs w:val="20"/>
                <w:color w:val="auto"/>
              </w:rPr>
            </w:pPr>
            <w:r>
              <w:rPr>
                <w:rFonts w:ascii="Arial" w:cs="Arial" w:eastAsia="Arial" w:hAnsi="Arial"/>
                <w:sz w:val="14"/>
                <w:szCs w:val="14"/>
                <w:color w:val="auto"/>
              </w:rPr>
              <w:t>Non-</w:t>
            </w: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160"/>
              <w:spacing w:after="0" w:line="135" w:lineRule="exact"/>
              <w:rPr>
                <w:sz w:val="20"/>
                <w:szCs w:val="20"/>
                <w:color w:val="auto"/>
              </w:rPr>
            </w:pPr>
            <w:r>
              <w:rPr>
                <w:rFonts w:ascii="Arial" w:cs="Arial" w:eastAsia="Arial" w:hAnsi="Arial"/>
                <w:sz w:val="14"/>
                <w:szCs w:val="14"/>
                <w:color w:val="auto"/>
              </w:rPr>
              <w:t>Combined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jc w:val="center"/>
              <w:ind w:right="313"/>
              <w:spacing w:after="0" w:line="135" w:lineRule="exact"/>
              <w:rPr>
                <w:sz w:val="20"/>
                <w:szCs w:val="20"/>
                <w:color w:val="auto"/>
              </w:rPr>
            </w:pPr>
            <w:r>
              <w:rPr>
                <w:rFonts w:ascii="Arial" w:cs="Arial" w:eastAsia="Arial" w:hAnsi="Arial"/>
                <w:sz w:val="14"/>
                <w:szCs w:val="14"/>
                <w:color w:val="auto"/>
                <w:w w:val="85"/>
              </w:rPr>
              <w:t>and</w:t>
            </w:r>
          </w:p>
        </w:tc>
        <w:tc>
          <w:tcPr>
            <w:tcW w:w="980" w:type="dxa"/>
            <w:vAlign w:val="bottom"/>
            <w:gridSpan w:val="2"/>
          </w:tcPr>
          <w:p>
            <w:pPr>
              <w:ind w:left="160"/>
              <w:spacing w:after="0" w:line="135" w:lineRule="exact"/>
              <w:rPr>
                <w:sz w:val="20"/>
                <w:szCs w:val="20"/>
                <w:color w:val="auto"/>
              </w:rPr>
            </w:pPr>
            <w:r>
              <w:rPr>
                <w:rFonts w:ascii="Arial" w:cs="Arial" w:eastAsia="Arial" w:hAnsi="Arial"/>
                <w:sz w:val="14"/>
                <w:szCs w:val="14"/>
                <w:color w:val="auto"/>
                <w:w w:val="97"/>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Comcast</w:t>
            </w:r>
          </w:p>
        </w:tc>
        <w:tc>
          <w:tcPr>
            <w:tcW w:w="8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88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CCCL</w:t>
            </w:r>
          </w:p>
        </w:tc>
        <w:tc>
          <w:tcPr>
            <w:tcW w:w="94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CCHMO</w:t>
            </w:r>
          </w:p>
        </w:tc>
        <w:tc>
          <w:tcPr>
            <w:tcW w:w="11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NBCUniversal</w:t>
            </w:r>
          </w:p>
        </w:tc>
        <w:tc>
          <w:tcPr>
            <w:tcW w:w="1040" w:type="dxa"/>
            <w:vAlign w:val="bottom"/>
            <w:gridSpan w:val="2"/>
          </w:tcPr>
          <w:p>
            <w:pPr>
              <w:jc w:val="right"/>
              <w:ind w:right="173"/>
              <w:spacing w:after="0" w:line="149" w:lineRule="exact"/>
              <w:rPr>
                <w:sz w:val="20"/>
                <w:szCs w:val="20"/>
                <w:color w:val="auto"/>
              </w:rPr>
            </w:pPr>
            <w:r>
              <w:rPr>
                <w:rFonts w:ascii="Arial" w:cs="Arial" w:eastAsia="Arial" w:hAnsi="Arial"/>
                <w:sz w:val="14"/>
                <w:szCs w:val="14"/>
                <w:color w:val="auto"/>
              </w:rPr>
              <w:t>Guarantor</w:t>
            </w:r>
          </w:p>
        </w:tc>
        <w:tc>
          <w:tcPr>
            <w:tcW w:w="11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Consolidation</w:t>
            </w:r>
          </w:p>
        </w:tc>
        <w:tc>
          <w:tcPr>
            <w:tcW w:w="26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c>
          <w:tcPr>
            <w:tcW w:w="0" w:type="dxa"/>
            <w:vAlign w:val="bottom"/>
          </w:tcPr>
          <w:p>
            <w:pPr>
              <w:spacing w:after="0"/>
              <w:rPr>
                <w:sz w:val="1"/>
                <w:szCs w:val="1"/>
                <w:color w:val="auto"/>
              </w:rPr>
            </w:pPr>
          </w:p>
        </w:tc>
      </w:tr>
      <w:tr>
        <w:trPr>
          <w:trHeight w:val="173"/>
        </w:trPr>
        <w:tc>
          <w:tcPr>
            <w:tcW w:w="35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860" w:type="dxa"/>
            <w:vAlign w:val="bottom"/>
            <w:gridSpan w:val="2"/>
          </w:tcPr>
          <w:p>
            <w:pPr>
              <w:jc w:val="right"/>
              <w:ind w:right="212"/>
              <w:spacing w:after="0"/>
              <w:rPr>
                <w:sz w:val="20"/>
                <w:szCs w:val="20"/>
                <w:color w:val="auto"/>
              </w:rPr>
            </w:pPr>
            <w:r>
              <w:rPr>
                <w:rFonts w:ascii="Arial" w:cs="Arial" w:eastAsia="Arial" w:hAnsi="Arial"/>
                <w:sz w:val="14"/>
                <w:szCs w:val="14"/>
                <w:color w:val="auto"/>
              </w:rPr>
              <w:t>Parent</w:t>
            </w:r>
          </w:p>
        </w:tc>
        <w:tc>
          <w:tcPr>
            <w:tcW w:w="880" w:type="dxa"/>
            <w:vAlign w:val="bottom"/>
            <w:gridSpan w:val="2"/>
          </w:tcPr>
          <w:p>
            <w:pPr>
              <w:ind w:left="160"/>
              <w:spacing w:after="0"/>
              <w:rPr>
                <w:sz w:val="20"/>
                <w:szCs w:val="20"/>
                <w:color w:val="auto"/>
              </w:rPr>
            </w:pPr>
            <w:r>
              <w:rPr>
                <w:rFonts w:ascii="Arial" w:cs="Arial" w:eastAsia="Arial" w:hAnsi="Arial"/>
                <w:sz w:val="14"/>
                <w:szCs w:val="14"/>
                <w:color w:val="auto"/>
              </w:rPr>
              <w:t>Holdings</w:t>
            </w:r>
          </w:p>
        </w:tc>
        <w:tc>
          <w:tcPr>
            <w:tcW w:w="880" w:type="dxa"/>
            <w:vAlign w:val="bottom"/>
            <w:gridSpan w:val="2"/>
          </w:tcPr>
          <w:p>
            <w:pPr>
              <w:jc w:val="right"/>
              <w:ind w:right="212"/>
              <w:spacing w:after="0"/>
              <w:rPr>
                <w:sz w:val="20"/>
                <w:szCs w:val="20"/>
                <w:color w:val="auto"/>
              </w:rPr>
            </w:pPr>
            <w:r>
              <w:rPr>
                <w:rFonts w:ascii="Arial" w:cs="Arial" w:eastAsia="Arial" w:hAnsi="Arial"/>
                <w:sz w:val="14"/>
                <w:szCs w:val="14"/>
                <w:color w:val="auto"/>
              </w:rPr>
              <w:t>Parent</w:t>
            </w:r>
          </w:p>
        </w:tc>
        <w:tc>
          <w:tcPr>
            <w:tcW w:w="940" w:type="dxa"/>
            <w:vAlign w:val="bottom"/>
            <w:gridSpan w:val="2"/>
          </w:tcPr>
          <w:p>
            <w:pPr>
              <w:jc w:val="right"/>
              <w:ind w:right="212"/>
              <w:spacing w:after="0"/>
              <w:rPr>
                <w:sz w:val="20"/>
                <w:szCs w:val="20"/>
                <w:color w:val="auto"/>
              </w:rPr>
            </w:pPr>
            <w:r>
              <w:rPr>
                <w:rFonts w:ascii="Arial" w:cs="Arial" w:eastAsia="Arial" w:hAnsi="Arial"/>
                <w:sz w:val="14"/>
                <w:szCs w:val="14"/>
                <w:color w:val="auto"/>
              </w:rPr>
              <w:t>Parents</w:t>
            </w:r>
          </w:p>
        </w:tc>
        <w:tc>
          <w:tcPr>
            <w:tcW w:w="1180" w:type="dxa"/>
            <w:vAlign w:val="bottom"/>
            <w:gridSpan w:val="2"/>
          </w:tcPr>
          <w:p>
            <w:pPr>
              <w:jc w:val="right"/>
              <w:ind w:right="172"/>
              <w:spacing w:after="0"/>
              <w:rPr>
                <w:sz w:val="20"/>
                <w:szCs w:val="20"/>
                <w:color w:val="auto"/>
              </w:rPr>
            </w:pPr>
            <w:r>
              <w:rPr>
                <w:rFonts w:ascii="Arial" w:cs="Arial" w:eastAsia="Arial" w:hAnsi="Arial"/>
                <w:sz w:val="14"/>
                <w:szCs w:val="14"/>
                <w:color w:val="auto"/>
              </w:rPr>
              <w:t>Media Parent</w:t>
            </w:r>
          </w:p>
        </w:tc>
        <w:tc>
          <w:tcPr>
            <w:tcW w:w="104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8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w w:val="94"/>
              </w:rPr>
              <w:t>16,151</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16,151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225</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219</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137</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(581)</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225</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219</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137</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4"/>
              </w:rPr>
              <w:t>16,151</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(581)</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16,151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Programming and production</w:t>
            </w:r>
          </w:p>
        </w:tc>
        <w:tc>
          <w:tcPr>
            <w:tcW w:w="24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4,787</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Other operating and administrative</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92</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219</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137</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211</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4,673</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(581)</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Advertising, marketing and promotion</w:t>
            </w:r>
          </w:p>
        </w:tc>
        <w:tc>
          <w:tcPr>
            <w:tcW w:w="24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1,283</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7</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1,513</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395</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219</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137</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211</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w w:val="94"/>
              </w:rPr>
              <w:t>12,651</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(581)</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12,737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(211)</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3,500</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(382)</w:t>
            </w:r>
          </w:p>
        </w:tc>
        <w:tc>
          <w:tcPr>
            <w:tcW w:w="26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(123)</w:t>
            </w:r>
          </w:p>
        </w:tc>
        <w:tc>
          <w:tcPr>
            <w:tcW w:w="30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 income (loss), net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(5)</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(3)</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471</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w w:val="96"/>
              </w:rPr>
              <w:t>Equity in net income (losses) of investees,</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1,898</w:t>
            </w:r>
          </w:p>
        </w:tc>
        <w:tc>
          <w:tcPr>
            <w:tcW w:w="26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1,787</w:t>
            </w:r>
          </w:p>
        </w:tc>
        <w:tc>
          <w:tcPr>
            <w:tcW w:w="26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1,850</w:t>
            </w:r>
          </w:p>
        </w:tc>
        <w:tc>
          <w:tcPr>
            <w:tcW w:w="280" w:type="dxa"/>
            <w:vAlign w:val="bottom"/>
          </w:tcPr>
          <w:p>
            <w:pPr>
              <w:spacing w:after="0"/>
              <w:rPr>
                <w:sz w:val="19"/>
                <w:szCs w:val="19"/>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w w:val="93"/>
              </w:rPr>
              <w:t>1,371</w:t>
            </w:r>
          </w:p>
        </w:tc>
        <w:tc>
          <w:tcPr>
            <w:tcW w:w="440" w:type="dxa"/>
            <w:vAlign w:val="bottom"/>
          </w:tcPr>
          <w:p>
            <w:pPr>
              <w:spacing w:after="0"/>
              <w:rPr>
                <w:sz w:val="19"/>
                <w:szCs w:val="19"/>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576</w:t>
            </w:r>
          </w:p>
        </w:tc>
        <w:tc>
          <w:tcPr>
            <w:tcW w:w="300" w:type="dxa"/>
            <w:vAlign w:val="bottom"/>
          </w:tcPr>
          <w:p>
            <w:pPr>
              <w:spacing w:after="0"/>
              <w:rPr>
                <w:sz w:val="19"/>
                <w:szCs w:val="19"/>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19"/>
                <w:szCs w:val="19"/>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(7,718)</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(310)</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4"/>
              </w:rPr>
              <w:t>1,517</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4"/>
              </w:rPr>
              <w:t>1,779</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4"/>
              </w:rPr>
              <w:t>1,805</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3"/>
              </w:rPr>
              <w:t>1,341</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450</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211</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(7,718)</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1,642</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1,779</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1,805</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3"/>
              </w:rPr>
              <w:t>1,341</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239</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3,711</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(7,718)</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90</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8"/>
              </w:rPr>
              <w:t>(1,137)</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1,732</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1,782</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1,820</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3"/>
              </w:rPr>
              <w:t>1,352</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236</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2,574</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(7,718)</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w w:val="93"/>
              </w:rPr>
              <w:t>Net (income) loss attributable to noncontrolling</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interests and redeemable subsidiary</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preferred stock</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(46)</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80" w:type="dxa"/>
            <w:vAlign w:val="bottom"/>
            <w:shd w:val="clear" w:color="auto" w:fill="E5E5E5"/>
          </w:tcPr>
          <w:p>
            <w:pPr>
              <w:spacing w:after="0" w:line="197" w:lineRule="exact"/>
              <w:rPr>
                <w:sz w:val="20"/>
                <w:szCs w:val="20"/>
                <w:color w:val="auto"/>
              </w:rPr>
            </w:pPr>
            <w:r>
              <w:rPr>
                <w:rFonts w:ascii="Arial" w:cs="Arial" w:eastAsia="Arial" w:hAnsi="Arial"/>
                <w:sz w:val="18"/>
                <w:szCs w:val="18"/>
                <w:b w:val="1"/>
                <w:bCs w:val="1"/>
                <w:color w:val="auto"/>
                <w:w w:val="97"/>
              </w:rPr>
              <w:t>Net income (loss) attributable to Comcast</w:t>
            </w:r>
          </w:p>
        </w:tc>
        <w:tc>
          <w:tcPr>
            <w:tcW w:w="24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Corporation</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4"/>
              </w:rPr>
              <w:t>1,732</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4"/>
              </w:rPr>
              <w:t>1,782</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4"/>
              </w:rPr>
              <w:t>1,820</w:t>
            </w:r>
          </w:p>
        </w:tc>
        <w:tc>
          <w:tcPr>
            <w:tcW w:w="2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93"/>
              </w:rPr>
              <w:t>1,352</w:t>
            </w:r>
          </w:p>
        </w:tc>
        <w:tc>
          <w:tcPr>
            <w:tcW w:w="44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236</w:t>
            </w:r>
          </w:p>
        </w:tc>
        <w:tc>
          <w:tcPr>
            <w:tcW w:w="30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2,528</w:t>
            </w:r>
          </w:p>
        </w:tc>
        <w:tc>
          <w:tcPr>
            <w:tcW w:w="3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(7,718)</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1,732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spacing w:after="0" w:line="201" w:lineRule="exact"/>
              <w:rPr>
                <w:sz w:val="20"/>
                <w:szCs w:val="20"/>
                <w:color w:val="auto"/>
              </w:rPr>
            </w:pPr>
            <w:r>
              <w:rPr>
                <w:rFonts w:ascii="Arial" w:cs="Arial" w:eastAsia="Arial" w:hAnsi="Arial"/>
                <w:sz w:val="18"/>
                <w:szCs w:val="18"/>
                <w:b w:val="1"/>
                <w:bCs w:val="1"/>
                <w:color w:val="auto"/>
                <w:w w:val="90"/>
              </w:rPr>
              <w:t>Comprehensive income (loss) attributable to</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1,545</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1,828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1,864</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3"/>
              </w:rPr>
              <w:t>1,415</w:t>
            </w: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244</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2,327</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(7,678)</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1,545</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For the Nine Months Ended September 30, 2014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vMerge w:val="restart"/>
          </w:tcPr>
          <w:p>
            <w:pPr>
              <w:jc w:val="right"/>
              <w:ind w:right="273"/>
              <w:spacing w:after="0"/>
              <w:rPr>
                <w:sz w:val="20"/>
                <w:szCs w:val="20"/>
                <w:color w:val="auto"/>
              </w:rPr>
            </w:pPr>
            <w:r>
              <w:rPr>
                <w:rFonts w:ascii="Arial" w:cs="Arial" w:eastAsia="Arial" w:hAnsi="Arial"/>
                <w:sz w:val="14"/>
                <w:szCs w:val="14"/>
                <w:color w:val="auto"/>
              </w:rPr>
              <w:t>Non-</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Combined</w:t>
            </w: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jc w:val="center"/>
              <w:ind w:right="233"/>
              <w:spacing w:after="0" w:line="135"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20"/>
              <w:spacing w:after="0" w:line="135" w:lineRule="exact"/>
              <w:rPr>
                <w:sz w:val="20"/>
                <w:szCs w:val="20"/>
                <w:color w:val="auto"/>
              </w:rPr>
            </w:pPr>
            <w:r>
              <w:rPr>
                <w:rFonts w:ascii="Arial" w:cs="Arial" w:eastAsia="Arial" w:hAnsi="Arial"/>
                <w:sz w:val="14"/>
                <w:szCs w:val="14"/>
                <w:color w:val="auto"/>
                <w:w w:val="97"/>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8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Comcast</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7"/>
              </w:rPr>
              <w:t>Comcast</w:t>
            </w:r>
          </w:p>
        </w:tc>
        <w:tc>
          <w:tcPr>
            <w:tcW w:w="9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CCCL</w:t>
            </w:r>
          </w:p>
        </w:tc>
        <w:tc>
          <w:tcPr>
            <w:tcW w:w="8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CCHMO</w:t>
            </w: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NBCUniversal</w:t>
            </w:r>
          </w:p>
        </w:tc>
        <w:tc>
          <w:tcPr>
            <w:tcW w:w="94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c>
          <w:tcPr>
            <w:tcW w:w="0" w:type="dxa"/>
            <w:vAlign w:val="bottom"/>
          </w:tcPr>
          <w:p>
            <w:pPr>
              <w:spacing w:after="0"/>
              <w:rPr>
                <w:sz w:val="1"/>
                <w:szCs w:val="1"/>
                <w:color w:val="auto"/>
              </w:rPr>
            </w:pPr>
          </w:p>
        </w:tc>
      </w:tr>
      <w:tr>
        <w:trPr>
          <w:trHeight w:val="173"/>
        </w:trPr>
        <w:tc>
          <w:tcPr>
            <w:tcW w:w="40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color w:val="auto"/>
                <w:w w:val="82"/>
              </w:rPr>
              <w:t>Parent</w:t>
            </w:r>
          </w:p>
        </w:tc>
        <w:tc>
          <w:tcPr>
            <w:tcW w:w="700" w:type="dxa"/>
            <w:vAlign w:val="bottom"/>
            <w:gridSpan w:val="2"/>
          </w:tcPr>
          <w:p>
            <w:pPr>
              <w:ind w:left="120"/>
              <w:spacing w:after="0"/>
              <w:rPr>
                <w:sz w:val="20"/>
                <w:szCs w:val="20"/>
                <w:color w:val="auto"/>
              </w:rPr>
            </w:pPr>
            <w:r>
              <w:rPr>
                <w:rFonts w:ascii="Arial" w:cs="Arial" w:eastAsia="Arial" w:hAnsi="Arial"/>
                <w:sz w:val="14"/>
                <w:szCs w:val="14"/>
                <w:color w:val="auto"/>
              </w:rPr>
              <w:t>Holdings</w:t>
            </w:r>
          </w:p>
        </w:tc>
        <w:tc>
          <w:tcPr>
            <w:tcW w:w="900" w:type="dxa"/>
            <w:vAlign w:val="bottom"/>
            <w:gridSpan w:val="2"/>
          </w:tcPr>
          <w:p>
            <w:pPr>
              <w:jc w:val="right"/>
              <w:ind w:right="172"/>
              <w:spacing w:after="0"/>
              <w:rPr>
                <w:sz w:val="20"/>
                <w:szCs w:val="20"/>
                <w:color w:val="auto"/>
              </w:rPr>
            </w:pPr>
            <w:r>
              <w:rPr>
                <w:rFonts w:ascii="Arial" w:cs="Arial" w:eastAsia="Arial" w:hAnsi="Arial"/>
                <w:sz w:val="14"/>
                <w:szCs w:val="14"/>
                <w:color w:val="auto"/>
              </w:rPr>
              <w:t>Parent</w:t>
            </w:r>
          </w:p>
        </w:tc>
        <w:tc>
          <w:tcPr>
            <w:tcW w:w="860" w:type="dxa"/>
            <w:vAlign w:val="bottom"/>
            <w:gridSpan w:val="2"/>
          </w:tcPr>
          <w:p>
            <w:pPr>
              <w:jc w:val="right"/>
              <w:ind w:right="172"/>
              <w:spacing w:after="0"/>
              <w:rPr>
                <w:sz w:val="20"/>
                <w:szCs w:val="20"/>
                <w:color w:val="auto"/>
              </w:rPr>
            </w:pPr>
            <w:r>
              <w:rPr>
                <w:rFonts w:ascii="Arial" w:cs="Arial" w:eastAsia="Arial" w:hAnsi="Arial"/>
                <w:sz w:val="14"/>
                <w:szCs w:val="14"/>
                <w:color w:val="auto"/>
              </w:rPr>
              <w:t>Parents</w:t>
            </w:r>
          </w:p>
        </w:tc>
        <w:tc>
          <w:tcPr>
            <w:tcW w:w="1120" w:type="dxa"/>
            <w:vAlign w:val="bottom"/>
            <w:gridSpan w:val="2"/>
          </w:tcPr>
          <w:p>
            <w:pPr>
              <w:jc w:val="right"/>
              <w:ind w:right="132"/>
              <w:spacing w:after="0"/>
              <w:rPr>
                <w:sz w:val="20"/>
                <w:szCs w:val="20"/>
                <w:color w:val="auto"/>
              </w:rPr>
            </w:pPr>
            <w:r>
              <w:rPr>
                <w:rFonts w:ascii="Arial" w:cs="Arial" w:eastAsia="Arial" w:hAnsi="Arial"/>
                <w:sz w:val="14"/>
                <w:szCs w:val="14"/>
                <w:color w:val="auto"/>
              </w:rPr>
              <w:t>Media Parent</w:t>
            </w:r>
          </w:p>
        </w:tc>
        <w:tc>
          <w:tcPr>
            <w:tcW w:w="940" w:type="dxa"/>
            <w:vAlign w:val="bottom"/>
            <w:gridSpan w:val="2"/>
          </w:tcPr>
          <w:p>
            <w:pPr>
              <w:ind w:left="120"/>
              <w:spacing w:after="0"/>
              <w:rPr>
                <w:sz w:val="20"/>
                <w:szCs w:val="20"/>
                <w:color w:val="auto"/>
              </w:rPr>
            </w:pPr>
            <w:r>
              <w:rPr>
                <w:rFonts w:ascii="Arial" w:cs="Arial" w:eastAsia="Arial" w:hAnsi="Arial"/>
                <w:sz w:val="14"/>
                <w:szCs w:val="14"/>
                <w:color w:val="auto"/>
              </w:rPr>
              <w:t>Subsidiaries</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51,043</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51,043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704</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691</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432</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(1,827)</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704</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691</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432</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4"/>
              </w:rPr>
              <w:t>51,043</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(1,827)</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51,043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Programming and production</w:t>
            </w:r>
          </w:p>
        </w:tc>
        <w:tc>
          <w:tcPr>
            <w:tcW w:w="240" w:type="dxa"/>
            <w:vAlign w:val="bottom"/>
          </w:tcPr>
          <w:p>
            <w:pPr>
              <w:spacing w:after="0"/>
              <w:rPr>
                <w:sz w:val="18"/>
                <w:szCs w:val="18"/>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15,554</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15,554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Other operating and administrative</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471</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691</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432</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697</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94"/>
              </w:rPr>
              <w:t>14,231</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(1,827)</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Advertising, marketing and promotion</w:t>
            </w:r>
          </w:p>
        </w:tc>
        <w:tc>
          <w:tcPr>
            <w:tcW w:w="240" w:type="dxa"/>
            <w:vAlign w:val="bottom"/>
          </w:tcPr>
          <w:p>
            <w:pPr>
              <w:spacing w:after="0"/>
              <w:rPr>
                <w:sz w:val="18"/>
                <w:szCs w:val="18"/>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3,748</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25</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4,682</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1,218</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bottom w:val="single" w:sz="8" w:color="auto"/>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500</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691</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432</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697</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94"/>
              </w:rPr>
              <w:t>39,433</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(1,827)</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39,926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8"/>
                <w:szCs w:val="18"/>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(697)</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11,610</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w w:val="87"/>
              </w:rPr>
              <w:t>(1,199)</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(88)</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(360)</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(166)</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 income (loss), net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3</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(9)</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255</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Equity in net income (losses) of investees, net</w:t>
            </w:r>
          </w:p>
        </w:tc>
        <w:tc>
          <w:tcPr>
            <w:tcW w:w="240" w:type="dxa"/>
            <w:vAlign w:val="bottom"/>
          </w:tcPr>
          <w:p>
            <w:pPr>
              <w:spacing w:after="0"/>
              <w:rPr>
                <w:sz w:val="18"/>
                <w:szCs w:val="18"/>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w w:val="97"/>
              </w:rPr>
              <w:t>7,100</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6,731</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6,301</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4,866</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3,386</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2,385</w:t>
            </w:r>
          </w:p>
        </w:tc>
        <w:tc>
          <w:tcPr>
            <w:tcW w:w="28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w w:val="98"/>
              </w:rPr>
              <w:t>(30,682)</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(150)</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7"/>
              </w:rPr>
              <w:t>5,904</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6,728</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6,169</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3"/>
              </w:rPr>
              <w:t>4,778</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3,017</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2,324</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8"/>
              </w:rPr>
              <w:t>(30,682)</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7"/>
              </w:rPr>
              <w:t>6,108</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6,728</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6,169</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4,778</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2,320</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94"/>
              </w:rPr>
              <w:t>13,934</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8"/>
              </w:rPr>
              <w:t>(30,682)</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347</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46</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31</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(3,162)</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7"/>
              </w:rPr>
              <w:t>6,455</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6,729</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6,215</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4,809</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2,298</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94"/>
              </w:rPr>
              <w:t>10,772</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8"/>
              </w:rPr>
              <w:t>(30,682)</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6,596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Net (income) loss attributable to noncontrolling</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0"/>
              </w:rPr>
              <w:t>interests and redeemable subsidiary preferred stock</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(141)</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80" w:type="dxa"/>
            <w:vAlign w:val="bottom"/>
            <w:shd w:val="clear" w:color="auto" w:fill="E5E5E5"/>
          </w:tcPr>
          <w:p>
            <w:pPr>
              <w:spacing w:after="0" w:line="197" w:lineRule="exact"/>
              <w:rPr>
                <w:sz w:val="20"/>
                <w:szCs w:val="20"/>
                <w:color w:val="auto"/>
              </w:rPr>
            </w:pPr>
            <w:r>
              <w:rPr>
                <w:rFonts w:ascii="Arial" w:cs="Arial" w:eastAsia="Arial" w:hAnsi="Arial"/>
                <w:sz w:val="18"/>
                <w:szCs w:val="18"/>
                <w:b w:val="1"/>
                <w:bCs w:val="1"/>
                <w:color w:val="auto"/>
              </w:rPr>
              <w:t>Net income (loss) attributable to Comcast</w:t>
            </w:r>
          </w:p>
        </w:tc>
        <w:tc>
          <w:tcPr>
            <w:tcW w:w="24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Corporation</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b w:val="1"/>
                <w:bCs w:val="1"/>
                <w:color w:val="auto"/>
                <w:w w:val="97"/>
              </w:rPr>
              <w:t>6,455</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4"/>
              </w:rPr>
              <w:t>6,729</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6,215</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93"/>
              </w:rPr>
              <w:t>4,809</w:t>
            </w:r>
          </w:p>
        </w:tc>
        <w:tc>
          <w:tcPr>
            <w:tcW w:w="3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2,298</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94"/>
              </w:rPr>
              <w:t>10,631</w:t>
            </w:r>
          </w:p>
        </w:tc>
        <w:tc>
          <w:tcPr>
            <w:tcW w:w="2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8"/>
              </w:rPr>
              <w:t>(30,682)</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6,455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b w:val="1"/>
                <w:bCs w:val="1"/>
                <w:color w:val="auto"/>
              </w:rPr>
              <w:t>Comprehensive income (loss) attributable to</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w w:val="97"/>
              </w:rPr>
              <w:t>6,402</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6,732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6,217</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3"/>
              </w:rPr>
              <w:t>4,809</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2,302</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94"/>
              </w:rPr>
              <w:t>10,566</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8"/>
              </w:rPr>
              <w:t>(30,626)</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6,402</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For the Nine Months Ended September 30, 2013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Combined</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280" w:type="dxa"/>
            <w:vAlign w:val="bottom"/>
          </w:tcPr>
          <w:p>
            <w:pPr>
              <w:spacing w:after="0"/>
              <w:rPr>
                <w:sz w:val="12"/>
                <w:szCs w:val="12"/>
                <w:color w:val="auto"/>
              </w:rPr>
            </w:pPr>
          </w:p>
        </w:tc>
        <w:tc>
          <w:tcPr>
            <w:tcW w:w="800" w:type="dxa"/>
            <w:vAlign w:val="bottom"/>
          </w:tcPr>
          <w:p>
            <w:pPr>
              <w:jc w:val="center"/>
              <w:ind w:right="23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8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Comcast</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7"/>
              </w:rPr>
              <w:t>Comcast</w:t>
            </w:r>
          </w:p>
        </w:tc>
        <w:tc>
          <w:tcPr>
            <w:tcW w:w="9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CCCL</w:t>
            </w:r>
          </w:p>
        </w:tc>
        <w:tc>
          <w:tcPr>
            <w:tcW w:w="8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CCHMO</w:t>
            </w: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NBCUniversal</w:t>
            </w:r>
          </w:p>
        </w:tc>
        <w:tc>
          <w:tcPr>
            <w:tcW w:w="94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400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3"/>
                <w:szCs w:val="13"/>
                <w:color w:val="auto"/>
              </w:rPr>
            </w:pPr>
          </w:p>
        </w:tc>
        <w:tc>
          <w:tcPr>
            <w:tcW w:w="640" w:type="dxa"/>
            <w:vAlign w:val="bottom"/>
          </w:tcPr>
          <w:p>
            <w:pPr>
              <w:jc w:val="right"/>
              <w:ind w:right="193"/>
              <w:spacing w:after="0" w:line="159" w:lineRule="exact"/>
              <w:rPr>
                <w:sz w:val="20"/>
                <w:szCs w:val="20"/>
                <w:color w:val="auto"/>
              </w:rPr>
            </w:pPr>
            <w:r>
              <w:rPr>
                <w:rFonts w:ascii="Arial" w:cs="Arial" w:eastAsia="Arial" w:hAnsi="Arial"/>
                <w:sz w:val="14"/>
                <w:szCs w:val="14"/>
                <w:color w:val="auto"/>
                <w:w w:val="82"/>
              </w:rPr>
              <w:t>Parent</w:t>
            </w:r>
          </w:p>
        </w:tc>
        <w:tc>
          <w:tcPr>
            <w:tcW w:w="70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Holdings</w:t>
            </w:r>
          </w:p>
        </w:tc>
        <w:tc>
          <w:tcPr>
            <w:tcW w:w="900" w:type="dxa"/>
            <w:vAlign w:val="bottom"/>
            <w:gridSpan w:val="2"/>
          </w:tcPr>
          <w:p>
            <w:pPr>
              <w:jc w:val="right"/>
              <w:ind w:right="172"/>
              <w:spacing w:after="0" w:line="159" w:lineRule="exact"/>
              <w:rPr>
                <w:sz w:val="20"/>
                <w:szCs w:val="20"/>
                <w:color w:val="auto"/>
              </w:rPr>
            </w:pPr>
            <w:r>
              <w:rPr>
                <w:rFonts w:ascii="Arial" w:cs="Arial" w:eastAsia="Arial" w:hAnsi="Arial"/>
                <w:sz w:val="14"/>
                <w:szCs w:val="14"/>
                <w:color w:val="auto"/>
              </w:rPr>
              <w:t>Parent</w:t>
            </w:r>
          </w:p>
        </w:tc>
        <w:tc>
          <w:tcPr>
            <w:tcW w:w="860" w:type="dxa"/>
            <w:vAlign w:val="bottom"/>
            <w:gridSpan w:val="2"/>
          </w:tcPr>
          <w:p>
            <w:pPr>
              <w:jc w:val="right"/>
              <w:ind w:right="172"/>
              <w:spacing w:after="0" w:line="159" w:lineRule="exact"/>
              <w:rPr>
                <w:sz w:val="20"/>
                <w:szCs w:val="20"/>
                <w:color w:val="auto"/>
              </w:rPr>
            </w:pPr>
            <w:r>
              <w:rPr>
                <w:rFonts w:ascii="Arial" w:cs="Arial" w:eastAsia="Arial" w:hAnsi="Arial"/>
                <w:sz w:val="14"/>
                <w:szCs w:val="14"/>
                <w:color w:val="auto"/>
              </w:rPr>
              <w:t>Parents</w:t>
            </w:r>
          </w:p>
        </w:tc>
        <w:tc>
          <w:tcPr>
            <w:tcW w:w="1120" w:type="dxa"/>
            <w:vAlign w:val="bottom"/>
            <w:gridSpan w:val="2"/>
          </w:tcPr>
          <w:p>
            <w:pPr>
              <w:jc w:val="right"/>
              <w:ind w:right="132"/>
              <w:spacing w:after="0" w:line="159" w:lineRule="exact"/>
              <w:rPr>
                <w:sz w:val="20"/>
                <w:szCs w:val="20"/>
                <w:color w:val="auto"/>
              </w:rPr>
            </w:pPr>
            <w:r>
              <w:rPr>
                <w:rFonts w:ascii="Arial" w:cs="Arial" w:eastAsia="Arial" w:hAnsi="Arial"/>
                <w:sz w:val="14"/>
                <w:szCs w:val="14"/>
                <w:color w:val="auto"/>
              </w:rPr>
              <w:t>Media Parent</w:t>
            </w:r>
          </w:p>
        </w:tc>
        <w:tc>
          <w:tcPr>
            <w:tcW w:w="9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Subsidiaries</w:t>
            </w:r>
          </w:p>
        </w:tc>
        <w:tc>
          <w:tcPr>
            <w:tcW w:w="108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940" w:type="dxa"/>
            <w:vAlign w:val="bottom"/>
            <w:gridSpan w:val="2"/>
          </w:tcPr>
          <w:p>
            <w:pPr>
              <w:jc w:val="right"/>
              <w:ind w:right="53"/>
              <w:spacing w:after="0" w:line="159" w:lineRule="exact"/>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39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47,731</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47,731</w:t>
            </w:r>
          </w:p>
        </w:tc>
      </w:tr>
      <w:tr>
        <w:trPr>
          <w:trHeight w:val="216"/>
        </w:trPr>
        <w:tc>
          <w:tcPr>
            <w:tcW w:w="20" w:type="dxa"/>
            <w:vAlign w:val="bottom"/>
          </w:tcPr>
          <w:p>
            <w:pPr>
              <w:spacing w:after="0"/>
              <w:rPr>
                <w:sz w:val="18"/>
                <w:szCs w:val="18"/>
                <w:color w:val="auto"/>
              </w:rPr>
            </w:pPr>
          </w:p>
        </w:tc>
        <w:tc>
          <w:tcPr>
            <w:tcW w:w="39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668</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650</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407</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(1,725)</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668</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650</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407</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4"/>
              </w:rPr>
              <w:t>47,731</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(1,725)</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47,731</w:t>
            </w:r>
          </w:p>
        </w:tc>
      </w:tr>
      <w:tr>
        <w:trPr>
          <w:trHeight w:val="210"/>
        </w:trPr>
        <w:tc>
          <w:tcPr>
            <w:tcW w:w="20" w:type="dxa"/>
            <w:vAlign w:val="bottom"/>
          </w:tcPr>
          <w:p>
            <w:pPr>
              <w:spacing w:after="0"/>
              <w:rPr>
                <w:sz w:val="18"/>
                <w:szCs w:val="18"/>
                <w:color w:val="auto"/>
              </w:rPr>
            </w:pPr>
          </w:p>
        </w:tc>
        <w:tc>
          <w:tcPr>
            <w:tcW w:w="39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Programming and production</w:t>
            </w:r>
          </w:p>
        </w:tc>
        <w:tc>
          <w:tcPr>
            <w:tcW w:w="240" w:type="dxa"/>
            <w:vAlign w:val="bottom"/>
          </w:tcPr>
          <w:p>
            <w:pPr>
              <w:spacing w:after="0"/>
              <w:rPr>
                <w:sz w:val="18"/>
                <w:szCs w:val="18"/>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14,418</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14,418</w:t>
            </w:r>
          </w:p>
        </w:tc>
      </w:tr>
      <w:tr>
        <w:trPr>
          <w:trHeight w:val="216"/>
        </w:trPr>
        <w:tc>
          <w:tcPr>
            <w:tcW w:w="20" w:type="dxa"/>
            <w:vAlign w:val="bottom"/>
          </w:tcPr>
          <w:p>
            <w:pPr>
              <w:spacing w:after="0"/>
              <w:rPr>
                <w:sz w:val="18"/>
                <w:szCs w:val="18"/>
                <w:color w:val="auto"/>
              </w:rPr>
            </w:pPr>
          </w:p>
        </w:tc>
        <w:tc>
          <w:tcPr>
            <w:tcW w:w="39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Other operating and administrative</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291</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650</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407</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641</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94"/>
              </w:rPr>
              <w:t>13,523</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(1,725)</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13,787</w:t>
            </w: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Advertising, marketing and promotion</w:t>
            </w:r>
          </w:p>
        </w:tc>
        <w:tc>
          <w:tcPr>
            <w:tcW w:w="240" w:type="dxa"/>
            <w:vAlign w:val="bottom"/>
          </w:tcPr>
          <w:p>
            <w:pPr>
              <w:spacing w:after="0"/>
              <w:rPr>
                <w:sz w:val="18"/>
                <w:szCs w:val="18"/>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3,737</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3,737</w:t>
            </w:r>
          </w:p>
        </w:tc>
      </w:tr>
      <w:tr>
        <w:trPr>
          <w:trHeight w:val="216"/>
        </w:trPr>
        <w:tc>
          <w:tcPr>
            <w:tcW w:w="20" w:type="dxa"/>
            <w:vAlign w:val="bottom"/>
          </w:tcPr>
          <w:p>
            <w:pPr>
              <w:spacing w:after="0"/>
              <w:rPr>
                <w:sz w:val="18"/>
                <w:szCs w:val="18"/>
                <w:color w:val="auto"/>
              </w:rPr>
            </w:pPr>
          </w:p>
        </w:tc>
        <w:tc>
          <w:tcPr>
            <w:tcW w:w="39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22</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4,647</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4,669</w:t>
            </w:r>
          </w:p>
        </w:tc>
      </w:tr>
      <w:tr>
        <w:trPr>
          <w:trHeight w:val="216"/>
        </w:trPr>
        <w:tc>
          <w:tcPr>
            <w:tcW w:w="20" w:type="dxa"/>
            <w:vAlign w:val="bottom"/>
          </w:tcPr>
          <w:p>
            <w:pPr>
              <w:spacing w:after="0"/>
              <w:rPr>
                <w:sz w:val="18"/>
                <w:szCs w:val="18"/>
                <w:color w:val="auto"/>
              </w:rPr>
            </w:pPr>
          </w:p>
        </w:tc>
        <w:tc>
          <w:tcPr>
            <w:tcW w:w="39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1,200</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1,204</w:t>
            </w:r>
          </w:p>
        </w:tc>
      </w:tr>
      <w:tr>
        <w:trPr>
          <w:trHeight w:val="210"/>
        </w:trPr>
        <w:tc>
          <w:tcPr>
            <w:tcW w:w="20" w:type="dxa"/>
            <w:vAlign w:val="bottom"/>
          </w:tcPr>
          <w:p>
            <w:pPr>
              <w:spacing w:after="0"/>
              <w:rPr>
                <w:sz w:val="18"/>
                <w:szCs w:val="18"/>
                <w:color w:val="auto"/>
              </w:rPr>
            </w:pPr>
          </w:p>
        </w:tc>
        <w:tc>
          <w:tcPr>
            <w:tcW w:w="3980" w:type="dxa"/>
            <w:vAlign w:val="bottom"/>
            <w:tcBorders>
              <w:bottom w:val="single" w:sz="8" w:color="auto"/>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317</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650</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407</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641</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94"/>
              </w:rPr>
              <w:t>37,525</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(1,725)</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37,815</w:t>
            </w: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8"/>
                <w:szCs w:val="18"/>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351</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(641)</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10,206</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9,916</w:t>
            </w:r>
          </w:p>
        </w:tc>
      </w:tr>
      <w:tr>
        <w:trPr>
          <w:trHeight w:val="216"/>
        </w:trPr>
        <w:tc>
          <w:tcPr>
            <w:tcW w:w="20" w:type="dxa"/>
            <w:vAlign w:val="bottom"/>
          </w:tcPr>
          <w:p>
            <w:pPr>
              <w:spacing w:after="0"/>
              <w:rPr>
                <w:sz w:val="18"/>
                <w:szCs w:val="18"/>
                <w:color w:val="auto"/>
              </w:rPr>
            </w:pPr>
          </w:p>
        </w:tc>
        <w:tc>
          <w:tcPr>
            <w:tcW w:w="39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w w:val="87"/>
              </w:rPr>
              <w:t>(1,141)</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(96)</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(366)</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(148)</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(1,928)</w:t>
            </w:r>
          </w:p>
        </w:tc>
      </w:tr>
      <w:tr>
        <w:trPr>
          <w:trHeight w:val="216"/>
        </w:trPr>
        <w:tc>
          <w:tcPr>
            <w:tcW w:w="20" w:type="dxa"/>
            <w:vAlign w:val="bottom"/>
          </w:tcPr>
          <w:p>
            <w:pPr>
              <w:spacing w:after="0"/>
              <w:rPr>
                <w:sz w:val="18"/>
                <w:szCs w:val="18"/>
                <w:color w:val="auto"/>
              </w:rPr>
            </w:pPr>
          </w:p>
        </w:tc>
        <w:tc>
          <w:tcPr>
            <w:tcW w:w="39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 income (loss), net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3</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(2)</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550</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549</w:t>
            </w: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Equity in net income (losses) of investees, net</w:t>
            </w:r>
          </w:p>
        </w:tc>
        <w:tc>
          <w:tcPr>
            <w:tcW w:w="240" w:type="dxa"/>
            <w:vAlign w:val="bottom"/>
          </w:tcPr>
          <w:p>
            <w:pPr>
              <w:spacing w:after="0"/>
              <w:rPr>
                <w:sz w:val="18"/>
                <w:szCs w:val="18"/>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w w:val="97"/>
              </w:rPr>
              <w:t>5,416</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5,438</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5,448</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3,982</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2,236</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1,118</w:t>
            </w:r>
          </w:p>
        </w:tc>
        <w:tc>
          <w:tcPr>
            <w:tcW w:w="28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w w:val="98"/>
              </w:rPr>
              <w:t>(23,734)</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20" w:type="dxa"/>
            <w:vAlign w:val="bottom"/>
          </w:tcPr>
          <w:p>
            <w:pPr>
              <w:spacing w:after="0"/>
              <w:rPr>
                <w:sz w:val="18"/>
                <w:szCs w:val="18"/>
                <w:color w:val="auto"/>
              </w:rPr>
            </w:pPr>
          </w:p>
        </w:tc>
        <w:tc>
          <w:tcPr>
            <w:tcW w:w="39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(280)</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(280)</w:t>
            </w:r>
          </w:p>
        </w:tc>
      </w:tr>
      <w:tr>
        <w:trPr>
          <w:trHeight w:val="210"/>
        </w:trPr>
        <w:tc>
          <w:tcPr>
            <w:tcW w:w="20" w:type="dxa"/>
            <w:vAlign w:val="bottom"/>
          </w:tcPr>
          <w:p>
            <w:pPr>
              <w:spacing w:after="0"/>
              <w:rPr>
                <w:sz w:val="18"/>
                <w:szCs w:val="18"/>
                <w:color w:val="auto"/>
              </w:rPr>
            </w:pPr>
          </w:p>
        </w:tc>
        <w:tc>
          <w:tcPr>
            <w:tcW w:w="3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7"/>
              </w:rPr>
              <w:t>4,276</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5,428</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5,281</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3"/>
              </w:rPr>
              <w:t>3,886</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1,868</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1,240</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8"/>
              </w:rPr>
              <w:t>(23,734)</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w:t>
            </w:r>
          </w:p>
        </w:tc>
      </w:tr>
      <w:tr>
        <w:trPr>
          <w:trHeight w:val="210"/>
        </w:trPr>
        <w:tc>
          <w:tcPr>
            <w:tcW w:w="20" w:type="dxa"/>
            <w:vAlign w:val="bottom"/>
          </w:tcPr>
          <w:p>
            <w:pPr>
              <w:spacing w:after="0"/>
              <w:rPr>
                <w:sz w:val="18"/>
                <w:szCs w:val="18"/>
                <w:color w:val="auto"/>
              </w:rPr>
            </w:pPr>
          </w:p>
        </w:tc>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7"/>
              </w:rPr>
              <w:t>4,627</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5,428</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5,281</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3,886</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1,227</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94"/>
              </w:rPr>
              <w:t>11,446</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8"/>
              </w:rPr>
              <w:t>(23,734)</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8,161</w:t>
            </w:r>
          </w:p>
        </w:tc>
      </w:tr>
      <w:tr>
        <w:trPr>
          <w:trHeight w:val="216"/>
        </w:trPr>
        <w:tc>
          <w:tcPr>
            <w:tcW w:w="20" w:type="dxa"/>
            <w:vAlign w:val="bottom"/>
          </w:tcPr>
          <w:p>
            <w:pPr>
              <w:spacing w:after="0"/>
              <w:rPr>
                <w:sz w:val="18"/>
                <w:szCs w:val="18"/>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276</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58</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34</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(3,353)</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w:t>
            </w:r>
          </w:p>
        </w:tc>
      </w:tr>
      <w:tr>
        <w:trPr>
          <w:trHeight w:val="210"/>
        </w:trPr>
        <w:tc>
          <w:tcPr>
            <w:tcW w:w="20" w:type="dxa"/>
            <w:vAlign w:val="bottom"/>
          </w:tcPr>
          <w:p>
            <w:pPr>
              <w:spacing w:after="0"/>
              <w:rPr>
                <w:sz w:val="18"/>
                <w:szCs w:val="18"/>
                <w:color w:val="auto"/>
              </w:rPr>
            </w:pPr>
          </w:p>
        </w:tc>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7"/>
              </w:rPr>
              <w:t>4,903</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5,432</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5,339</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3,920</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1,214</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8,093</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8"/>
              </w:rPr>
              <w:t>(23,734)</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5,167</w:t>
            </w:r>
          </w:p>
        </w:tc>
      </w:tr>
      <w:tr>
        <w:trPr>
          <w:trHeight w:val="208"/>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Net (income) loss attributable to noncontrolling</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9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0"/>
              </w:rPr>
              <w:t>interests and redeemable subsidiary preferred stock</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(264)</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r>
      <w:tr>
        <w:trPr>
          <w:trHeight w:val="197"/>
        </w:trPr>
        <w:tc>
          <w:tcPr>
            <w:tcW w:w="20" w:type="dxa"/>
            <w:vAlign w:val="bottom"/>
          </w:tcPr>
          <w:p>
            <w:pPr>
              <w:spacing w:after="0"/>
              <w:rPr>
                <w:sz w:val="17"/>
                <w:szCs w:val="17"/>
                <w:color w:val="auto"/>
              </w:rPr>
            </w:pPr>
          </w:p>
        </w:tc>
        <w:tc>
          <w:tcPr>
            <w:tcW w:w="3980" w:type="dxa"/>
            <w:vAlign w:val="bottom"/>
            <w:shd w:val="clear" w:color="auto" w:fill="E5E5E5"/>
          </w:tcPr>
          <w:p>
            <w:pPr>
              <w:spacing w:after="0" w:line="197" w:lineRule="exact"/>
              <w:rPr>
                <w:sz w:val="20"/>
                <w:szCs w:val="20"/>
                <w:color w:val="auto"/>
              </w:rPr>
            </w:pPr>
            <w:r>
              <w:rPr>
                <w:rFonts w:ascii="Arial" w:cs="Arial" w:eastAsia="Arial" w:hAnsi="Arial"/>
                <w:sz w:val="18"/>
                <w:szCs w:val="18"/>
                <w:b w:val="1"/>
                <w:bCs w:val="1"/>
                <w:color w:val="auto"/>
              </w:rPr>
              <w:t>Net income (loss) attributable to Comcast</w:t>
            </w:r>
          </w:p>
        </w:tc>
        <w:tc>
          <w:tcPr>
            <w:tcW w:w="24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9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Corporation</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b w:val="1"/>
                <w:bCs w:val="1"/>
                <w:color w:val="auto"/>
                <w:w w:val="97"/>
              </w:rPr>
              <w:t>4,903</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4"/>
              </w:rPr>
              <w:t>5,432</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5,339</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93"/>
              </w:rPr>
              <w:t>3,920</w:t>
            </w:r>
          </w:p>
        </w:tc>
        <w:tc>
          <w:tcPr>
            <w:tcW w:w="3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1,214</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7,829</w:t>
            </w:r>
          </w:p>
        </w:tc>
        <w:tc>
          <w:tcPr>
            <w:tcW w:w="2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8"/>
              </w:rPr>
              <w:t>(23,734)</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4,903</w:t>
            </w: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b w:val="1"/>
                <w:bCs w:val="1"/>
                <w:color w:val="auto"/>
              </w:rPr>
              <w:t>Comprehensive income (loss) attributable to</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9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w w:val="97"/>
              </w:rPr>
              <w:t>4,804</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5,471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5,386</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3"/>
              </w:rPr>
              <w:t>3,983</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1,176</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7,741</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8"/>
              </w:rPr>
              <w:t>(23,757)</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4,804</w:t>
            </w:r>
          </w:p>
        </w:tc>
      </w:tr>
      <w:tr>
        <w:trPr>
          <w:trHeight w:val="363"/>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vMerge w:val="restart"/>
          </w:tcPr>
          <w:p>
            <w:pPr>
              <w:jc w:val="right"/>
              <w:ind w:right="333"/>
              <w:spacing w:after="0"/>
              <w:rPr>
                <w:sz w:val="20"/>
                <w:szCs w:val="20"/>
                <w:color w:val="auto"/>
              </w:rPr>
            </w:pPr>
            <w:r>
              <w:rPr>
                <w:rFonts w:ascii="Arial" w:cs="Arial" w:eastAsia="Arial" w:hAnsi="Arial"/>
                <w:sz w:val="14"/>
                <w:szCs w:val="14"/>
                <w:color w:val="auto"/>
              </w:rPr>
              <w:t>Non-</w:t>
            </w: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gridSpan w:val="2"/>
          </w:tcPr>
          <w:p>
            <w:pPr>
              <w:ind w:left="160"/>
              <w:spacing w:after="0" w:line="135" w:lineRule="exact"/>
              <w:rPr>
                <w:sz w:val="20"/>
                <w:szCs w:val="20"/>
                <w:color w:val="auto"/>
              </w:rPr>
            </w:pPr>
            <w:r>
              <w:rPr>
                <w:rFonts w:ascii="Arial" w:cs="Arial" w:eastAsia="Arial" w:hAnsi="Arial"/>
                <w:sz w:val="14"/>
                <w:szCs w:val="14"/>
                <w:color w:val="auto"/>
              </w:rPr>
              <w:t>Combined</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jc w:val="center"/>
              <w:ind w:right="313"/>
              <w:spacing w:after="0" w:line="135" w:lineRule="exact"/>
              <w:rPr>
                <w:sz w:val="20"/>
                <w:szCs w:val="20"/>
                <w:color w:val="auto"/>
              </w:rPr>
            </w:pPr>
            <w:r>
              <w:rPr>
                <w:rFonts w:ascii="Arial" w:cs="Arial" w:eastAsia="Arial" w:hAnsi="Arial"/>
                <w:sz w:val="14"/>
                <w:szCs w:val="14"/>
                <w:color w:val="auto"/>
                <w:w w:val="85"/>
              </w:rPr>
              <w:t>and</w:t>
            </w:r>
          </w:p>
        </w:tc>
        <w:tc>
          <w:tcPr>
            <w:tcW w:w="1020" w:type="dxa"/>
            <w:vAlign w:val="bottom"/>
            <w:gridSpan w:val="2"/>
          </w:tcPr>
          <w:p>
            <w:pPr>
              <w:ind w:left="200"/>
              <w:spacing w:after="0" w:line="135" w:lineRule="exact"/>
              <w:rPr>
                <w:sz w:val="20"/>
                <w:szCs w:val="20"/>
                <w:color w:val="auto"/>
              </w:rPr>
            </w:pPr>
            <w:r>
              <w:rPr>
                <w:rFonts w:ascii="Arial" w:cs="Arial" w:eastAsia="Arial" w:hAnsi="Arial"/>
                <w:sz w:val="14"/>
                <w:szCs w:val="14"/>
                <w:color w:val="auto"/>
                <w:w w:val="97"/>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96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Comcast</w:t>
            </w:r>
          </w:p>
        </w:tc>
        <w:tc>
          <w:tcPr>
            <w:tcW w:w="9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Comcast</w:t>
            </w:r>
          </w:p>
        </w:tc>
        <w:tc>
          <w:tcPr>
            <w:tcW w:w="8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CCCL</w:t>
            </w:r>
          </w:p>
        </w:tc>
        <w:tc>
          <w:tcPr>
            <w:tcW w:w="98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CCHMO</w:t>
            </w:r>
          </w:p>
        </w:tc>
        <w:tc>
          <w:tcPr>
            <w:tcW w:w="12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NBCUniversal</w:t>
            </w:r>
          </w:p>
        </w:tc>
        <w:tc>
          <w:tcPr>
            <w:tcW w:w="1080" w:type="dxa"/>
            <w:vAlign w:val="bottom"/>
            <w:gridSpan w:val="2"/>
          </w:tcPr>
          <w:p>
            <w:pPr>
              <w:jc w:val="right"/>
              <w:ind w:right="213"/>
              <w:spacing w:after="0" w:line="149" w:lineRule="exact"/>
              <w:rPr>
                <w:sz w:val="20"/>
                <w:szCs w:val="20"/>
                <w:color w:val="auto"/>
              </w:rPr>
            </w:pPr>
            <w:r>
              <w:rPr>
                <w:rFonts w:ascii="Arial" w:cs="Arial" w:eastAsia="Arial" w:hAnsi="Arial"/>
                <w:sz w:val="14"/>
                <w:szCs w:val="14"/>
                <w:color w:val="auto"/>
              </w:rPr>
              <w:t>Guarantor</w:t>
            </w:r>
          </w:p>
        </w:tc>
        <w:tc>
          <w:tcPr>
            <w:tcW w:w="116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Consolidation</w:t>
            </w:r>
          </w:p>
        </w:tc>
        <w:tc>
          <w:tcPr>
            <w:tcW w:w="30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c>
          <w:tcPr>
            <w:tcW w:w="0" w:type="dxa"/>
            <w:vAlign w:val="bottom"/>
          </w:tcPr>
          <w:p>
            <w:pPr>
              <w:spacing w:after="0"/>
              <w:rPr>
                <w:sz w:val="1"/>
                <w:szCs w:val="1"/>
                <w:color w:val="auto"/>
              </w:rPr>
            </w:pPr>
          </w:p>
        </w:tc>
      </w:tr>
      <w:tr>
        <w:trPr>
          <w:trHeight w:val="173"/>
        </w:trPr>
        <w:tc>
          <w:tcPr>
            <w:tcW w:w="32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5"/>
                <w:szCs w:val="15"/>
                <w:color w:val="auto"/>
              </w:rPr>
            </w:pPr>
          </w:p>
        </w:tc>
        <w:tc>
          <w:tcPr>
            <w:tcW w:w="700" w:type="dxa"/>
            <w:vAlign w:val="bottom"/>
          </w:tcPr>
          <w:p>
            <w:pPr>
              <w:jc w:val="right"/>
              <w:ind w:right="253"/>
              <w:spacing w:after="0"/>
              <w:rPr>
                <w:sz w:val="20"/>
                <w:szCs w:val="20"/>
                <w:color w:val="auto"/>
              </w:rPr>
            </w:pPr>
            <w:r>
              <w:rPr>
                <w:rFonts w:ascii="Arial" w:cs="Arial" w:eastAsia="Arial" w:hAnsi="Arial"/>
                <w:sz w:val="14"/>
                <w:szCs w:val="14"/>
                <w:color w:val="auto"/>
                <w:w w:val="82"/>
              </w:rPr>
              <w:t>Parent</w:t>
            </w:r>
          </w:p>
        </w:tc>
        <w:tc>
          <w:tcPr>
            <w:tcW w:w="920" w:type="dxa"/>
            <w:vAlign w:val="bottom"/>
            <w:gridSpan w:val="2"/>
          </w:tcPr>
          <w:p>
            <w:pPr>
              <w:ind w:left="180"/>
              <w:spacing w:after="0"/>
              <w:rPr>
                <w:sz w:val="20"/>
                <w:szCs w:val="20"/>
                <w:color w:val="auto"/>
              </w:rPr>
            </w:pPr>
            <w:r>
              <w:rPr>
                <w:rFonts w:ascii="Arial" w:cs="Arial" w:eastAsia="Arial" w:hAnsi="Arial"/>
                <w:sz w:val="14"/>
                <w:szCs w:val="14"/>
                <w:color w:val="auto"/>
              </w:rPr>
              <w:t>Holdings</w:t>
            </w:r>
          </w:p>
        </w:tc>
        <w:tc>
          <w:tcPr>
            <w:tcW w:w="800" w:type="dxa"/>
            <w:vAlign w:val="bottom"/>
            <w:gridSpan w:val="2"/>
          </w:tcPr>
          <w:p>
            <w:pPr>
              <w:ind w:left="200"/>
              <w:spacing w:after="0"/>
              <w:rPr>
                <w:sz w:val="20"/>
                <w:szCs w:val="20"/>
                <w:color w:val="auto"/>
              </w:rPr>
            </w:pPr>
            <w:r>
              <w:rPr>
                <w:rFonts w:ascii="Arial" w:cs="Arial" w:eastAsia="Arial" w:hAnsi="Arial"/>
                <w:sz w:val="14"/>
                <w:szCs w:val="14"/>
                <w:color w:val="auto"/>
              </w:rPr>
              <w:t>Parent</w:t>
            </w:r>
          </w:p>
        </w:tc>
        <w:tc>
          <w:tcPr>
            <w:tcW w:w="980" w:type="dxa"/>
            <w:vAlign w:val="bottom"/>
            <w:gridSpan w:val="2"/>
          </w:tcPr>
          <w:p>
            <w:pPr>
              <w:jc w:val="right"/>
              <w:ind w:right="252"/>
              <w:spacing w:after="0"/>
              <w:rPr>
                <w:sz w:val="20"/>
                <w:szCs w:val="20"/>
                <w:color w:val="auto"/>
              </w:rPr>
            </w:pPr>
            <w:r>
              <w:rPr>
                <w:rFonts w:ascii="Arial" w:cs="Arial" w:eastAsia="Arial" w:hAnsi="Arial"/>
                <w:sz w:val="14"/>
                <w:szCs w:val="14"/>
                <w:color w:val="auto"/>
              </w:rPr>
              <w:t>Parents</w:t>
            </w:r>
          </w:p>
        </w:tc>
        <w:tc>
          <w:tcPr>
            <w:tcW w:w="1220" w:type="dxa"/>
            <w:vAlign w:val="bottom"/>
            <w:gridSpan w:val="2"/>
          </w:tcPr>
          <w:p>
            <w:pPr>
              <w:jc w:val="right"/>
              <w:ind w:right="192"/>
              <w:spacing w:after="0"/>
              <w:rPr>
                <w:sz w:val="20"/>
                <w:szCs w:val="20"/>
                <w:color w:val="auto"/>
              </w:rPr>
            </w:pPr>
            <w:r>
              <w:rPr>
                <w:rFonts w:ascii="Arial" w:cs="Arial" w:eastAsia="Arial" w:hAnsi="Arial"/>
                <w:sz w:val="14"/>
                <w:szCs w:val="14"/>
                <w:color w:val="auto"/>
              </w:rPr>
              <w:t>Media Parent</w:t>
            </w:r>
          </w:p>
        </w:tc>
        <w:tc>
          <w:tcPr>
            <w:tcW w:w="1080" w:type="dxa"/>
            <w:vAlign w:val="bottom"/>
            <w:gridSpan w:val="2"/>
          </w:tcPr>
          <w:p>
            <w:pPr>
              <w:ind w:left="180"/>
              <w:spacing w:after="0"/>
              <w:rPr>
                <w:sz w:val="20"/>
                <w:szCs w:val="20"/>
                <w:color w:val="auto"/>
              </w:rPr>
            </w:pPr>
            <w:r>
              <w:rPr>
                <w:rFonts w:ascii="Arial" w:cs="Arial" w:eastAsia="Arial" w:hAnsi="Arial"/>
                <w:sz w:val="14"/>
                <w:szCs w:val="14"/>
                <w:color w:val="auto"/>
              </w:rPr>
              <w:t>Subsidiaries</w:t>
            </w: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2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60" w:type="dxa"/>
            <w:vAlign w:val="bottom"/>
            <w:tcBorders>
              <w:top w:val="single" w:sz="8" w:color="auto"/>
            </w:tcBorders>
            <w:shd w:val="clear" w:color="auto" w:fill="E5E5E5"/>
          </w:tcPr>
          <w:p>
            <w:pPr>
              <w:spacing w:after="0" w:line="201" w:lineRule="exact"/>
              <w:rPr>
                <w:sz w:val="20"/>
                <w:szCs w:val="20"/>
                <w:color w:val="auto"/>
              </w:rPr>
            </w:pPr>
            <w:r>
              <w:rPr>
                <w:rFonts w:ascii="Arial" w:cs="Arial" w:eastAsia="Arial" w:hAnsi="Arial"/>
                <w:sz w:val="18"/>
                <w:szCs w:val="18"/>
                <w:color w:val="auto"/>
                <w:w w:val="99"/>
              </w:rPr>
              <w:t>Net cash provided by (used in) operating</w:t>
            </w:r>
          </w:p>
        </w:tc>
        <w:tc>
          <w:tcPr>
            <w:tcW w:w="260" w:type="dxa"/>
            <w:vAlign w:val="bottom"/>
            <w:tcBorders>
              <w:top w:val="single" w:sz="8" w:color="auto"/>
            </w:tcBorders>
            <w:shd w:val="clear" w:color="auto" w:fill="E5E5E5"/>
          </w:tcPr>
          <w:p>
            <w:pPr>
              <w:spacing w:after="0"/>
              <w:rPr>
                <w:sz w:val="17"/>
                <w:szCs w:val="17"/>
                <w:color w:val="auto"/>
              </w:rPr>
            </w:pPr>
          </w:p>
        </w:tc>
        <w:tc>
          <w:tcPr>
            <w:tcW w:w="700" w:type="dxa"/>
            <w:vAlign w:val="bottom"/>
            <w:tcBorders>
              <w:top w:val="single" w:sz="8" w:color="auto"/>
            </w:tcBorders>
            <w:shd w:val="clear" w:color="auto" w:fill="E5E5E5"/>
          </w:tcPr>
          <w:p>
            <w:pPr>
              <w:spacing w:after="0"/>
              <w:rPr>
                <w:sz w:val="17"/>
                <w:szCs w:val="17"/>
                <w:color w:val="auto"/>
              </w:rPr>
            </w:pPr>
          </w:p>
        </w:tc>
        <w:tc>
          <w:tcPr>
            <w:tcW w:w="360" w:type="dxa"/>
            <w:vAlign w:val="bottom"/>
            <w:tcBorders>
              <w:top w:val="single" w:sz="8" w:color="auto"/>
            </w:tcBorders>
            <w:shd w:val="clear" w:color="auto" w:fill="E5E5E5"/>
          </w:tcPr>
          <w:p>
            <w:pPr>
              <w:spacing w:after="0"/>
              <w:rPr>
                <w:sz w:val="17"/>
                <w:szCs w:val="17"/>
                <w:color w:val="auto"/>
              </w:rPr>
            </w:pPr>
          </w:p>
        </w:tc>
        <w:tc>
          <w:tcPr>
            <w:tcW w:w="560" w:type="dxa"/>
            <w:vAlign w:val="bottom"/>
            <w:tcBorders>
              <w:top w:val="single" w:sz="8" w:color="auto"/>
            </w:tcBorders>
            <w:shd w:val="clear" w:color="auto" w:fill="E5E5E5"/>
          </w:tcPr>
          <w:p>
            <w:pPr>
              <w:spacing w:after="0"/>
              <w:rPr>
                <w:sz w:val="17"/>
                <w:szCs w:val="17"/>
                <w:color w:val="auto"/>
              </w:rPr>
            </w:pPr>
          </w:p>
        </w:tc>
        <w:tc>
          <w:tcPr>
            <w:tcW w:w="300" w:type="dxa"/>
            <w:vAlign w:val="bottom"/>
            <w:tcBorders>
              <w:top w:val="single" w:sz="8" w:color="auto"/>
            </w:tcBorders>
            <w:shd w:val="clear" w:color="auto" w:fill="E5E5E5"/>
          </w:tcPr>
          <w:p>
            <w:pPr>
              <w:spacing w:after="0"/>
              <w:rPr>
                <w:sz w:val="17"/>
                <w:szCs w:val="17"/>
                <w:color w:val="auto"/>
              </w:rPr>
            </w:pPr>
          </w:p>
        </w:tc>
        <w:tc>
          <w:tcPr>
            <w:tcW w:w="500" w:type="dxa"/>
            <w:vAlign w:val="bottom"/>
            <w:tcBorders>
              <w:top w:val="single" w:sz="8" w:color="auto"/>
            </w:tcBorders>
            <w:shd w:val="clear" w:color="auto" w:fill="E5E5E5"/>
          </w:tcPr>
          <w:p>
            <w:pPr>
              <w:spacing w:after="0"/>
              <w:rPr>
                <w:sz w:val="17"/>
                <w:szCs w:val="17"/>
                <w:color w:val="auto"/>
              </w:rPr>
            </w:pPr>
          </w:p>
        </w:tc>
        <w:tc>
          <w:tcPr>
            <w:tcW w:w="380" w:type="dxa"/>
            <w:vAlign w:val="bottom"/>
            <w:tcBorders>
              <w:top w:val="single" w:sz="8" w:color="auto"/>
            </w:tcBorders>
            <w:shd w:val="clear" w:color="auto" w:fill="E5E5E5"/>
          </w:tcPr>
          <w:p>
            <w:pPr>
              <w:spacing w:after="0"/>
              <w:rPr>
                <w:sz w:val="17"/>
                <w:szCs w:val="17"/>
                <w:color w:val="auto"/>
              </w:rPr>
            </w:pPr>
          </w:p>
        </w:tc>
        <w:tc>
          <w:tcPr>
            <w:tcW w:w="600" w:type="dxa"/>
            <w:vAlign w:val="bottom"/>
            <w:tcBorders>
              <w:top w:val="single" w:sz="8" w:color="auto"/>
            </w:tcBorders>
            <w:shd w:val="clear" w:color="auto" w:fill="E5E5E5"/>
          </w:tcPr>
          <w:p>
            <w:pPr>
              <w:spacing w:after="0"/>
              <w:rPr>
                <w:sz w:val="17"/>
                <w:szCs w:val="17"/>
                <w:color w:val="auto"/>
              </w:rPr>
            </w:pPr>
          </w:p>
        </w:tc>
        <w:tc>
          <w:tcPr>
            <w:tcW w:w="420" w:type="dxa"/>
            <w:vAlign w:val="bottom"/>
            <w:tcBorders>
              <w:top w:val="single" w:sz="8" w:color="auto"/>
            </w:tcBorders>
            <w:shd w:val="clear" w:color="auto" w:fill="E5E5E5"/>
          </w:tcPr>
          <w:p>
            <w:pPr>
              <w:spacing w:after="0"/>
              <w:rPr>
                <w:sz w:val="17"/>
                <w:szCs w:val="17"/>
                <w:color w:val="auto"/>
              </w:rPr>
            </w:pPr>
          </w:p>
        </w:tc>
        <w:tc>
          <w:tcPr>
            <w:tcW w:w="800" w:type="dxa"/>
            <w:vAlign w:val="bottom"/>
            <w:tcBorders>
              <w:top w:val="single" w:sz="8" w:color="auto"/>
            </w:tcBorders>
            <w:shd w:val="clear" w:color="auto" w:fill="E5E5E5"/>
          </w:tcPr>
          <w:p>
            <w:pPr>
              <w:spacing w:after="0"/>
              <w:rPr>
                <w:sz w:val="17"/>
                <w:szCs w:val="17"/>
                <w:color w:val="auto"/>
              </w:rPr>
            </w:pPr>
          </w:p>
        </w:tc>
        <w:tc>
          <w:tcPr>
            <w:tcW w:w="280" w:type="dxa"/>
            <w:vAlign w:val="bottom"/>
            <w:tcBorders>
              <w:top w:val="single" w:sz="8" w:color="auto"/>
            </w:tcBorders>
            <w:shd w:val="clear" w:color="auto" w:fill="E5E5E5"/>
          </w:tcPr>
          <w:p>
            <w:pPr>
              <w:spacing w:after="0"/>
              <w:rPr>
                <w:sz w:val="17"/>
                <w:szCs w:val="17"/>
                <w:color w:val="auto"/>
              </w:rPr>
            </w:pPr>
          </w:p>
        </w:tc>
        <w:tc>
          <w:tcPr>
            <w:tcW w:w="800" w:type="dxa"/>
            <w:vAlign w:val="bottom"/>
            <w:tcBorders>
              <w:top w:val="single" w:sz="8" w:color="auto"/>
            </w:tcBorders>
            <w:shd w:val="clear" w:color="auto" w:fill="E5E5E5"/>
          </w:tcPr>
          <w:p>
            <w:pPr>
              <w:spacing w:after="0"/>
              <w:rPr>
                <w:sz w:val="17"/>
                <w:szCs w:val="17"/>
                <w:color w:val="auto"/>
              </w:rPr>
            </w:pPr>
          </w:p>
        </w:tc>
        <w:tc>
          <w:tcPr>
            <w:tcW w:w="360" w:type="dxa"/>
            <w:vAlign w:val="bottom"/>
            <w:tcBorders>
              <w:top w:val="single" w:sz="8" w:color="auto"/>
            </w:tcBorders>
            <w:shd w:val="clear" w:color="auto" w:fill="E5E5E5"/>
          </w:tcPr>
          <w:p>
            <w:pPr>
              <w:spacing w:after="0"/>
              <w:rPr>
                <w:sz w:val="17"/>
                <w:szCs w:val="17"/>
                <w:color w:val="auto"/>
              </w:rPr>
            </w:pPr>
          </w:p>
        </w:tc>
        <w:tc>
          <w:tcPr>
            <w:tcW w:w="800" w:type="dxa"/>
            <w:vAlign w:val="bottom"/>
            <w:tcBorders>
              <w:top w:val="single" w:sz="8" w:color="auto"/>
            </w:tcBorders>
            <w:shd w:val="clear" w:color="auto" w:fill="E5E5E5"/>
          </w:tcPr>
          <w:p>
            <w:pPr>
              <w:spacing w:after="0"/>
              <w:rPr>
                <w:sz w:val="17"/>
                <w:szCs w:val="17"/>
                <w:color w:val="auto"/>
              </w:rPr>
            </w:pPr>
          </w:p>
        </w:tc>
        <w:tc>
          <w:tcPr>
            <w:tcW w:w="300" w:type="dxa"/>
            <w:vAlign w:val="bottom"/>
            <w:tcBorders>
              <w:top w:val="single" w:sz="8" w:color="auto"/>
            </w:tcBorders>
            <w:shd w:val="clear" w:color="auto" w:fill="E5E5E5"/>
          </w:tcPr>
          <w:p>
            <w:pPr>
              <w:spacing w:after="0"/>
              <w:rPr>
                <w:sz w:val="17"/>
                <w:szCs w:val="17"/>
                <w:color w:val="auto"/>
              </w:rPr>
            </w:pPr>
          </w:p>
        </w:tc>
        <w:tc>
          <w:tcPr>
            <w:tcW w:w="720" w:type="dxa"/>
            <w:vAlign w:val="bottom"/>
            <w:tcBorders>
              <w:top w:val="single" w:sz="8" w:color="auto"/>
            </w:tcBorders>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(433)</w:t>
            </w:r>
          </w:p>
        </w:tc>
        <w:tc>
          <w:tcPr>
            <w:tcW w:w="36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84</w:t>
            </w:r>
          </w:p>
        </w:tc>
        <w:tc>
          <w:tcPr>
            <w:tcW w:w="3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(88)</w:t>
            </w:r>
          </w:p>
        </w:tc>
        <w:tc>
          <w:tcPr>
            <w:tcW w:w="42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(998)</w:t>
            </w:r>
          </w:p>
        </w:tc>
        <w:tc>
          <w:tcPr>
            <w:tcW w:w="2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w w:val="98"/>
              </w:rPr>
              <w:t>13,726</w:t>
            </w:r>
          </w:p>
        </w:tc>
        <w:tc>
          <w:tcPr>
            <w:tcW w:w="36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12,302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97"/>
              </w:rPr>
              <w:t>2,349</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(11)</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87"/>
              </w:rPr>
              <w:t>(84)</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88</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1,761</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(4,103)</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(5,193)</w:t>
            </w:r>
          </w:p>
        </w:tc>
        <w:tc>
          <w:tcPr>
            <w:tcW w:w="36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(733)</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rPr>
              <w:t>Acquisitions and construction of real</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estate properties</w:t>
            </w:r>
          </w:p>
        </w:tc>
        <w:tc>
          <w:tcPr>
            <w:tcW w:w="26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Acquisitions, net of cash acquired</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(477)</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w w:val="96"/>
              </w:rPr>
              <w:t>Proceeds from sales of businesses and</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621</w:t>
            </w:r>
          </w:p>
        </w:tc>
        <w:tc>
          <w:tcPr>
            <w:tcW w:w="36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Return of capital from investees</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6</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(129)</w:t>
            </w:r>
          </w:p>
        </w:tc>
        <w:tc>
          <w:tcPr>
            <w:tcW w:w="36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(131)</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60" w:type="dxa"/>
            <w:vAlign w:val="bottom"/>
          </w:tcPr>
          <w:p>
            <w:pPr>
              <w:spacing w:after="0" w:line="201" w:lineRule="exact"/>
              <w:rPr>
                <w:sz w:val="20"/>
                <w:szCs w:val="20"/>
                <w:color w:val="auto"/>
              </w:rPr>
            </w:pPr>
            <w:r>
              <w:rPr>
                <w:rFonts w:ascii="Arial" w:cs="Arial" w:eastAsia="Arial" w:hAnsi="Arial"/>
                <w:sz w:val="18"/>
                <w:szCs w:val="18"/>
                <w:color w:val="auto"/>
              </w:rPr>
              <w:t>Net cash provided by (used in) investing</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97"/>
              </w:rPr>
              <w:t>2,334</w:t>
            </w: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87"/>
              </w:rPr>
              <w:t>(84)</w:t>
            </w:r>
          </w:p>
        </w:tc>
        <w:tc>
          <w:tcPr>
            <w:tcW w:w="3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88</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1,760</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89"/>
              </w:rPr>
              <w:t>(10,167)</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rPr>
              <w:t>Proceeds from (repayments of) short-</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term borrowings, net</w:t>
            </w:r>
          </w:p>
        </w:tc>
        <w:tc>
          <w:tcPr>
            <w:tcW w:w="26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87"/>
              </w:rPr>
              <w:t>(1,350)</w:t>
            </w:r>
          </w:p>
        </w:tc>
        <w:tc>
          <w:tcPr>
            <w:tcW w:w="360" w:type="dxa"/>
            <w:vAlign w:val="bottom"/>
          </w:tcPr>
          <w:p>
            <w:pPr>
              <w:spacing w:after="0"/>
              <w:rPr>
                <w:sz w:val="19"/>
                <w:szCs w:val="19"/>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913</w:t>
            </w:r>
          </w:p>
        </w:tc>
        <w:tc>
          <w:tcPr>
            <w:tcW w:w="36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borrowings</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97"/>
              </w:rPr>
              <w:t>4,180</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rPr>
              <w:t>Repurchases and repayments of debt</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87"/>
              </w:rPr>
              <w:t>(1,000)</w:t>
            </w:r>
          </w:p>
        </w:tc>
        <w:tc>
          <w:tcPr>
            <w:tcW w:w="36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(902)</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(1,270)</w:t>
            </w:r>
          </w:p>
        </w:tc>
        <w:tc>
          <w:tcPr>
            <w:tcW w:w="36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2"/>
              </w:rPr>
              <w:t>Repurchases and retirements of common</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stock</w:t>
            </w:r>
          </w:p>
        </w:tc>
        <w:tc>
          <w:tcPr>
            <w:tcW w:w="26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87"/>
              </w:rPr>
              <w:t>(2,250)</w:t>
            </w:r>
          </w:p>
        </w:tc>
        <w:tc>
          <w:tcPr>
            <w:tcW w:w="360" w:type="dxa"/>
            <w:vAlign w:val="bottom"/>
            <w:shd w:val="clear" w:color="auto" w:fill="E5E5E5"/>
          </w:tcPr>
          <w:p>
            <w:pPr>
              <w:spacing w:after="0"/>
              <w:rPr>
                <w:sz w:val="19"/>
                <w:szCs w:val="19"/>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9"/>
                <w:szCs w:val="19"/>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87"/>
              </w:rPr>
              <w:t>(1,676)</w:t>
            </w:r>
          </w:p>
        </w:tc>
        <w:tc>
          <w:tcPr>
            <w:tcW w:w="36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Issuances of common stock</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33</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w w:val="98"/>
              </w:rPr>
              <w:t>Distributions to noncontrolling interests</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and dividends for redeemable</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subsidiary preferred stock</w:t>
            </w:r>
          </w:p>
        </w:tc>
        <w:tc>
          <w:tcPr>
            <w:tcW w:w="26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(170)</w:t>
            </w:r>
          </w:p>
        </w:tc>
        <w:tc>
          <w:tcPr>
            <w:tcW w:w="36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162</w:t>
            </w:r>
          </w:p>
        </w:tc>
        <w:tc>
          <w:tcPr>
            <w:tcW w:w="3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(65)</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60" w:type="dxa"/>
            <w:vAlign w:val="bottom"/>
          </w:tcPr>
          <w:p>
            <w:pPr>
              <w:spacing w:after="0" w:line="201" w:lineRule="exact"/>
              <w:rPr>
                <w:sz w:val="20"/>
                <w:szCs w:val="20"/>
                <w:color w:val="auto"/>
              </w:rPr>
            </w:pPr>
            <w:r>
              <w:rPr>
                <w:rFonts w:ascii="Arial" w:cs="Arial" w:eastAsia="Arial" w:hAnsi="Arial"/>
                <w:sz w:val="18"/>
                <w:szCs w:val="18"/>
                <w:color w:val="auto"/>
              </w:rPr>
              <w:t>Net cash provided by (used in) financing</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87"/>
              </w:rPr>
              <w:t>(1,901)</w:t>
            </w: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(902)</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(590)</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Increase (decrease) in cash and cash</w:t>
            </w:r>
          </w:p>
        </w:tc>
        <w:tc>
          <w:tcPr>
            <w:tcW w:w="26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equivalents</w:t>
            </w:r>
          </w:p>
        </w:tc>
        <w:tc>
          <w:tcPr>
            <w:tcW w:w="26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9"/>
                <w:szCs w:val="19"/>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9"/>
                <w:szCs w:val="19"/>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2,969</w:t>
            </w:r>
          </w:p>
        </w:tc>
        <w:tc>
          <w:tcPr>
            <w:tcW w:w="36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w w:val="99"/>
              </w:rPr>
              <w:t>Cash and cash equivalents, beginning of</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period</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336</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1,382</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1"/>
              </w:rPr>
              <w:t>Cash and cash equivalents, end of period</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196</w:t>
            </w:r>
          </w:p>
        </w:tc>
        <w:tc>
          <w:tcPr>
            <w:tcW w:w="2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4,351</w:t>
            </w:r>
          </w:p>
        </w:tc>
        <w:tc>
          <w:tcPr>
            <w:tcW w:w="36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4,547</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ind w:right="52"/>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restart"/>
          </w:tcPr>
          <w:p>
            <w:pPr>
              <w:jc w:val="right"/>
              <w:ind w:right="333"/>
              <w:spacing w:after="0"/>
              <w:rPr>
                <w:sz w:val="20"/>
                <w:szCs w:val="20"/>
                <w:color w:val="auto"/>
              </w:rPr>
            </w:pPr>
            <w:r>
              <w:rPr>
                <w:rFonts w:ascii="Arial" w:cs="Arial" w:eastAsia="Arial" w:hAnsi="Arial"/>
                <w:sz w:val="14"/>
                <w:szCs w:val="14"/>
                <w:color w:val="auto"/>
              </w:rPr>
              <w:t>Non-</w:t>
            </w: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gridSpan w:val="2"/>
          </w:tcPr>
          <w:p>
            <w:pPr>
              <w:ind w:left="180"/>
              <w:spacing w:after="0" w:line="135" w:lineRule="exact"/>
              <w:rPr>
                <w:sz w:val="20"/>
                <w:szCs w:val="20"/>
                <w:color w:val="auto"/>
              </w:rPr>
            </w:pPr>
            <w:r>
              <w:rPr>
                <w:rFonts w:ascii="Arial" w:cs="Arial" w:eastAsia="Arial" w:hAnsi="Arial"/>
                <w:sz w:val="14"/>
                <w:szCs w:val="14"/>
                <w:color w:val="auto"/>
              </w:rPr>
              <w:t>Combined</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jc w:val="center"/>
              <w:ind w:right="293"/>
              <w:spacing w:after="0" w:line="135" w:lineRule="exact"/>
              <w:rPr>
                <w:sz w:val="20"/>
                <w:szCs w:val="20"/>
                <w:color w:val="auto"/>
              </w:rPr>
            </w:pPr>
            <w:r>
              <w:rPr>
                <w:rFonts w:ascii="Arial" w:cs="Arial" w:eastAsia="Arial" w:hAnsi="Arial"/>
                <w:sz w:val="14"/>
                <w:szCs w:val="14"/>
                <w:color w:val="auto"/>
                <w:w w:val="85"/>
              </w:rPr>
              <w:t>and</w:t>
            </w:r>
          </w:p>
        </w:tc>
        <w:tc>
          <w:tcPr>
            <w:tcW w:w="1020" w:type="dxa"/>
            <w:vAlign w:val="bottom"/>
            <w:gridSpan w:val="2"/>
          </w:tcPr>
          <w:p>
            <w:pPr>
              <w:ind w:left="200"/>
              <w:spacing w:after="0" w:line="135" w:lineRule="exact"/>
              <w:rPr>
                <w:sz w:val="20"/>
                <w:szCs w:val="20"/>
                <w:color w:val="auto"/>
              </w:rPr>
            </w:pPr>
            <w:r>
              <w:rPr>
                <w:rFonts w:ascii="Arial" w:cs="Arial" w:eastAsia="Arial" w:hAnsi="Arial"/>
                <w:sz w:val="14"/>
                <w:szCs w:val="14"/>
                <w:color w:val="auto"/>
                <w:w w:val="97"/>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40" w:type="dxa"/>
            <w:vAlign w:val="bottom"/>
            <w:gridSpan w:val="2"/>
          </w:tcPr>
          <w:p>
            <w:pPr>
              <w:jc w:val="right"/>
              <w:ind w:right="173"/>
              <w:spacing w:after="0" w:line="149" w:lineRule="exact"/>
              <w:rPr>
                <w:sz w:val="20"/>
                <w:szCs w:val="20"/>
                <w:color w:val="auto"/>
              </w:rPr>
            </w:pPr>
            <w:r>
              <w:rPr>
                <w:rFonts w:ascii="Arial" w:cs="Arial" w:eastAsia="Arial" w:hAnsi="Arial"/>
                <w:sz w:val="14"/>
                <w:szCs w:val="14"/>
                <w:color w:val="auto"/>
              </w:rPr>
              <w:t>Comcast</w:t>
            </w:r>
          </w:p>
        </w:tc>
        <w:tc>
          <w:tcPr>
            <w:tcW w:w="9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680" w:type="dxa"/>
            <w:vAlign w:val="bottom"/>
          </w:tcPr>
          <w:p>
            <w:pPr>
              <w:jc w:val="right"/>
              <w:ind w:right="234"/>
              <w:spacing w:after="0" w:line="149" w:lineRule="exact"/>
              <w:rPr>
                <w:sz w:val="20"/>
                <w:szCs w:val="20"/>
                <w:color w:val="auto"/>
              </w:rPr>
            </w:pPr>
            <w:r>
              <w:rPr>
                <w:rFonts w:ascii="Arial" w:cs="Arial" w:eastAsia="Arial" w:hAnsi="Arial"/>
                <w:sz w:val="14"/>
                <w:szCs w:val="14"/>
                <w:color w:val="auto"/>
                <w:w w:val="89"/>
              </w:rPr>
              <w:t>CCCL</w:t>
            </w:r>
          </w:p>
        </w:tc>
        <w:tc>
          <w:tcPr>
            <w:tcW w:w="98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CCHMO</w:t>
            </w:r>
          </w:p>
        </w:tc>
        <w:tc>
          <w:tcPr>
            <w:tcW w:w="12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NBCUniversal</w:t>
            </w:r>
          </w:p>
        </w:tc>
        <w:tc>
          <w:tcPr>
            <w:tcW w:w="106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Guarantor</w:t>
            </w:r>
          </w:p>
        </w:tc>
        <w:tc>
          <w:tcPr>
            <w:tcW w:w="114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Consolidation</w:t>
            </w:r>
          </w:p>
        </w:tc>
        <w:tc>
          <w:tcPr>
            <w:tcW w:w="30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c>
          <w:tcPr>
            <w:tcW w:w="0" w:type="dxa"/>
            <w:vAlign w:val="bottom"/>
          </w:tcPr>
          <w:p>
            <w:pPr>
              <w:spacing w:after="0"/>
              <w:rPr>
                <w:sz w:val="1"/>
                <w:szCs w:val="1"/>
                <w:color w:val="auto"/>
              </w:rPr>
            </w:pPr>
          </w:p>
        </w:tc>
      </w:tr>
      <w:tr>
        <w:trPr>
          <w:trHeight w:val="173"/>
        </w:trPr>
        <w:tc>
          <w:tcPr>
            <w:tcW w:w="32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5"/>
                <w:szCs w:val="15"/>
                <w:color w:val="auto"/>
              </w:rPr>
            </w:pPr>
          </w:p>
        </w:tc>
        <w:tc>
          <w:tcPr>
            <w:tcW w:w="680" w:type="dxa"/>
            <w:vAlign w:val="bottom"/>
          </w:tcPr>
          <w:p>
            <w:pPr>
              <w:jc w:val="right"/>
              <w:ind w:right="253"/>
              <w:spacing w:after="0"/>
              <w:rPr>
                <w:sz w:val="20"/>
                <w:szCs w:val="20"/>
                <w:color w:val="auto"/>
              </w:rPr>
            </w:pPr>
            <w:r>
              <w:rPr>
                <w:rFonts w:ascii="Arial" w:cs="Arial" w:eastAsia="Arial" w:hAnsi="Arial"/>
                <w:sz w:val="14"/>
                <w:szCs w:val="14"/>
                <w:color w:val="auto"/>
                <w:w w:val="77"/>
              </w:rPr>
              <w:t>Parent</w:t>
            </w:r>
          </w:p>
        </w:tc>
        <w:tc>
          <w:tcPr>
            <w:tcW w:w="900" w:type="dxa"/>
            <w:vAlign w:val="bottom"/>
            <w:gridSpan w:val="2"/>
          </w:tcPr>
          <w:p>
            <w:pPr>
              <w:ind w:left="180"/>
              <w:spacing w:after="0"/>
              <w:rPr>
                <w:sz w:val="20"/>
                <w:szCs w:val="20"/>
                <w:color w:val="auto"/>
              </w:rPr>
            </w:pPr>
            <w:r>
              <w:rPr>
                <w:rFonts w:ascii="Arial" w:cs="Arial" w:eastAsia="Arial" w:hAnsi="Arial"/>
                <w:sz w:val="14"/>
                <w:szCs w:val="14"/>
                <w:color w:val="auto"/>
              </w:rPr>
              <w:t>Holdings</w:t>
            </w:r>
          </w:p>
        </w:tc>
        <w:tc>
          <w:tcPr>
            <w:tcW w:w="280" w:type="dxa"/>
            <w:vAlign w:val="bottom"/>
          </w:tcPr>
          <w:p>
            <w:pPr>
              <w:spacing w:after="0"/>
              <w:rPr>
                <w:sz w:val="15"/>
                <w:szCs w:val="15"/>
                <w:color w:val="auto"/>
              </w:rPr>
            </w:pPr>
          </w:p>
        </w:tc>
        <w:tc>
          <w:tcPr>
            <w:tcW w:w="680" w:type="dxa"/>
            <w:vAlign w:val="bottom"/>
          </w:tcPr>
          <w:p>
            <w:pPr>
              <w:jc w:val="right"/>
              <w:ind w:right="234"/>
              <w:spacing w:after="0"/>
              <w:rPr>
                <w:sz w:val="20"/>
                <w:szCs w:val="20"/>
                <w:color w:val="auto"/>
              </w:rPr>
            </w:pPr>
            <w:r>
              <w:rPr>
                <w:rFonts w:ascii="Arial" w:cs="Arial" w:eastAsia="Arial" w:hAnsi="Arial"/>
                <w:sz w:val="14"/>
                <w:szCs w:val="14"/>
                <w:color w:val="auto"/>
                <w:w w:val="82"/>
              </w:rPr>
              <w:t>Parent</w:t>
            </w:r>
          </w:p>
        </w:tc>
        <w:tc>
          <w:tcPr>
            <w:tcW w:w="980" w:type="dxa"/>
            <w:vAlign w:val="bottom"/>
            <w:gridSpan w:val="2"/>
          </w:tcPr>
          <w:p>
            <w:pPr>
              <w:jc w:val="right"/>
              <w:ind w:right="232"/>
              <w:spacing w:after="0"/>
              <w:rPr>
                <w:sz w:val="20"/>
                <w:szCs w:val="20"/>
                <w:color w:val="auto"/>
              </w:rPr>
            </w:pPr>
            <w:r>
              <w:rPr>
                <w:rFonts w:ascii="Arial" w:cs="Arial" w:eastAsia="Arial" w:hAnsi="Arial"/>
                <w:sz w:val="14"/>
                <w:szCs w:val="14"/>
                <w:color w:val="auto"/>
              </w:rPr>
              <w:t>Parents</w:t>
            </w:r>
          </w:p>
        </w:tc>
        <w:tc>
          <w:tcPr>
            <w:tcW w:w="1220" w:type="dxa"/>
            <w:vAlign w:val="bottom"/>
            <w:gridSpan w:val="2"/>
          </w:tcPr>
          <w:p>
            <w:pPr>
              <w:jc w:val="right"/>
              <w:ind w:right="192"/>
              <w:spacing w:after="0"/>
              <w:rPr>
                <w:sz w:val="20"/>
                <w:szCs w:val="20"/>
                <w:color w:val="auto"/>
              </w:rPr>
            </w:pPr>
            <w:r>
              <w:rPr>
                <w:rFonts w:ascii="Arial" w:cs="Arial" w:eastAsia="Arial" w:hAnsi="Arial"/>
                <w:sz w:val="14"/>
                <w:szCs w:val="14"/>
                <w:color w:val="auto"/>
              </w:rPr>
              <w:t>Media Parent</w:t>
            </w:r>
          </w:p>
        </w:tc>
        <w:tc>
          <w:tcPr>
            <w:tcW w:w="106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2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80" w:type="dxa"/>
            <w:vAlign w:val="bottom"/>
            <w:tcBorders>
              <w:top w:val="single" w:sz="8" w:color="auto"/>
            </w:tcBorders>
            <w:shd w:val="clear" w:color="auto" w:fill="E5E5E5"/>
          </w:tcPr>
          <w:p>
            <w:pPr>
              <w:spacing w:after="0" w:line="201" w:lineRule="exact"/>
              <w:rPr>
                <w:sz w:val="20"/>
                <w:szCs w:val="20"/>
                <w:color w:val="auto"/>
              </w:rPr>
            </w:pPr>
            <w:r>
              <w:rPr>
                <w:rFonts w:ascii="Arial" w:cs="Arial" w:eastAsia="Arial" w:hAnsi="Arial"/>
                <w:sz w:val="18"/>
                <w:szCs w:val="18"/>
                <w:color w:val="auto"/>
                <w:w w:val="97"/>
              </w:rPr>
              <w:t>Net cash provided by (used in) operating</w:t>
            </w:r>
          </w:p>
        </w:tc>
        <w:tc>
          <w:tcPr>
            <w:tcW w:w="260" w:type="dxa"/>
            <w:vAlign w:val="bottom"/>
            <w:tcBorders>
              <w:top w:val="single" w:sz="8" w:color="auto"/>
            </w:tcBorders>
            <w:shd w:val="clear" w:color="auto" w:fill="E5E5E5"/>
          </w:tcPr>
          <w:p>
            <w:pPr>
              <w:spacing w:after="0"/>
              <w:rPr>
                <w:sz w:val="17"/>
                <w:szCs w:val="17"/>
                <w:color w:val="auto"/>
              </w:rPr>
            </w:pPr>
          </w:p>
        </w:tc>
        <w:tc>
          <w:tcPr>
            <w:tcW w:w="680" w:type="dxa"/>
            <w:vAlign w:val="bottom"/>
            <w:tcBorders>
              <w:top w:val="single" w:sz="8" w:color="auto"/>
            </w:tcBorders>
            <w:shd w:val="clear" w:color="auto" w:fill="E5E5E5"/>
          </w:tcPr>
          <w:p>
            <w:pPr>
              <w:spacing w:after="0"/>
              <w:rPr>
                <w:sz w:val="17"/>
                <w:szCs w:val="17"/>
                <w:color w:val="auto"/>
              </w:rPr>
            </w:pPr>
          </w:p>
        </w:tc>
        <w:tc>
          <w:tcPr>
            <w:tcW w:w="380" w:type="dxa"/>
            <w:vAlign w:val="bottom"/>
            <w:tcBorders>
              <w:top w:val="single" w:sz="8" w:color="auto"/>
            </w:tcBorders>
            <w:shd w:val="clear" w:color="auto" w:fill="E5E5E5"/>
          </w:tcPr>
          <w:p>
            <w:pPr>
              <w:spacing w:after="0"/>
              <w:rPr>
                <w:sz w:val="17"/>
                <w:szCs w:val="17"/>
                <w:color w:val="auto"/>
              </w:rPr>
            </w:pPr>
          </w:p>
        </w:tc>
        <w:tc>
          <w:tcPr>
            <w:tcW w:w="520" w:type="dxa"/>
            <w:vAlign w:val="bottom"/>
            <w:tcBorders>
              <w:top w:val="single" w:sz="8" w:color="auto"/>
            </w:tcBorders>
            <w:shd w:val="clear" w:color="auto" w:fill="E5E5E5"/>
          </w:tcPr>
          <w:p>
            <w:pPr>
              <w:spacing w:after="0"/>
              <w:rPr>
                <w:sz w:val="17"/>
                <w:szCs w:val="17"/>
                <w:color w:val="auto"/>
              </w:rPr>
            </w:pPr>
          </w:p>
        </w:tc>
        <w:tc>
          <w:tcPr>
            <w:tcW w:w="280" w:type="dxa"/>
            <w:vAlign w:val="bottom"/>
            <w:tcBorders>
              <w:top w:val="single" w:sz="8" w:color="auto"/>
            </w:tcBorders>
            <w:shd w:val="clear" w:color="auto" w:fill="E5E5E5"/>
          </w:tcPr>
          <w:p>
            <w:pPr>
              <w:spacing w:after="0"/>
              <w:rPr>
                <w:sz w:val="17"/>
                <w:szCs w:val="17"/>
                <w:color w:val="auto"/>
              </w:rPr>
            </w:pPr>
          </w:p>
        </w:tc>
        <w:tc>
          <w:tcPr>
            <w:tcW w:w="680" w:type="dxa"/>
            <w:vAlign w:val="bottom"/>
            <w:tcBorders>
              <w:top w:val="single" w:sz="8" w:color="auto"/>
            </w:tcBorders>
            <w:shd w:val="clear" w:color="auto" w:fill="E5E5E5"/>
          </w:tcPr>
          <w:p>
            <w:pPr>
              <w:spacing w:after="0"/>
              <w:rPr>
                <w:sz w:val="17"/>
                <w:szCs w:val="17"/>
                <w:color w:val="auto"/>
              </w:rPr>
            </w:pPr>
          </w:p>
        </w:tc>
        <w:tc>
          <w:tcPr>
            <w:tcW w:w="340" w:type="dxa"/>
            <w:vAlign w:val="bottom"/>
            <w:tcBorders>
              <w:top w:val="single" w:sz="8" w:color="auto"/>
            </w:tcBorders>
            <w:shd w:val="clear" w:color="auto" w:fill="E5E5E5"/>
          </w:tcPr>
          <w:p>
            <w:pPr>
              <w:spacing w:after="0"/>
              <w:rPr>
                <w:sz w:val="17"/>
                <w:szCs w:val="17"/>
                <w:color w:val="auto"/>
              </w:rPr>
            </w:pPr>
          </w:p>
        </w:tc>
        <w:tc>
          <w:tcPr>
            <w:tcW w:w="640" w:type="dxa"/>
            <w:vAlign w:val="bottom"/>
            <w:tcBorders>
              <w:top w:val="single" w:sz="8" w:color="auto"/>
            </w:tcBorders>
            <w:shd w:val="clear" w:color="auto" w:fill="E5E5E5"/>
          </w:tcPr>
          <w:p>
            <w:pPr>
              <w:spacing w:after="0"/>
              <w:rPr>
                <w:sz w:val="17"/>
                <w:szCs w:val="17"/>
                <w:color w:val="auto"/>
              </w:rPr>
            </w:pPr>
          </w:p>
        </w:tc>
        <w:tc>
          <w:tcPr>
            <w:tcW w:w="400" w:type="dxa"/>
            <w:vAlign w:val="bottom"/>
            <w:tcBorders>
              <w:top w:val="single" w:sz="8" w:color="auto"/>
            </w:tcBorders>
            <w:shd w:val="clear" w:color="auto" w:fill="E5E5E5"/>
          </w:tcPr>
          <w:p>
            <w:pPr>
              <w:spacing w:after="0"/>
              <w:rPr>
                <w:sz w:val="17"/>
                <w:szCs w:val="17"/>
                <w:color w:val="auto"/>
              </w:rPr>
            </w:pPr>
          </w:p>
        </w:tc>
        <w:tc>
          <w:tcPr>
            <w:tcW w:w="820" w:type="dxa"/>
            <w:vAlign w:val="bottom"/>
            <w:tcBorders>
              <w:top w:val="single" w:sz="8" w:color="auto"/>
            </w:tcBorders>
            <w:shd w:val="clear" w:color="auto" w:fill="E5E5E5"/>
          </w:tcPr>
          <w:p>
            <w:pPr>
              <w:spacing w:after="0"/>
              <w:rPr>
                <w:sz w:val="17"/>
                <w:szCs w:val="17"/>
                <w:color w:val="auto"/>
              </w:rPr>
            </w:pPr>
          </w:p>
        </w:tc>
        <w:tc>
          <w:tcPr>
            <w:tcW w:w="300" w:type="dxa"/>
            <w:vAlign w:val="bottom"/>
            <w:tcBorders>
              <w:top w:val="single" w:sz="8" w:color="auto"/>
            </w:tcBorders>
            <w:shd w:val="clear" w:color="auto" w:fill="E5E5E5"/>
          </w:tcPr>
          <w:p>
            <w:pPr>
              <w:spacing w:after="0"/>
              <w:rPr>
                <w:sz w:val="17"/>
                <w:szCs w:val="17"/>
                <w:color w:val="auto"/>
              </w:rPr>
            </w:pPr>
          </w:p>
        </w:tc>
        <w:tc>
          <w:tcPr>
            <w:tcW w:w="760" w:type="dxa"/>
            <w:vAlign w:val="bottom"/>
            <w:tcBorders>
              <w:top w:val="single" w:sz="8" w:color="auto"/>
            </w:tcBorders>
            <w:shd w:val="clear" w:color="auto" w:fill="E5E5E5"/>
          </w:tcPr>
          <w:p>
            <w:pPr>
              <w:spacing w:after="0"/>
              <w:rPr>
                <w:sz w:val="17"/>
                <w:szCs w:val="17"/>
                <w:color w:val="auto"/>
              </w:rPr>
            </w:pPr>
          </w:p>
        </w:tc>
        <w:tc>
          <w:tcPr>
            <w:tcW w:w="360" w:type="dxa"/>
            <w:vAlign w:val="bottom"/>
            <w:tcBorders>
              <w:top w:val="single" w:sz="8" w:color="auto"/>
            </w:tcBorders>
            <w:shd w:val="clear" w:color="auto" w:fill="E5E5E5"/>
          </w:tcPr>
          <w:p>
            <w:pPr>
              <w:spacing w:after="0"/>
              <w:rPr>
                <w:sz w:val="17"/>
                <w:szCs w:val="17"/>
                <w:color w:val="auto"/>
              </w:rPr>
            </w:pPr>
          </w:p>
        </w:tc>
        <w:tc>
          <w:tcPr>
            <w:tcW w:w="780" w:type="dxa"/>
            <w:vAlign w:val="bottom"/>
            <w:tcBorders>
              <w:top w:val="single" w:sz="8" w:color="auto"/>
            </w:tcBorders>
            <w:shd w:val="clear" w:color="auto" w:fill="E5E5E5"/>
          </w:tcPr>
          <w:p>
            <w:pPr>
              <w:spacing w:after="0"/>
              <w:rPr>
                <w:sz w:val="17"/>
                <w:szCs w:val="17"/>
                <w:color w:val="auto"/>
              </w:rPr>
            </w:pPr>
          </w:p>
        </w:tc>
        <w:tc>
          <w:tcPr>
            <w:tcW w:w="300" w:type="dxa"/>
            <w:vAlign w:val="bottom"/>
            <w:tcBorders>
              <w:top w:val="single" w:sz="8" w:color="auto"/>
            </w:tcBorders>
            <w:shd w:val="clear" w:color="auto" w:fill="E5E5E5"/>
          </w:tcPr>
          <w:p>
            <w:pPr>
              <w:spacing w:after="0"/>
              <w:rPr>
                <w:sz w:val="17"/>
                <w:szCs w:val="17"/>
                <w:color w:val="auto"/>
              </w:rPr>
            </w:pPr>
          </w:p>
        </w:tc>
        <w:tc>
          <w:tcPr>
            <w:tcW w:w="720" w:type="dxa"/>
            <w:vAlign w:val="bottom"/>
            <w:tcBorders>
              <w:top w:val="single" w:sz="8" w:color="auto"/>
            </w:tcBorders>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(451)</w:t>
            </w:r>
          </w:p>
        </w:tc>
        <w:tc>
          <w:tcPr>
            <w:tcW w:w="3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(99)</w:t>
            </w:r>
          </w:p>
        </w:tc>
        <w:tc>
          <w:tcPr>
            <w:tcW w:w="40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(767)</w:t>
            </w:r>
          </w:p>
        </w:tc>
        <w:tc>
          <w:tcPr>
            <w:tcW w:w="30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w w:val="90"/>
              </w:rPr>
              <w:t>13,006</w:t>
            </w:r>
          </w:p>
        </w:tc>
        <w:tc>
          <w:tcPr>
            <w:tcW w:w="36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11,679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(116)</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7</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97"/>
              </w:rPr>
              <w:t>2,100</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337</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(900)</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8"/>
              </w:rPr>
              <w:t>(1,428)</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8"/>
                <w:szCs w:val="18"/>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w w:val="98"/>
              </w:rPr>
              <w:t>(4,590)</w:t>
            </w:r>
          </w:p>
        </w:tc>
        <w:tc>
          <w:tcPr>
            <w:tcW w:w="36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(693)</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rPr>
              <w:t>Acquisitions and construction of real</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ind w:left="420"/>
              <w:spacing w:after="0"/>
              <w:rPr>
                <w:sz w:val="20"/>
                <w:szCs w:val="20"/>
                <w:color w:val="auto"/>
              </w:rPr>
            </w:pPr>
            <w:r>
              <w:rPr>
                <w:rFonts w:ascii="Arial" w:cs="Arial" w:eastAsia="Arial" w:hAnsi="Arial"/>
                <w:sz w:val="18"/>
                <w:szCs w:val="18"/>
                <w:color w:val="auto"/>
              </w:rPr>
              <w:t>estate properties</w:t>
            </w:r>
          </w:p>
        </w:tc>
        <w:tc>
          <w:tcPr>
            <w:tcW w:w="26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w w:val="98"/>
              </w:rPr>
              <w:t>(1,705)</w:t>
            </w:r>
          </w:p>
        </w:tc>
        <w:tc>
          <w:tcPr>
            <w:tcW w:w="36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Acquisitions, net of cash acquired</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(42)</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w w:val="94"/>
              </w:rPr>
              <w:t>Proceeds from sales of businesses and</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655</w:t>
            </w:r>
          </w:p>
        </w:tc>
        <w:tc>
          <w:tcPr>
            <w:tcW w:w="36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Return of capital from investees</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128</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18</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260" w:type="dxa"/>
            <w:vAlign w:val="bottom"/>
          </w:tcPr>
          <w:p>
            <w:pPr>
              <w:spacing w:after="0"/>
              <w:rPr>
                <w:sz w:val="18"/>
                <w:szCs w:val="18"/>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w w:val="98"/>
              </w:rPr>
              <w:t>(1,167)</w:t>
            </w:r>
          </w:p>
        </w:tc>
        <w:tc>
          <w:tcPr>
            <w:tcW w:w="36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103</w:t>
            </w:r>
          </w:p>
        </w:tc>
        <w:tc>
          <w:tcPr>
            <w:tcW w:w="3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w w:val="98"/>
              </w:rPr>
              <w:t>Net cash provided by (used in) investing</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(128)</w:t>
            </w: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97"/>
              </w:rPr>
              <w:t>2,100</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337</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(794)</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8"/>
              </w:rPr>
              <w:t>(8,849)</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w w:val="98"/>
              </w:rPr>
              <w:t>Proceeds from (repayments of) short-</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ind w:left="420"/>
              <w:spacing w:after="0"/>
              <w:rPr>
                <w:sz w:val="20"/>
                <w:szCs w:val="20"/>
                <w:color w:val="auto"/>
              </w:rPr>
            </w:pPr>
            <w:r>
              <w:rPr>
                <w:rFonts w:ascii="Arial" w:cs="Arial" w:eastAsia="Arial" w:hAnsi="Arial"/>
                <w:sz w:val="18"/>
                <w:szCs w:val="18"/>
                <w:color w:val="auto"/>
              </w:rPr>
              <w:t>term borrowings, net</w:t>
            </w:r>
          </w:p>
        </w:tc>
        <w:tc>
          <w:tcPr>
            <w:tcW w:w="26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8"/>
                <w:szCs w:val="18"/>
                <w:color w:val="auto"/>
              </w:rPr>
              <w:t>400</w:t>
            </w:r>
          </w:p>
        </w:tc>
        <w:tc>
          <w:tcPr>
            <w:tcW w:w="380" w:type="dxa"/>
            <w:vAlign w:val="bottom"/>
          </w:tcPr>
          <w:p>
            <w:pPr>
              <w:spacing w:after="0"/>
              <w:rPr>
                <w:sz w:val="19"/>
                <w:szCs w:val="19"/>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borrowings</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w w:val="97"/>
              </w:rPr>
              <w:t>2,933</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w w:val="98"/>
              </w:rPr>
              <w:t>Repurchases and repayments of debt</w:t>
            </w:r>
          </w:p>
        </w:tc>
        <w:tc>
          <w:tcPr>
            <w:tcW w:w="260" w:type="dxa"/>
            <w:vAlign w:val="bottom"/>
          </w:tcPr>
          <w:p>
            <w:pPr>
              <w:spacing w:after="0"/>
              <w:rPr>
                <w:sz w:val="18"/>
                <w:szCs w:val="18"/>
                <w:color w:val="auto"/>
              </w:rPr>
            </w:pPr>
          </w:p>
        </w:tc>
        <w:tc>
          <w:tcPr>
            <w:tcW w:w="6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ind w:right="74"/>
              <w:spacing w:after="0"/>
              <w:rPr>
                <w:sz w:val="20"/>
                <w:szCs w:val="20"/>
                <w:color w:val="auto"/>
              </w:rPr>
            </w:pPr>
            <w:r>
              <w:rPr>
                <w:rFonts w:ascii="Arial" w:cs="Arial" w:eastAsia="Arial" w:hAnsi="Arial"/>
                <w:sz w:val="18"/>
                <w:szCs w:val="18"/>
                <w:color w:val="auto"/>
                <w:w w:val="87"/>
              </w:rPr>
              <w:t>(2,097)</w:t>
            </w:r>
          </w:p>
        </w:tc>
        <w:tc>
          <w:tcPr>
            <w:tcW w:w="34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(238)</w:t>
            </w:r>
          </w:p>
        </w:tc>
        <w:tc>
          <w:tcPr>
            <w:tcW w:w="40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Repurchases and retirements of</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common stock</w:t>
            </w:r>
          </w:p>
        </w:tc>
        <w:tc>
          <w:tcPr>
            <w:tcW w:w="260" w:type="dxa"/>
            <w:vAlign w:val="bottom"/>
            <w:shd w:val="clear" w:color="auto" w:fill="E5E5E5"/>
          </w:tcPr>
          <w:p>
            <w:pPr>
              <w:spacing w:after="0"/>
              <w:rPr>
                <w:sz w:val="19"/>
                <w:szCs w:val="19"/>
                <w:color w:val="auto"/>
              </w:rPr>
            </w:pPr>
          </w:p>
        </w:tc>
        <w:tc>
          <w:tcPr>
            <w:tcW w:w="6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84"/>
              </w:rPr>
              <w:t>(1,500)</w:t>
            </w:r>
          </w:p>
        </w:tc>
        <w:tc>
          <w:tcPr>
            <w:tcW w:w="38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6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18"/>
                <w:szCs w:val="18"/>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w w:val="84"/>
              </w:rPr>
              <w:t>(1,454)</w:t>
            </w:r>
          </w:p>
        </w:tc>
        <w:tc>
          <w:tcPr>
            <w:tcW w:w="38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Issuances of common stock</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35</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rPr>
              <w:t>Purchase of NBCUniversal</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420"/>
              <w:spacing w:after="0"/>
              <w:rPr>
                <w:sz w:val="20"/>
                <w:szCs w:val="20"/>
                <w:color w:val="auto"/>
              </w:rPr>
            </w:pPr>
            <w:r>
              <w:rPr>
                <w:rFonts w:ascii="Arial" w:cs="Arial" w:eastAsia="Arial" w:hAnsi="Arial"/>
                <w:sz w:val="18"/>
                <w:szCs w:val="18"/>
                <w:color w:val="auto"/>
              </w:rPr>
              <w:t>noncontrolling common equity</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ind w:left="420"/>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(3,200)</w:t>
            </w:r>
          </w:p>
        </w:tc>
        <w:tc>
          <w:tcPr>
            <w:tcW w:w="30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w w:val="98"/>
              </w:rPr>
              <w:t>(7,561)</w:t>
            </w:r>
          </w:p>
        </w:tc>
        <w:tc>
          <w:tcPr>
            <w:tcW w:w="36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(10,761)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8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5"/>
              </w:rPr>
              <w:t>Distributions to noncontrolling interests</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and dividends for redeemable</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subsidiary preferred stock</w:t>
            </w:r>
          </w:p>
        </w:tc>
        <w:tc>
          <w:tcPr>
            <w:tcW w:w="260" w:type="dxa"/>
            <w:vAlign w:val="bottom"/>
            <w:shd w:val="clear" w:color="auto" w:fill="E5E5E5"/>
          </w:tcPr>
          <w:p>
            <w:pPr>
              <w:spacing w:after="0"/>
              <w:rPr>
                <w:sz w:val="19"/>
                <w:szCs w:val="19"/>
                <w:color w:val="auto"/>
              </w:rPr>
            </w:pPr>
          </w:p>
        </w:tc>
        <w:tc>
          <w:tcPr>
            <w:tcW w:w="6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6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(164)</w:t>
            </w:r>
          </w:p>
        </w:tc>
        <w:tc>
          <w:tcPr>
            <w:tcW w:w="36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rPr>
              <w:t>Settlement of Station Venture liability</w:t>
            </w:r>
          </w:p>
        </w:tc>
        <w:tc>
          <w:tcPr>
            <w:tcW w:w="260" w:type="dxa"/>
            <w:vAlign w:val="bottom"/>
          </w:tcPr>
          <w:p>
            <w:pPr>
              <w:spacing w:after="0"/>
              <w:rPr>
                <w:sz w:val="18"/>
                <w:szCs w:val="18"/>
                <w:color w:val="auto"/>
              </w:rPr>
            </w:pPr>
          </w:p>
        </w:tc>
        <w:tc>
          <w:tcPr>
            <w:tcW w:w="6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(602)</w:t>
            </w:r>
          </w:p>
        </w:tc>
        <w:tc>
          <w:tcPr>
            <w:tcW w:w="36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165</w:t>
            </w:r>
          </w:p>
        </w:tc>
        <w:tc>
          <w:tcPr>
            <w:tcW w:w="3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(40)</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(265)</w:t>
            </w:r>
          </w:p>
        </w:tc>
        <w:tc>
          <w:tcPr>
            <w:tcW w:w="3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w w:val="98"/>
              </w:rPr>
              <w:t>Net cash provided by (used in) financing</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579</w:t>
            </w: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87"/>
              </w:rPr>
              <w:t>(2,097)</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(238)</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(3,328)</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8"/>
              </w:rPr>
              <w:t>(8,616)</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(13,700)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Increase (decrease) in cash and cash</w:t>
            </w:r>
          </w:p>
        </w:tc>
        <w:tc>
          <w:tcPr>
            <w:tcW w:w="26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equivalents</w:t>
            </w:r>
          </w:p>
        </w:tc>
        <w:tc>
          <w:tcPr>
            <w:tcW w:w="260" w:type="dxa"/>
            <w:vAlign w:val="bottom"/>
            <w:shd w:val="clear" w:color="auto" w:fill="E5E5E5"/>
          </w:tcPr>
          <w:p>
            <w:pPr>
              <w:spacing w:after="0"/>
              <w:rPr>
                <w:sz w:val="19"/>
                <w:szCs w:val="19"/>
                <w:color w:val="auto"/>
              </w:rPr>
            </w:pPr>
          </w:p>
        </w:tc>
        <w:tc>
          <w:tcPr>
            <w:tcW w:w="6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6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(4,889)</w:t>
            </w:r>
          </w:p>
        </w:tc>
        <w:tc>
          <w:tcPr>
            <w:tcW w:w="30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8"/>
              </w:rPr>
              <w:t>(4,459)</w:t>
            </w:r>
          </w:p>
        </w:tc>
        <w:tc>
          <w:tcPr>
            <w:tcW w:w="36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(9,348)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w w:val="97"/>
              </w:rPr>
              <w:t>Cash and cash equivalents, beginning of</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period</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5,129</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5,822</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10,951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shd w:val="clear" w:color="auto" w:fill="E5E5E5"/>
          </w:tcPr>
          <w:p>
            <w:pPr>
              <w:spacing w:after="0" w:line="197" w:lineRule="exact"/>
              <w:rPr>
                <w:sz w:val="20"/>
                <w:szCs w:val="20"/>
                <w:color w:val="auto"/>
              </w:rPr>
            </w:pPr>
            <w:r>
              <w:rPr>
                <w:rFonts w:ascii="Arial" w:cs="Arial" w:eastAsia="Arial" w:hAnsi="Arial"/>
                <w:sz w:val="18"/>
                <w:szCs w:val="18"/>
                <w:b w:val="1"/>
                <w:bCs w:val="1"/>
                <w:color w:val="auto"/>
              </w:rPr>
              <w:t>Cash and cash equivalents, end of</w:t>
            </w:r>
          </w:p>
        </w:tc>
        <w:tc>
          <w:tcPr>
            <w:tcW w:w="26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period</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240</w:t>
            </w:r>
          </w:p>
        </w:tc>
        <w:tc>
          <w:tcPr>
            <w:tcW w:w="30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1,363</w:t>
            </w:r>
          </w:p>
        </w:tc>
        <w:tc>
          <w:tcPr>
            <w:tcW w:w="36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1,603</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Comcast Cable is the nation’s largest provider of video, high-speed Internet and voice services (“cable services”) to residential customers under the XFINITY brand, and we also provide similar and other services to small and medium-sized businesses. As of September 30, 2014, our cable systems served 22.4 million video customers, 21.6 million high-speed Internet customers and 11.1 million voice customers, with 26.9 million total customer relationships and passed more than 54 million homes and businesses. Our Cable Communications segment generates revenue primarily from subscriptions to our cable services, which we market individually and in packages, and from the sale of advertising. During the nine months ended September 30, 2014, our Cable Communications segment generated 64% of our consolidated revenue and 79% of our operating income before depreciation and amortization.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The Cable Networks, Broadcast Television, Filmed Entertainment and Theme Parks segments comprise the NBCUniversal businesses and are collectively referred to as the NBCUniversal segments.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Cable Networks segment consists primarily of a diversified portfolio of cable television networks. Our cable networks are comprised of our national cable networks, which provide a variety of entertainment, news and information, and sports content, our regional sports networks, various international cable networks, and our cable television production operations. Our Cable Networks segment generates revenue primarily from the distribution of our cable network programming to multichannel video providers, from the sale of advertising on our cable networks and related digital media properties, and from the licensing of our owned programming.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NBC and Telemundo owned local broadcast television stations, and our broadcast television production operations. Our Broadcast Television segment generates revenue primarily from the sale of advertising on our broadcast networks, owned local broadcast television stations and related digital media properties, from the licensing of our owned programming, and from fees received under retransmission consent agreements.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Filmed Entertainment segment primarily produces, acquires, markets and distributes filmed entertainment worldwide, and it also develops, produces and licenses live stage plays. Our Filmed Entertainment segment generates revenue primarily from the worldwide distribution of our owned and acquired films for exhibition in movie theaters, from the licensing of our owned and acquired films through various distribution platforms, and from the sale of our owned and acquired films on standard-definition video discs and Blu-ray discs (together, “DVDs”) and electronically through digital distributors. Our Filmed Entertainment segment also generates revenue from producing and licensing live stage plays, from distributing filmed entertainment produced by third parties, and from various digital media properties.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Theme Parks segment consists primarily of our Universal theme parks in Orlando and Hollywood. Our Theme Parks segment generates revenue primarily from theme park attendance and per capita spending. Per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capita spending includes ticket price and in-park spending on food, beverages and merchandise. Our Theme Parks segment also receives fees from third parties that own and operate Universal Studios Japan and Universal Studios Singapore for intellectual property licenses and other services.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7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other business interests primarily include Comcast-Spectacor, which owns the Philadelphia Flyers and the Wells Fargo Center arena in Philadelphia and operates arena management-related businesses.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Developments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more significant developments in our businesses during the nine months ended September 30, 2014:</w:t>
      </w:r>
    </w:p>
    <w:p>
      <w:pPr>
        <w:spacing w:after="0" w:line="77" w:lineRule="exact"/>
        <w:rPr>
          <w:sz w:val="20"/>
          <w:szCs w:val="20"/>
          <w:color w:val="auto"/>
        </w:rPr>
      </w:pPr>
    </w:p>
    <w:p>
      <w:pPr>
        <w:ind w:left="1020" w:right="1260" w:hanging="215"/>
        <w:spacing w:after="0" w:line="325"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entry into an agreement and plan of merger with Time Warner Cable Inc. (“Time Warner Cable”) whereby Time Warner Cable would become our wholly owned subsidiary; see “Time Warner Cable Merger” below for additional information</w:t>
      </w:r>
    </w:p>
    <w:p>
      <w:pPr>
        <w:spacing w:after="0" w:line="1" w:lineRule="exact"/>
        <w:rPr>
          <w:rFonts w:ascii="Arial" w:cs="Arial" w:eastAsia="Arial" w:hAnsi="Arial"/>
          <w:sz w:val="16"/>
          <w:szCs w:val="16"/>
          <w:color w:val="auto"/>
        </w:rPr>
      </w:pPr>
    </w:p>
    <w:p>
      <w:pPr>
        <w:jc w:val="both"/>
        <w:ind w:left="1020" w:right="1240" w:hanging="215"/>
        <w:spacing w:after="0" w:line="259"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entry into a transactions agreement with Charter Communications, Inc. (“Charter”), contemplating three transactions that would result in a net disposition of approximately 3.9 million video customers; see “Divestiture Transactions” below for additional information</w:t>
      </w:r>
    </w:p>
    <w:p>
      <w:pPr>
        <w:spacing w:after="0" w:line="45"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agreement with the International Olympic Committee to extend NBCUniversal’s broadcast rights of the Olympic Games from 2022 through 2032 for $7.75 billion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Warner Cable Merger</w:t>
      </w:r>
    </w:p>
    <w:p>
      <w:pPr>
        <w:spacing w:after="0" w:line="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February 12, 2014, we entered into an agreement and plan of merger (the “merger agreement”) with Time Warner Cable Inc. (“Time Warner Cable”) whereby Time Warner Cable will become our wholly owned subsidiary (the “Time Warner Cable merger”). Time Warner Cable stockholders will receive, in exchange for each share of Time Warner Cable common stock owned immediately prior to the Time Warner Cable merger, 2.875 shares of our Class A common stock. We estimate that at the time of closing, Time Warner Cable stockholders will own approximately 24% of the outstanding shares of our common stock. Because the exchange ratio was fixed at the time of the merger agreement and the market value of our Class A common stock will continue to fluctuate, the number of shares of Class A common stock to be issued and the total value of the consideration exchanged will not be determinable until the closing date. The Time Warner Cable merger was approved by Comcast shareholders on October 8, 2014 and by Time Warner Cable stockholders on October 9, 2014. The Time Warner Cable merger remains subject to regulatory review and other customary conditions and is expected to close in early 2015.</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 Transactions</w:t>
      </w:r>
    </w:p>
    <w:p>
      <w:pPr>
        <w:spacing w:after="0" w:line="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terms of the merger agreement contemplate that we are prepared to divest systems serving up to approximately 3 million video customers of our company following the Time Warner Cable merger in order to obtain applicable regulatory approvals. As a result of this commitment, on April 25, 2014, we entered into a transactions agreement with Charter Communications, Inc. (“Charter”) that, if consummated, would satisfy the divestiture undertaking. Under the transactions agreement, following the close of the Time Warner Cable merger and subject to various conditions, we would divest cable systems resulting in a net disposition of approximately 3.9 million video customers through three transactions: (1) a spin-off of cable systems serving approximately 2.5 million of our video customers (the “spin-off transaction”) into a newly formed public entity (“SpinCo”), (2) an exchange of cable systems serving approximately 1.5 million Time Warner Cable video customers for cable systems serving approximately 1.7 million Charter video customers, and (3) a sale to Charter of cable systems serving approximately 1.5 million Time Warner Cable video customers for cash (collectively, the “divestiture transactions”).</w:t>
      </w:r>
    </w:p>
    <w:p>
      <w:pPr>
        <w:spacing w:after="0" w:line="2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connection with the spin-off transaction and prior to the spin-off, it is expected that SpinCo will incur new debt to fund a cash distribution to us and to issue notes to us, which notes will enable us to then retire a portion of our debt. In the spin-off transaction, we will distribute common stock of SpinCo pro rata to the holders of all of our outstanding common stock, including the former Time Warner Cable stockholders who continue to hold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shares through the record date of the spin-off transaction. After the spin-off transaction, a newly formed, wholly owned indirect subsidiary of Charter will merge with and into Charter with the effect that all shares of Charter will be converted into shares of a new holding company, which will survive as the publicly traded parent company of Charter (“New Charter”). New Charter will then acquire an interest in SpinCo by issuing New Charter stock in exchange for a portion of the outstanding SpinCo stock, following which it is expected that Comcast shareholders will own approximately 67% of SpinCo and New Charter will own approximately 33% of SpinCo. In addition, it is expected that Comcast shareholders will own approximately 10% of New Charter, though the actual percentage of New Charter that will be owned by Comcast shareholders will depend on a number of factors, some of which will not be known until the completion of the divestiture transactions. Following the close of the divestiture transactions, we will no longer have any ownership interest in SpinCo.</w:t>
      </w:r>
    </w:p>
    <w:p>
      <w:pPr>
        <w:spacing w:after="0" w:line="2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close of the divestiture transactions is subject to the completion of the Time Warner Cable merger, Charter stockholder approval, completion of the SpinCo financing transactions, regulatory approvals and other customary conditions. The Time Warner Cable merger and the divestiture transactions are subject to separate conditions, and the Time Warner Cable merger can be completed regardless of whether the divestiture transactions are ultimately completed.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results of operations of our reportable business segments are affected by competition, as all of our businesses operate in competitive, consumer-driven and rapidly changing environments and compete with a growing number of companies that provide a broad range of communications products and services and entertainment, news and information content to consumers. Additionally, there continue to be new companies with significant financial resources that potentially may compete on a larger scale with our cable services, as well as with our cable and broadcast networks and filmed entertainment businesses.</w:t>
      </w:r>
    </w:p>
    <w:p>
      <w:pPr>
        <w:spacing w:after="0" w:line="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Competition for the cable services we offer consists primarily of direct broadcast satellite (“DBS”) providers, which have a national footprint and compete in all of our service areas, and phone companies with fiber-based networks, which overlap over 50% of our service areas and are continuing to expand their fiber-based networks. We also compete with other providers of traditional cable services. All of these companies typically offer features, pricing and packaging for services comparable to our cable services.</w:t>
      </w:r>
    </w:p>
    <w:p>
      <w:pPr>
        <w:spacing w:after="0" w:line="4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Each of NBCUniversal’s businesses also faces substantial and increasing competition from providers of similar types of content, as well as from other forms of entertainment and recreational activities. NBCUniversal also must compete to obtain talent, programming and other resources required in operating these businesses.</w:t>
      </w:r>
    </w:p>
    <w:p>
      <w:pPr>
        <w:spacing w:after="0" w:line="4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Technological changes are further intensifying and complicating the competitive landscape for all of our businesses by challenging existing business models and affecting consumer behavior. Services and devices that enable online digital distribution of movies, television shows, and other cable and broadcast video programming continue to gain consumer acceptance and evolve, including some services that charge a nominal or no fee for such programming. These services and devices may negatively affect demand for our video services, as well as demand for our cable network, broadcast television and filmed entertainment content, as the number of entertainment choices available to consumers increases and intensifies challenges posed by audience fragmentation. Wireless services and devices also continue to evolve that allow consumers to access information, entertainment and communication services, which could negatively impact demand for our cable services, including for our voice services as people substitute mobile phones for landline phones. In addition, delayed viewing and advertising skipping have become more common as the penetration of digital video recorders (“DVRs”) and similar products has increased and as content has become increasingly available via video-on-demand services and Internet sources, which may have a negative impact on our advertising revenue.</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our Cable Communications segment, we believe that adding more content and delivering it on an increasing variety of platforms will assist in attracting and retaining customers for our cable services. To further enhance our video and high-speed Internet services, we continue to develop and launch new technology initiatives, such as our X1 platform and Cloud DVR technology, and deploy new wireless gateway devices. In our NBCUniversal segments, to compete for consumers of our content and for customers at our theme parks, we have invested, and will continue to invest, substantial amounts in acquiring content and producing original content for our cable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networks and broadcast television networks, including the acquisition of sports rights, and will continue to invest in our film productions and in the development of new theme park attractions.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our businesses is subject to seasonal and cyclical variations. In our Cable Communications segment, our results are impacted by the seasonal nature of customers receiving our cable services in college and vacation markets. This generally results in a reduction in net customer additions in the second calendar quarter and an increase in net customer additions in the third and fourth calendar quarters of each year.</w:t>
      </w:r>
    </w:p>
    <w:p>
      <w:pPr>
        <w:spacing w:after="0" w:line="4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Revenue in our Cable Communications, Cable Networks and Broadcast Television segments is subject to cyclicality, with a benefit in even-numbered years from advertising related to candidates running for political office and issue-oriented advertising. Revenue and operating costs and expenses in our Cable Networks and Broadcast Television segments are also cyclical as a result of our periodic broadcasts of the Olympic Games and the Super Bowl. Our advertising revenue generally increases in the period of these broadcasts as a result of increased demand for advertising time, and our operating costs and expenses also increase as a result of our production costs and the amortization of the related rights fees.</w:t>
      </w:r>
    </w:p>
    <w:p>
      <w:pPr>
        <w:spacing w:after="0" w:line="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Revenue in our Filmed Entertainment segment fluctuates due to the timing of the release of films in movie theaters and the release of our films on DVD and through digital distributors. Release dates are determined by several factors, including competition and the timing of vacation and holiday periods. As a result, revenue tends to be seasonal, with increases experienced each year during the summer months and around the holidays. Revenue in our Cable Networks and Broadcast Television segments fluctuates depending on the timing of when our programming is aired on television, which typically results in higher advertising revenue in the second and fourth calendar quarters of each year. Revenue in our Cable Networks, Broadcast Television and Filmed Entertainment segments also fluctuates due to the timing of when our owned content is made available to licensees.</w:t>
      </w:r>
    </w:p>
    <w:p>
      <w:pPr>
        <w:spacing w:after="0" w:line="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in our Theme Parks segment fluctuates with changes in theme park attendance that result from the seasonal nature of vacation travel, local entertainment offerings and seasonal weather variations. Our theme parks generally experience peak attendance during the summer months when schools are closed and during early winter and spring holiday periods.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3"/>
          </w:tcPr>
          <w:p>
            <w:pPr>
              <w:jc w:val="right"/>
              <w:ind w:right="254"/>
              <w:spacing w:after="0"/>
              <w:rPr>
                <w:sz w:val="20"/>
                <w:szCs w:val="20"/>
                <w:color w:val="auto"/>
              </w:rPr>
            </w:pPr>
            <w:r>
              <w:rPr>
                <w:rFonts w:ascii="Arial" w:cs="Arial" w:eastAsia="Arial" w:hAnsi="Arial"/>
                <w:sz w:val="14"/>
                <w:szCs w:val="14"/>
                <w:color w:val="auto"/>
                <w:w w:val="91"/>
              </w:rPr>
              <w:t>Three Months Ended</w:t>
            </w:r>
          </w:p>
        </w:tc>
        <w:tc>
          <w:tcPr>
            <w:tcW w:w="1020" w:type="dxa"/>
            <w:vAlign w:val="bottom"/>
          </w:tcPr>
          <w:p>
            <w:pPr>
              <w:jc w:val="right"/>
              <w:ind w:right="275"/>
              <w:spacing w:after="0"/>
              <w:rPr>
                <w:sz w:val="20"/>
                <w:szCs w:val="20"/>
                <w:color w:val="auto"/>
              </w:rPr>
            </w:pPr>
            <w:r>
              <w:rPr>
                <w:rFonts w:ascii="Arial" w:cs="Arial" w:eastAsia="Arial" w:hAnsi="Arial"/>
                <w:sz w:val="14"/>
                <w:szCs w:val="14"/>
                <w:color w:val="auto"/>
              </w:rPr>
              <w:t>Increase/</w:t>
            </w:r>
          </w:p>
        </w:tc>
        <w:tc>
          <w:tcPr>
            <w:tcW w:w="220" w:type="dxa"/>
            <w:vAlign w:val="bottom"/>
          </w:tcPr>
          <w:p>
            <w:pPr>
              <w:spacing w:after="0"/>
              <w:rPr>
                <w:sz w:val="14"/>
                <w:szCs w:val="14"/>
                <w:color w:val="auto"/>
              </w:rPr>
            </w:pPr>
          </w:p>
        </w:tc>
        <w:tc>
          <w:tcPr>
            <w:tcW w:w="1580" w:type="dxa"/>
            <w:vAlign w:val="bottom"/>
            <w:gridSpan w:val="3"/>
          </w:tcPr>
          <w:p>
            <w:pPr>
              <w:jc w:val="right"/>
              <w:ind w:right="294"/>
              <w:spacing w:after="0"/>
              <w:rPr>
                <w:sz w:val="20"/>
                <w:szCs w:val="20"/>
                <w:color w:val="auto"/>
              </w:rPr>
            </w:pPr>
            <w:r>
              <w:rPr>
                <w:rFonts w:ascii="Arial" w:cs="Arial" w:eastAsia="Arial" w:hAnsi="Arial"/>
                <w:sz w:val="14"/>
                <w:szCs w:val="14"/>
                <w:color w:val="auto"/>
                <w:w w:val="95"/>
              </w:rPr>
              <w:t>Nine Months Ended</w:t>
            </w:r>
          </w:p>
        </w:tc>
        <w:tc>
          <w:tcPr>
            <w:tcW w:w="940" w:type="dxa"/>
            <w:vAlign w:val="bottom"/>
          </w:tcPr>
          <w:p>
            <w:pPr>
              <w:jc w:val="right"/>
              <w:ind w:right="195"/>
              <w:spacing w:after="0"/>
              <w:rPr>
                <w:sz w:val="20"/>
                <w:szCs w:val="20"/>
                <w:color w:val="auto"/>
              </w:rPr>
            </w:pPr>
            <w:r>
              <w:rPr>
                <w:rFonts w:ascii="Arial" w:cs="Arial" w:eastAsia="Arial" w:hAnsi="Arial"/>
                <w:sz w:val="14"/>
                <w:szCs w:val="14"/>
                <w:color w:val="auto"/>
              </w:rPr>
              <w:t>Increase/</w:t>
            </w:r>
          </w:p>
        </w:tc>
      </w:tr>
      <w:tr>
        <w:trPr>
          <w:trHeight w:val="159"/>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454"/>
              <w:spacing w:after="0" w:line="159" w:lineRule="exact"/>
              <w:rPr>
                <w:sz w:val="20"/>
                <w:szCs w:val="20"/>
                <w:color w:val="auto"/>
              </w:rPr>
            </w:pPr>
            <w:r>
              <w:rPr>
                <w:rFonts w:ascii="Arial" w:cs="Arial" w:eastAsia="Arial" w:hAnsi="Arial"/>
                <w:sz w:val="14"/>
                <w:szCs w:val="14"/>
                <w:color w:val="auto"/>
              </w:rPr>
              <w:t>September 30</w:t>
            </w:r>
          </w:p>
        </w:tc>
        <w:tc>
          <w:tcPr>
            <w:tcW w:w="1020" w:type="dxa"/>
            <w:vAlign w:val="bottom"/>
            <w:tcBorders>
              <w:bottom w:val="single" w:sz="8" w:color="auto"/>
            </w:tcBorders>
          </w:tcPr>
          <w:p>
            <w:pPr>
              <w:jc w:val="right"/>
              <w:ind w:right="215"/>
              <w:spacing w:after="0" w:line="159" w:lineRule="exact"/>
              <w:rPr>
                <w:sz w:val="20"/>
                <w:szCs w:val="20"/>
                <w:color w:val="auto"/>
              </w:rPr>
            </w:pPr>
            <w:r>
              <w:rPr>
                <w:rFonts w:ascii="Arial" w:cs="Arial" w:eastAsia="Arial" w:hAnsi="Arial"/>
                <w:sz w:val="14"/>
                <w:szCs w:val="14"/>
                <w:color w:val="auto"/>
              </w:rPr>
              <w:t>(Decrease)</w:t>
            </w:r>
          </w:p>
        </w:tc>
        <w:tc>
          <w:tcPr>
            <w:tcW w:w="2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474"/>
              <w:spacing w:after="0" w:line="159" w:lineRule="exact"/>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jc w:val="right"/>
              <w:ind w:right="155"/>
              <w:spacing w:after="0" w:line="159" w:lineRule="exact"/>
              <w:rPr>
                <w:sz w:val="20"/>
                <w:szCs w:val="20"/>
                <w:color w:val="auto"/>
              </w:rPr>
            </w:pPr>
            <w:r>
              <w:rPr>
                <w:rFonts w:ascii="Arial" w:cs="Arial" w:eastAsia="Arial" w:hAnsi="Arial"/>
                <w:sz w:val="14"/>
                <w:szCs w:val="14"/>
                <w:color w:val="auto"/>
                <w:w w:val="98"/>
              </w:rPr>
              <w:t>(Decrease)</w:t>
            </w:r>
          </w:p>
        </w:tc>
      </w:tr>
      <w:tr>
        <w:trPr>
          <w:trHeight w:val="237"/>
        </w:trPr>
        <w:tc>
          <w:tcPr>
            <w:tcW w:w="58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20"/>
                <w:szCs w:val="20"/>
                <w:color w:val="auto"/>
              </w:rPr>
            </w:pPr>
          </w:p>
        </w:tc>
        <w:tc>
          <w:tcPr>
            <w:tcW w:w="660" w:type="dxa"/>
            <w:vAlign w:val="bottom"/>
          </w:tcPr>
          <w:p>
            <w:pPr>
              <w:jc w:val="right"/>
              <w:ind w:right="256"/>
              <w:spacing w:after="0"/>
              <w:rPr>
                <w:sz w:val="20"/>
                <w:szCs w:val="20"/>
                <w:color w:val="auto"/>
              </w:rPr>
            </w:pPr>
            <w:r>
              <w:rPr>
                <w:rFonts w:ascii="Arial" w:cs="Arial" w:eastAsia="Arial" w:hAnsi="Arial"/>
                <w:sz w:val="14"/>
                <w:szCs w:val="14"/>
                <w:color w:val="auto"/>
                <w:w w:val="96"/>
              </w:rPr>
              <w:t>2014</w:t>
            </w:r>
          </w:p>
        </w:tc>
        <w:tc>
          <w:tcPr>
            <w:tcW w:w="220" w:type="dxa"/>
            <w:vAlign w:val="bottom"/>
          </w:tcPr>
          <w:p>
            <w:pPr>
              <w:spacing w:after="0"/>
              <w:rPr>
                <w:sz w:val="20"/>
                <w:szCs w:val="20"/>
                <w:color w:val="auto"/>
              </w:rPr>
            </w:pPr>
          </w:p>
        </w:tc>
        <w:tc>
          <w:tcPr>
            <w:tcW w:w="680" w:type="dxa"/>
            <w:vAlign w:val="bottom"/>
          </w:tcPr>
          <w:p>
            <w:pPr>
              <w:jc w:val="right"/>
              <w:ind w:right="254"/>
              <w:spacing w:after="0"/>
              <w:rPr>
                <w:sz w:val="20"/>
                <w:szCs w:val="20"/>
                <w:color w:val="auto"/>
              </w:rPr>
            </w:pPr>
            <w:r>
              <w:rPr>
                <w:rFonts w:ascii="Arial" w:cs="Arial" w:eastAsia="Arial" w:hAnsi="Arial"/>
                <w:sz w:val="14"/>
                <w:szCs w:val="14"/>
                <w:color w:val="auto"/>
              </w:rPr>
              <w:t>2013</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56"/>
              <w:spacing w:after="0"/>
              <w:rPr>
                <w:sz w:val="20"/>
                <w:szCs w:val="20"/>
                <w:color w:val="auto"/>
              </w:rPr>
            </w:pPr>
            <w:r>
              <w:rPr>
                <w:rFonts w:ascii="Arial" w:cs="Arial" w:eastAsia="Arial" w:hAnsi="Arial"/>
                <w:sz w:val="14"/>
                <w:szCs w:val="14"/>
                <w:color w:val="auto"/>
              </w:rPr>
              <w:t>2014</w:t>
            </w:r>
          </w:p>
        </w:tc>
        <w:tc>
          <w:tcPr>
            <w:tcW w:w="220" w:type="dxa"/>
            <w:vAlign w:val="bottom"/>
          </w:tcPr>
          <w:p>
            <w:pPr>
              <w:spacing w:after="0"/>
              <w:rPr>
                <w:sz w:val="20"/>
                <w:szCs w:val="20"/>
                <w:color w:val="auto"/>
              </w:rPr>
            </w:pPr>
          </w:p>
        </w:tc>
        <w:tc>
          <w:tcPr>
            <w:tcW w:w="680" w:type="dxa"/>
            <w:vAlign w:val="bottom"/>
          </w:tcPr>
          <w:p>
            <w:pPr>
              <w:jc w:val="right"/>
              <w:ind w:right="254"/>
              <w:spacing w:after="0"/>
              <w:rPr>
                <w:sz w:val="20"/>
                <w:szCs w:val="20"/>
                <w:color w:val="auto"/>
              </w:rPr>
            </w:pPr>
            <w:r>
              <w:rPr>
                <w:rFonts w:ascii="Arial" w:cs="Arial" w:eastAsia="Arial" w:hAnsi="Arial"/>
                <w:sz w:val="14"/>
                <w:szCs w:val="14"/>
                <w:color w:val="auto"/>
              </w:rPr>
              <w:t>2013</w:t>
            </w:r>
          </w:p>
        </w:tc>
        <w:tc>
          <w:tcPr>
            <w:tcW w:w="94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w w:val="83"/>
              </w:rPr>
              <w:t>16,791</w:t>
            </w:r>
          </w:p>
        </w:tc>
        <w:tc>
          <w:tcPr>
            <w:tcW w:w="2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87"/>
              </w:rPr>
              <w:t>16,151</w:t>
            </w:r>
          </w:p>
        </w:tc>
        <w:tc>
          <w:tcPr>
            <w:tcW w:w="1020" w:type="dxa"/>
            <w:vAlign w:val="bottom"/>
            <w:tcBorders>
              <w:top w:val="single" w:sz="8" w:color="auto"/>
            </w:tcBorders>
            <w:shd w:val="clear" w:color="auto" w:fill="E5E5E5"/>
          </w:tcPr>
          <w:p>
            <w:pPr>
              <w:jc w:val="right"/>
              <w:ind w:right="75"/>
              <w:spacing w:after="0"/>
              <w:rPr>
                <w:sz w:val="20"/>
                <w:szCs w:val="20"/>
                <w:color w:val="auto"/>
              </w:rPr>
            </w:pPr>
            <w:r>
              <w:rPr>
                <w:rFonts w:ascii="Arial" w:cs="Arial" w:eastAsia="Arial" w:hAnsi="Arial"/>
                <w:sz w:val="18"/>
                <w:szCs w:val="18"/>
                <w:color w:val="auto"/>
              </w:rPr>
              <w:t>4.0%</w:t>
            </w:r>
          </w:p>
        </w:tc>
        <w:tc>
          <w:tcPr>
            <w:tcW w:w="2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w w:val="87"/>
              </w:rPr>
              <w:t>51,043</w:t>
            </w:r>
          </w:p>
        </w:tc>
        <w:tc>
          <w:tcPr>
            <w:tcW w:w="2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w w:val="83"/>
              </w:rPr>
              <w:t>47,731</w:t>
            </w:r>
          </w:p>
        </w:tc>
        <w:tc>
          <w:tcPr>
            <w:tcW w:w="9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rPr>
              <w:t>4,772</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4,787</w:t>
            </w:r>
          </w:p>
        </w:tc>
        <w:tc>
          <w:tcPr>
            <w:tcW w:w="10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(0.3)</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w w:val="87"/>
              </w:rPr>
              <w:t>15,554</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w w:val="83"/>
              </w:rPr>
              <w:t>14,418</w:t>
            </w:r>
          </w:p>
        </w:tc>
        <w:tc>
          <w:tcPr>
            <w:tcW w:w="9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7.9</w:t>
            </w: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300" w:type="dxa"/>
            <w:vAlign w:val="bottom"/>
          </w:tcPr>
          <w:p>
            <w:pPr>
              <w:spacing w:after="0"/>
              <w:rPr>
                <w:sz w:val="18"/>
                <w:szCs w:val="18"/>
                <w:color w:val="auto"/>
              </w:rPr>
            </w:pPr>
          </w:p>
        </w:tc>
        <w:tc>
          <w:tcPr>
            <w:tcW w:w="660" w:type="dxa"/>
            <w:vAlign w:val="bottom"/>
          </w:tcPr>
          <w:p>
            <w:pPr>
              <w:jc w:val="right"/>
              <w:ind w:right="96"/>
              <w:spacing w:after="0"/>
              <w:rPr>
                <w:sz w:val="20"/>
                <w:szCs w:val="20"/>
                <w:color w:val="auto"/>
              </w:rPr>
            </w:pPr>
            <w:r>
              <w:rPr>
                <w:rFonts w:ascii="Arial" w:cs="Arial" w:eastAsia="Arial" w:hAnsi="Arial"/>
                <w:sz w:val="18"/>
                <w:szCs w:val="18"/>
                <w:color w:val="auto"/>
              </w:rPr>
              <w:t>5,019</w:t>
            </w:r>
          </w:p>
        </w:tc>
        <w:tc>
          <w:tcPr>
            <w:tcW w:w="220" w:type="dxa"/>
            <w:vAlign w:val="bottom"/>
          </w:tcPr>
          <w:p>
            <w:pPr>
              <w:spacing w:after="0"/>
              <w:rPr>
                <w:sz w:val="18"/>
                <w:szCs w:val="18"/>
                <w:color w:val="auto"/>
              </w:rPr>
            </w:pPr>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4,751</w:t>
            </w:r>
          </w:p>
        </w:tc>
        <w:tc>
          <w:tcPr>
            <w:tcW w:w="1020" w:type="dxa"/>
            <w:vAlign w:val="bottom"/>
          </w:tcPr>
          <w:p>
            <w:pPr>
              <w:jc w:val="right"/>
              <w:ind w:right="215"/>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18"/>
                <w:szCs w:val="18"/>
                <w:color w:val="auto"/>
                <w:w w:val="87"/>
              </w:rPr>
              <w:t>14,695</w:t>
            </w:r>
          </w:p>
        </w:tc>
        <w:tc>
          <w:tcPr>
            <w:tcW w:w="22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w w:val="83"/>
              </w:rPr>
              <w:t>13,787</w:t>
            </w: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6.6</w:t>
            </w:r>
          </w:p>
        </w:tc>
      </w:tr>
      <w:tr>
        <w:trPr>
          <w:trHeight w:val="216"/>
        </w:trPr>
        <w:tc>
          <w:tcPr>
            <w:tcW w:w="20" w:type="dxa"/>
            <w:vAlign w:val="bottom"/>
          </w:tcPr>
          <w:p>
            <w:pPr>
              <w:spacing w:after="0"/>
              <w:rPr>
                <w:sz w:val="18"/>
                <w:szCs w:val="18"/>
                <w:color w:val="auto"/>
              </w:rPr>
            </w:pPr>
          </w:p>
        </w:tc>
        <w:tc>
          <w:tcPr>
            <w:tcW w:w="57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rPr>
              <w:t>1,296</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1,283</w:t>
            </w:r>
          </w:p>
        </w:tc>
        <w:tc>
          <w:tcPr>
            <w:tcW w:w="102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0.9</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rPr>
              <w:t>3,748</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3,737</w:t>
            </w:r>
          </w:p>
        </w:tc>
        <w:tc>
          <w:tcPr>
            <w:tcW w:w="9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8"/>
                <w:szCs w:val="18"/>
                <w:color w:val="auto"/>
              </w:rPr>
            </w:pPr>
          </w:p>
        </w:tc>
        <w:tc>
          <w:tcPr>
            <w:tcW w:w="660" w:type="dxa"/>
            <w:vAlign w:val="bottom"/>
          </w:tcPr>
          <w:p>
            <w:pPr>
              <w:jc w:val="right"/>
              <w:ind w:right="96"/>
              <w:spacing w:after="0"/>
              <w:rPr>
                <w:sz w:val="20"/>
                <w:szCs w:val="20"/>
                <w:color w:val="auto"/>
              </w:rPr>
            </w:pPr>
            <w:r>
              <w:rPr>
                <w:rFonts w:ascii="Arial" w:cs="Arial" w:eastAsia="Arial" w:hAnsi="Arial"/>
                <w:sz w:val="18"/>
                <w:szCs w:val="18"/>
                <w:color w:val="auto"/>
              </w:rPr>
              <w:t>1,539</w:t>
            </w:r>
          </w:p>
        </w:tc>
        <w:tc>
          <w:tcPr>
            <w:tcW w:w="220" w:type="dxa"/>
            <w:vAlign w:val="bottom"/>
          </w:tcPr>
          <w:p>
            <w:pPr>
              <w:spacing w:after="0"/>
              <w:rPr>
                <w:sz w:val="18"/>
                <w:szCs w:val="18"/>
                <w:color w:val="auto"/>
              </w:rPr>
            </w:pPr>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1,520</w:t>
            </w:r>
          </w:p>
        </w:tc>
        <w:tc>
          <w:tcPr>
            <w:tcW w:w="1020" w:type="dxa"/>
            <w:vAlign w:val="bottom"/>
          </w:tcPr>
          <w:p>
            <w:pPr>
              <w:jc w:val="right"/>
              <w:ind w:right="215"/>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18"/>
                <w:szCs w:val="18"/>
                <w:color w:val="auto"/>
              </w:rPr>
              <w:t>4,707</w:t>
            </w:r>
          </w:p>
        </w:tc>
        <w:tc>
          <w:tcPr>
            <w:tcW w:w="22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4,669</w:t>
            </w: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0.8</w:t>
            </w:r>
          </w:p>
        </w:tc>
      </w:tr>
      <w:tr>
        <w:trPr>
          <w:trHeight w:val="216"/>
        </w:trPr>
        <w:tc>
          <w:tcPr>
            <w:tcW w:w="20" w:type="dxa"/>
            <w:vAlign w:val="bottom"/>
          </w:tcPr>
          <w:p>
            <w:pPr>
              <w:spacing w:after="0"/>
              <w:rPr>
                <w:sz w:val="18"/>
                <w:szCs w:val="18"/>
                <w:color w:val="auto"/>
              </w:rPr>
            </w:pPr>
          </w:p>
        </w:tc>
        <w:tc>
          <w:tcPr>
            <w:tcW w:w="57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3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rPr>
              <w:t>420</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396</w:t>
            </w:r>
          </w:p>
        </w:tc>
        <w:tc>
          <w:tcPr>
            <w:tcW w:w="102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rPr>
              <w:t>1,222</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1,204</w:t>
            </w:r>
          </w:p>
        </w:tc>
        <w:tc>
          <w:tcPr>
            <w:tcW w:w="94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1.6</w:t>
            </w:r>
          </w:p>
        </w:tc>
      </w:tr>
      <w:tr>
        <w:trPr>
          <w:trHeight w:val="210"/>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Pr>
          <w:p>
            <w:pPr>
              <w:spacing w:after="0"/>
              <w:rPr>
                <w:sz w:val="18"/>
                <w:szCs w:val="18"/>
                <w:color w:val="auto"/>
              </w:rPr>
            </w:pPr>
          </w:p>
        </w:tc>
        <w:tc>
          <w:tcPr>
            <w:tcW w:w="660" w:type="dxa"/>
            <w:vAlign w:val="bottom"/>
          </w:tcPr>
          <w:p>
            <w:pPr>
              <w:jc w:val="right"/>
              <w:ind w:right="96"/>
              <w:spacing w:after="0"/>
              <w:rPr>
                <w:sz w:val="20"/>
                <w:szCs w:val="20"/>
                <w:color w:val="auto"/>
              </w:rPr>
            </w:pPr>
            <w:r>
              <w:rPr>
                <w:rFonts w:ascii="Arial" w:cs="Arial" w:eastAsia="Arial" w:hAnsi="Arial"/>
                <w:sz w:val="18"/>
                <w:szCs w:val="18"/>
                <w:color w:val="auto"/>
              </w:rPr>
              <w:t>3,745</w:t>
            </w:r>
          </w:p>
        </w:tc>
        <w:tc>
          <w:tcPr>
            <w:tcW w:w="220" w:type="dxa"/>
            <w:vAlign w:val="bottom"/>
          </w:tcPr>
          <w:p>
            <w:pPr>
              <w:spacing w:after="0"/>
              <w:rPr>
                <w:sz w:val="18"/>
                <w:szCs w:val="18"/>
                <w:color w:val="auto"/>
              </w:rPr>
            </w:pPr>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3,414</w:t>
            </w:r>
          </w:p>
        </w:tc>
        <w:tc>
          <w:tcPr>
            <w:tcW w:w="1020" w:type="dxa"/>
            <w:vAlign w:val="bottom"/>
          </w:tcPr>
          <w:p>
            <w:pPr>
              <w:jc w:val="right"/>
              <w:ind w:right="215"/>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18"/>
                <w:szCs w:val="18"/>
                <w:color w:val="auto"/>
                <w:w w:val="87"/>
              </w:rPr>
              <w:t>11,117</w:t>
            </w:r>
          </w:p>
        </w:tc>
        <w:tc>
          <w:tcPr>
            <w:tcW w:w="22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9,916</w:t>
            </w: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12.1</w:t>
            </w:r>
          </w:p>
        </w:tc>
      </w:tr>
      <w:tr>
        <w:trPr>
          <w:trHeight w:val="216"/>
        </w:trPr>
        <w:tc>
          <w:tcPr>
            <w:tcW w:w="20" w:type="dxa"/>
            <w:vAlign w:val="bottom"/>
          </w:tcPr>
          <w:p>
            <w:pPr>
              <w:spacing w:after="0"/>
              <w:rPr>
                <w:sz w:val="18"/>
                <w:szCs w:val="18"/>
                <w:color w:val="auto"/>
              </w:rPr>
            </w:pPr>
          </w:p>
        </w:tc>
        <w:tc>
          <w:tcPr>
            <w:tcW w:w="57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income (expense) items, net</w:t>
            </w:r>
          </w:p>
        </w:tc>
        <w:tc>
          <w:tcPr>
            <w:tcW w:w="3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color w:val="auto"/>
              </w:rPr>
              <w:t>(705)</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(615)</w:t>
            </w:r>
          </w:p>
        </w:tc>
        <w:tc>
          <w:tcPr>
            <w:tcW w:w="102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14.5</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color w:val="auto"/>
                <w:w w:val="94"/>
              </w:rPr>
              <w:t>(1,762)</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w w:val="91"/>
              </w:rPr>
              <w:t>(1,755)</w:t>
            </w:r>
          </w:p>
        </w:tc>
        <w:tc>
          <w:tcPr>
            <w:tcW w:w="94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0.3</w:t>
            </w:r>
          </w:p>
        </w:tc>
      </w:tr>
      <w:tr>
        <w:trPr>
          <w:trHeight w:val="210"/>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18"/>
                <w:szCs w:val="18"/>
                <w:color w:val="auto"/>
              </w:rPr>
            </w:pPr>
          </w:p>
        </w:tc>
        <w:tc>
          <w:tcPr>
            <w:tcW w:w="660" w:type="dxa"/>
            <w:vAlign w:val="bottom"/>
          </w:tcPr>
          <w:p>
            <w:pPr>
              <w:jc w:val="right"/>
              <w:ind w:right="96"/>
              <w:spacing w:after="0"/>
              <w:rPr>
                <w:sz w:val="20"/>
                <w:szCs w:val="20"/>
                <w:color w:val="auto"/>
              </w:rPr>
            </w:pPr>
            <w:r>
              <w:rPr>
                <w:rFonts w:ascii="Arial" w:cs="Arial" w:eastAsia="Arial" w:hAnsi="Arial"/>
                <w:sz w:val="18"/>
                <w:szCs w:val="18"/>
                <w:color w:val="auto"/>
              </w:rPr>
              <w:t>3,040</w:t>
            </w:r>
          </w:p>
        </w:tc>
        <w:tc>
          <w:tcPr>
            <w:tcW w:w="220" w:type="dxa"/>
            <w:vAlign w:val="bottom"/>
          </w:tcPr>
          <w:p>
            <w:pPr>
              <w:spacing w:after="0"/>
              <w:rPr>
                <w:sz w:val="18"/>
                <w:szCs w:val="18"/>
                <w:color w:val="auto"/>
              </w:rPr>
            </w:pPr>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2,799</w:t>
            </w:r>
          </w:p>
        </w:tc>
        <w:tc>
          <w:tcPr>
            <w:tcW w:w="1020" w:type="dxa"/>
            <w:vAlign w:val="bottom"/>
          </w:tcPr>
          <w:p>
            <w:pPr>
              <w:jc w:val="right"/>
              <w:ind w:right="215"/>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18"/>
                <w:szCs w:val="18"/>
                <w:color w:val="auto"/>
              </w:rPr>
              <w:t>9,355</w:t>
            </w:r>
          </w:p>
        </w:tc>
        <w:tc>
          <w:tcPr>
            <w:tcW w:w="22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8,161</w:t>
            </w: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14.6</w:t>
            </w:r>
          </w:p>
        </w:tc>
      </w:tr>
      <w:tr>
        <w:trPr>
          <w:trHeight w:val="216"/>
        </w:trPr>
        <w:tc>
          <w:tcPr>
            <w:tcW w:w="20" w:type="dxa"/>
            <w:vAlign w:val="bottom"/>
          </w:tcPr>
          <w:p>
            <w:pPr>
              <w:spacing w:after="0"/>
              <w:rPr>
                <w:sz w:val="18"/>
                <w:szCs w:val="18"/>
                <w:color w:val="auto"/>
              </w:rPr>
            </w:pPr>
          </w:p>
        </w:tc>
        <w:tc>
          <w:tcPr>
            <w:tcW w:w="57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color w:val="auto"/>
              </w:rPr>
              <w:t>(407)</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w w:val="94"/>
              </w:rPr>
              <w:t>(1,021)</w:t>
            </w:r>
          </w:p>
        </w:tc>
        <w:tc>
          <w:tcPr>
            <w:tcW w:w="102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(60.1)</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color w:val="auto"/>
                <w:w w:val="94"/>
              </w:rPr>
              <w:t>(2,759)</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w w:val="91"/>
              </w:rPr>
              <w:t>(2,994)</w:t>
            </w:r>
          </w:p>
        </w:tc>
        <w:tc>
          <w:tcPr>
            <w:tcW w:w="94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(7.8)</w:t>
            </w:r>
          </w:p>
        </w:tc>
      </w:tr>
      <w:tr>
        <w:trPr>
          <w:trHeight w:val="210"/>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8"/>
                <w:szCs w:val="18"/>
                <w:color w:val="auto"/>
              </w:rPr>
            </w:pPr>
          </w:p>
        </w:tc>
        <w:tc>
          <w:tcPr>
            <w:tcW w:w="660" w:type="dxa"/>
            <w:vAlign w:val="bottom"/>
          </w:tcPr>
          <w:p>
            <w:pPr>
              <w:jc w:val="right"/>
              <w:ind w:right="96"/>
              <w:spacing w:after="0"/>
              <w:rPr>
                <w:sz w:val="20"/>
                <w:szCs w:val="20"/>
                <w:color w:val="auto"/>
              </w:rPr>
            </w:pPr>
            <w:r>
              <w:rPr>
                <w:rFonts w:ascii="Arial" w:cs="Arial" w:eastAsia="Arial" w:hAnsi="Arial"/>
                <w:sz w:val="18"/>
                <w:szCs w:val="18"/>
                <w:color w:val="auto"/>
              </w:rPr>
              <w:t>2,633</w:t>
            </w:r>
          </w:p>
        </w:tc>
        <w:tc>
          <w:tcPr>
            <w:tcW w:w="220" w:type="dxa"/>
            <w:vAlign w:val="bottom"/>
          </w:tcPr>
          <w:p>
            <w:pPr>
              <w:spacing w:after="0"/>
              <w:rPr>
                <w:sz w:val="18"/>
                <w:szCs w:val="18"/>
                <w:color w:val="auto"/>
              </w:rPr>
            </w:pPr>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1,778</w:t>
            </w:r>
          </w:p>
        </w:tc>
        <w:tc>
          <w:tcPr>
            <w:tcW w:w="1020" w:type="dxa"/>
            <w:vAlign w:val="bottom"/>
          </w:tcPr>
          <w:p>
            <w:pPr>
              <w:jc w:val="right"/>
              <w:ind w:right="215"/>
              <w:spacing w:after="0"/>
              <w:rPr>
                <w:sz w:val="20"/>
                <w:szCs w:val="20"/>
                <w:color w:val="auto"/>
              </w:rPr>
            </w:pPr>
            <w:r>
              <w:rPr>
                <w:rFonts w:ascii="Arial" w:cs="Arial" w:eastAsia="Arial" w:hAnsi="Arial"/>
                <w:sz w:val="18"/>
                <w:szCs w:val="18"/>
                <w:color w:val="auto"/>
              </w:rPr>
              <w:t>48.0</w:t>
            </w:r>
          </w:p>
        </w:tc>
        <w:tc>
          <w:tcPr>
            <w:tcW w:w="22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18"/>
                <w:szCs w:val="18"/>
                <w:color w:val="auto"/>
              </w:rPr>
              <w:t>6,596</w:t>
            </w:r>
          </w:p>
        </w:tc>
        <w:tc>
          <w:tcPr>
            <w:tcW w:w="22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5,167</w:t>
            </w: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27.7</w:t>
            </w:r>
          </w:p>
        </w:tc>
      </w:tr>
      <w:tr>
        <w:trPr>
          <w:trHeight w:val="208"/>
        </w:trPr>
        <w:tc>
          <w:tcPr>
            <w:tcW w:w="20" w:type="dxa"/>
            <w:vAlign w:val="bottom"/>
          </w:tcPr>
          <w:p>
            <w:pPr>
              <w:spacing w:after="0"/>
              <w:rPr>
                <w:sz w:val="18"/>
                <w:szCs w:val="18"/>
                <w:color w:val="auto"/>
              </w:rPr>
            </w:pPr>
          </w:p>
        </w:tc>
        <w:tc>
          <w:tcPr>
            <w:tcW w:w="5780" w:type="dxa"/>
            <w:vAlign w:val="bottom"/>
            <w:shd w:val="clear" w:color="auto" w:fill="E5E5E5"/>
          </w:tcPr>
          <w:p>
            <w:pPr>
              <w:spacing w:after="0"/>
              <w:rPr>
                <w:sz w:val="20"/>
                <w:szCs w:val="20"/>
                <w:color w:val="auto"/>
              </w:rPr>
            </w:pPr>
            <w:r>
              <w:rPr>
                <w:rFonts w:ascii="Arial" w:cs="Arial" w:eastAsia="Arial" w:hAnsi="Arial"/>
                <w:sz w:val="18"/>
                <w:szCs w:val="18"/>
                <w:color w:val="auto"/>
                <w:w w:val="99"/>
              </w:rPr>
              <w:t>Net (income) loss attributable to noncontrolling interests and redeemable</w:t>
            </w: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7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subsidiary preferred stock</w:t>
            </w:r>
          </w:p>
        </w:tc>
        <w:tc>
          <w:tcPr>
            <w:tcW w:w="300" w:type="dxa"/>
            <w:vAlign w:val="bottom"/>
            <w:tcBorders>
              <w:bottom w:val="single" w:sz="8" w:color="auto"/>
            </w:tcBorders>
            <w:shd w:val="clear" w:color="auto" w:fill="E5E5E5"/>
          </w:tcPr>
          <w:p>
            <w:pPr>
              <w:spacing w:after="0"/>
              <w:rPr>
                <w:sz w:val="19"/>
                <w:szCs w:val="19"/>
                <w:color w:val="auto"/>
              </w:rPr>
            </w:pPr>
          </w:p>
        </w:tc>
        <w:tc>
          <w:tcPr>
            <w:tcW w:w="66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auto"/>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(46)</w:t>
            </w:r>
          </w:p>
        </w:tc>
        <w:tc>
          <w:tcPr>
            <w:tcW w:w="102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(12.7)</w:t>
            </w:r>
          </w:p>
        </w:tc>
        <w:tc>
          <w:tcPr>
            <w:tcW w:w="220" w:type="dxa"/>
            <w:vAlign w:val="bottom"/>
            <w:tcBorders>
              <w:bottom w:val="single" w:sz="8" w:color="auto"/>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color w:val="auto"/>
              </w:rPr>
              <w:t>(141)</w:t>
            </w:r>
          </w:p>
        </w:tc>
        <w:tc>
          <w:tcPr>
            <w:tcW w:w="220" w:type="dxa"/>
            <w:vAlign w:val="bottom"/>
            <w:tcBorders>
              <w:bottom w:val="single" w:sz="8" w:color="auto"/>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(264)</w:t>
            </w:r>
          </w:p>
        </w:tc>
        <w:tc>
          <w:tcPr>
            <w:tcW w:w="94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(46.6)</w:t>
            </w:r>
          </w:p>
        </w:tc>
      </w:tr>
      <w:tr>
        <w:trPr>
          <w:trHeight w:val="219"/>
        </w:trPr>
        <w:tc>
          <w:tcPr>
            <w:tcW w:w="20" w:type="dxa"/>
            <w:vAlign w:val="bottom"/>
            <w:tcBorders>
              <w:bottom w:val="single" w:sz="8" w:color="auto"/>
            </w:tcBorders>
          </w:tcPr>
          <w:p>
            <w:pPr>
              <w:spacing w:after="0"/>
              <w:rPr>
                <w:sz w:val="19"/>
                <w:szCs w:val="19"/>
                <w:color w:val="auto"/>
              </w:rPr>
            </w:pPr>
          </w:p>
        </w:tc>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2,592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1,732</w:t>
            </w: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49.7%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6,455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4,903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Cable Communications, Cable Networks, Broadcast Television and Theme Parks segments, as well as our other businesses accounted for the increases in consolidated revenue for the three and nine months ended September 30, 2014. Excluding $1.1 billion of revenue associated with the broadcast of the 2014 Sochi Olympics in February 2014, consolidated revenue increased 4.6% for the nine months ended September 30, 2014. Revenue for our Cable Communications and NBCUniversal segments is discussed separately below under the heading “Segment Operating Results.” Revenue for our other businesses is discussed separately below under the heading “Corporate and Other Results of Operations.”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Costs and Expenses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Cable Communications, Cable Networks, Broadcast Television and Theme Parks segments accounted for substantially all of the increases in consolidated costs and expenses, excluding depreciation and amortization (“operating costs and expenses”) for the three and nine months ended September 30, 2014. The increases were partially offset by lower operating costs and expenses in our Filmed Entertainment segment. Operating costs and expenses for our Cable Communications and NBCUniversal segments are discussed separately below under the heading “Segment Operating Results.”</w:t>
      </w:r>
    </w:p>
    <w:p>
      <w:pPr>
        <w:spacing w:after="0" w:line="18"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Our Corporate and Other operating costs and expenses includes transaction-related costs associated with the Time Warner Cable merger and the divestiture transactions of $77 million and $138 million for the three and nine months ended September 30, 2014, respectively. Operating costs and expenses for our corporate and other businesses are discussed separately below under the heading “Corporate and Other Results of Operations.”</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We use operating income (loss) before depreciation and amortization, excluding impairment charges related to fixed and intangible assets and gains or losses on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operating income (loss) before depreciation and amortization to measure our segment profit or loss, we reconcile it to operating income, the most directly comparable financial measure calculated and presented in accordance with generally accepted accounting principles in the United States of America (“GAAP”), in the business segment footnote to our condensed consolidated financial statements (see Note 13 to Comcast’s condensed consolidated financial statements and Note 10 to NBCUniversal’s condensed consolidated financial statements). This measure should not be considered a substitute for operating income (loss), net income (loss) attributable to Comcast Corporation or NBCUniversal, net cash provided by operating activities, or other measures of performance or liquidity we have reported in accordance with GAAP.</w:t>
      </w:r>
    </w:p>
    <w:p>
      <w:pPr>
        <w:spacing w:after="0" w:line="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in 2014, Fandango, our movie ticketing and entertainment business that was previously presented in our Cable Networks segment, is now presented in the Filmed Entertainment segment to reflect the change in our management reporting presentation. Due to immateriality, prior period amounts have not been adjusted.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60" w:type="dxa"/>
            <w:vAlign w:val="bottom"/>
            <w:gridSpan w:val="3"/>
          </w:tcPr>
          <w:p>
            <w:pPr>
              <w:jc w:val="right"/>
              <w:ind w:right="353"/>
              <w:spacing w:after="0"/>
              <w:rPr>
                <w:sz w:val="20"/>
                <w:szCs w:val="20"/>
                <w:color w:val="auto"/>
              </w:rPr>
            </w:pPr>
            <w:r>
              <w:rPr>
                <w:rFonts w:ascii="Arial" w:cs="Arial" w:eastAsia="Arial" w:hAnsi="Arial"/>
                <w:sz w:val="14"/>
                <w:szCs w:val="14"/>
                <w:color w:val="auto"/>
                <w:w w:val="99"/>
              </w:rPr>
              <w:t>Three Months Ended</w:t>
            </w:r>
          </w:p>
        </w:tc>
        <w:tc>
          <w:tcPr>
            <w:tcW w:w="420" w:type="dxa"/>
            <w:vAlign w:val="bottom"/>
          </w:tcPr>
          <w:p>
            <w:pPr>
              <w:spacing w:after="0"/>
              <w:rPr>
                <w:sz w:val="14"/>
                <w:szCs w:val="14"/>
                <w:color w:val="auto"/>
              </w:rPr>
            </w:pPr>
          </w:p>
        </w:tc>
        <w:tc>
          <w:tcPr>
            <w:tcW w:w="1180" w:type="dxa"/>
            <w:vAlign w:val="bottom"/>
            <w:gridSpan w:val="2"/>
          </w:tcPr>
          <w:p>
            <w:pPr>
              <w:jc w:val="right"/>
              <w:ind w:right="413"/>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5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553"/>
              <w:spacing w:after="0" w:line="159" w:lineRule="exact"/>
              <w:rPr>
                <w:sz w:val="20"/>
                <w:szCs w:val="20"/>
                <w:color w:val="auto"/>
              </w:rPr>
            </w:pPr>
            <w:r>
              <w:rPr>
                <w:rFonts w:ascii="Arial" w:cs="Arial" w:eastAsia="Arial" w:hAnsi="Arial"/>
                <w:sz w:val="14"/>
                <w:szCs w:val="14"/>
                <w:color w:val="auto"/>
              </w:rPr>
              <w:t>September 30</w:t>
            </w:r>
          </w:p>
        </w:tc>
        <w:tc>
          <w:tcPr>
            <w:tcW w:w="4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373"/>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560" w:type="dxa"/>
            <w:vAlign w:val="bottom"/>
            <w:tcBorders>
              <w:bottom w:val="single" w:sz="8" w:color="auto"/>
            </w:tcBorders>
            <w:gridSpan w:val="2"/>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color w:val="auto"/>
              </w:rPr>
              <w:t>2014</w:t>
            </w:r>
          </w:p>
        </w:tc>
        <w:tc>
          <w:tcPr>
            <w:tcW w:w="4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color w:val="auto"/>
              </w:rPr>
              <w:t>2013</w:t>
            </w:r>
          </w:p>
        </w:tc>
        <w:tc>
          <w:tcPr>
            <w:tcW w:w="4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56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ind w:left="440"/>
              <w:spacing w:after="0"/>
              <w:rPr>
                <w:sz w:val="20"/>
                <w:szCs w:val="20"/>
                <w:color w:val="auto"/>
              </w:rPr>
            </w:pPr>
            <w:r>
              <w:rPr>
                <w:rFonts w:ascii="Arial" w:cs="Arial" w:eastAsia="Arial" w:hAnsi="Arial"/>
                <w:sz w:val="18"/>
                <w:szCs w:val="18"/>
                <w:color w:val="auto"/>
              </w:rPr>
              <w:t>Residential:</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E5E5E5"/>
          </w:tcPr>
          <w:p>
            <w:pPr>
              <w:ind w:left="880"/>
              <w:spacing w:after="0"/>
              <w:rPr>
                <w:sz w:val="20"/>
                <w:szCs w:val="20"/>
                <w:color w:val="auto"/>
              </w:rPr>
            </w:pPr>
            <w:r>
              <w:rPr>
                <w:rFonts w:ascii="Arial" w:cs="Arial" w:eastAsia="Arial" w:hAnsi="Arial"/>
                <w:sz w:val="18"/>
                <w:szCs w:val="18"/>
                <w:color w:val="auto"/>
              </w:rPr>
              <w:t>Video</w:t>
            </w:r>
          </w:p>
        </w:tc>
        <w:tc>
          <w:tcPr>
            <w:tcW w:w="500" w:type="dxa"/>
            <w:vAlign w:val="bottom"/>
            <w:shd w:val="clear" w:color="auto" w:fill="E5E5E5"/>
          </w:tcPr>
          <w:p>
            <w:pPr>
              <w:ind w:left="4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5,179</w:t>
            </w:r>
          </w:p>
        </w:tc>
        <w:tc>
          <w:tcPr>
            <w:tcW w:w="400" w:type="dxa"/>
            <w:vAlign w:val="bottom"/>
            <w:shd w:val="clear" w:color="auto" w:fill="E5E5E5"/>
          </w:tcPr>
          <w:p>
            <w:pPr>
              <w:ind w:left="32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5,127</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52</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560" w:type="dxa"/>
            <w:vAlign w:val="bottom"/>
            <w:gridSpan w:val="2"/>
          </w:tcPr>
          <w:p>
            <w:pPr>
              <w:ind w:left="880"/>
              <w:spacing w:after="0"/>
              <w:rPr>
                <w:sz w:val="20"/>
                <w:szCs w:val="20"/>
                <w:color w:val="auto"/>
              </w:rPr>
            </w:pPr>
            <w:r>
              <w:rPr>
                <w:rFonts w:ascii="Arial" w:cs="Arial" w:eastAsia="Arial" w:hAnsi="Arial"/>
                <w:sz w:val="18"/>
                <w:szCs w:val="18"/>
                <w:color w:val="auto"/>
              </w:rPr>
              <w:t>High-speed Internet</w:t>
            </w:r>
          </w:p>
        </w:tc>
        <w:tc>
          <w:tcPr>
            <w:tcW w:w="500" w:type="dxa"/>
            <w:vAlign w:val="bottom"/>
          </w:tcPr>
          <w:p>
            <w:pPr>
              <w:spacing w:after="0"/>
              <w:rPr>
                <w:sz w:val="18"/>
                <w:szCs w:val="18"/>
                <w:color w:val="auto"/>
              </w:rPr>
            </w:pPr>
          </w:p>
        </w:tc>
        <w:tc>
          <w:tcPr>
            <w:tcW w:w="680" w:type="dxa"/>
            <w:vAlign w:val="bottom"/>
          </w:tcPr>
          <w:p>
            <w:pPr>
              <w:jc w:val="right"/>
              <w:ind w:right="117"/>
              <w:spacing w:after="0"/>
              <w:rPr>
                <w:sz w:val="20"/>
                <w:szCs w:val="20"/>
                <w:color w:val="auto"/>
              </w:rPr>
            </w:pPr>
            <w:r>
              <w:rPr>
                <w:rFonts w:ascii="Arial" w:cs="Arial" w:eastAsia="Arial" w:hAnsi="Arial"/>
                <w:sz w:val="18"/>
                <w:szCs w:val="18"/>
                <w:color w:val="auto"/>
              </w:rPr>
              <w:t>2,840</w:t>
            </w:r>
          </w:p>
        </w:tc>
        <w:tc>
          <w:tcPr>
            <w:tcW w:w="400" w:type="dxa"/>
            <w:vAlign w:val="bottom"/>
          </w:tcPr>
          <w:p>
            <w:pPr>
              <w:spacing w:after="0"/>
              <w:rPr>
                <w:sz w:val="18"/>
                <w:szCs w:val="18"/>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2,592</w:t>
            </w:r>
          </w:p>
        </w:tc>
        <w:tc>
          <w:tcPr>
            <w:tcW w:w="420" w:type="dxa"/>
            <w:vAlign w:val="bottom"/>
          </w:tcPr>
          <w:p>
            <w:pPr>
              <w:spacing w:after="0"/>
              <w:rPr>
                <w:sz w:val="18"/>
                <w:szCs w:val="18"/>
                <w:color w:val="auto"/>
              </w:rPr>
            </w:pPr>
          </w:p>
        </w:tc>
        <w:tc>
          <w:tcPr>
            <w:tcW w:w="620" w:type="dxa"/>
            <w:vAlign w:val="bottom"/>
          </w:tcPr>
          <w:p>
            <w:pPr>
              <w:jc w:val="right"/>
              <w:ind w:right="255"/>
              <w:spacing w:after="0"/>
              <w:rPr>
                <w:sz w:val="20"/>
                <w:szCs w:val="20"/>
                <w:color w:val="auto"/>
              </w:rPr>
            </w:pPr>
            <w:r>
              <w:rPr>
                <w:rFonts w:ascii="Arial" w:cs="Arial" w:eastAsia="Arial" w:hAnsi="Arial"/>
                <w:sz w:val="18"/>
                <w:szCs w:val="18"/>
                <w:color w:val="auto"/>
                <w:w w:val="86"/>
              </w:rPr>
              <w:t>248</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E5E5E5"/>
          </w:tcPr>
          <w:p>
            <w:pPr>
              <w:ind w:left="880"/>
              <w:spacing w:after="0"/>
              <w:rPr>
                <w:sz w:val="20"/>
                <w:szCs w:val="20"/>
                <w:color w:val="auto"/>
              </w:rPr>
            </w:pPr>
            <w:r>
              <w:rPr>
                <w:rFonts w:ascii="Arial" w:cs="Arial" w:eastAsia="Arial" w:hAnsi="Arial"/>
                <w:sz w:val="18"/>
                <w:szCs w:val="18"/>
                <w:color w:val="auto"/>
              </w:rPr>
              <w:t>Voice</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913</w:t>
            </w: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919</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(6)</w:t>
            </w:r>
          </w:p>
        </w:tc>
        <w:tc>
          <w:tcPr>
            <w:tcW w:w="5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7"/>
              </w:rPr>
              <w:t>(0.5)</w:t>
            </w:r>
          </w:p>
        </w:tc>
        <w:tc>
          <w:tcPr>
            <w:tcW w:w="0" w:type="dxa"/>
            <w:vAlign w:val="bottom"/>
          </w:tcPr>
          <w:p>
            <w:pPr>
              <w:spacing w:after="0"/>
              <w:rPr>
                <w:sz w:val="1"/>
                <w:szCs w:val="1"/>
                <w:color w:val="auto"/>
              </w:rPr>
            </w:pPr>
          </w:p>
        </w:tc>
      </w:tr>
      <w:tr>
        <w:trPr>
          <w:trHeight w:val="216"/>
        </w:trPr>
        <w:tc>
          <w:tcPr>
            <w:tcW w:w="7560" w:type="dxa"/>
            <w:vAlign w:val="bottom"/>
            <w:gridSpan w:val="2"/>
          </w:tcPr>
          <w:p>
            <w:pPr>
              <w:ind w:left="440"/>
              <w:spacing w:after="0"/>
              <w:rPr>
                <w:sz w:val="20"/>
                <w:szCs w:val="20"/>
                <w:color w:val="auto"/>
              </w:rPr>
            </w:pPr>
            <w:r>
              <w:rPr>
                <w:rFonts w:ascii="Arial" w:cs="Arial" w:eastAsia="Arial" w:hAnsi="Arial"/>
                <w:sz w:val="18"/>
                <w:szCs w:val="18"/>
                <w:color w:val="auto"/>
              </w:rPr>
              <w:t>Business services</w:t>
            </w:r>
          </w:p>
        </w:tc>
        <w:tc>
          <w:tcPr>
            <w:tcW w:w="500" w:type="dxa"/>
            <w:vAlign w:val="bottom"/>
          </w:tcPr>
          <w:p>
            <w:pPr>
              <w:spacing w:after="0"/>
              <w:rPr>
                <w:sz w:val="18"/>
                <w:szCs w:val="18"/>
                <w:color w:val="auto"/>
              </w:rPr>
            </w:pPr>
          </w:p>
        </w:tc>
        <w:tc>
          <w:tcPr>
            <w:tcW w:w="680" w:type="dxa"/>
            <w:vAlign w:val="bottom"/>
          </w:tcPr>
          <w:p>
            <w:pPr>
              <w:jc w:val="right"/>
              <w:ind w:right="117"/>
              <w:spacing w:after="0"/>
              <w:rPr>
                <w:sz w:val="20"/>
                <w:szCs w:val="20"/>
                <w:color w:val="auto"/>
              </w:rPr>
            </w:pPr>
            <w:r>
              <w:rPr>
                <w:rFonts w:ascii="Arial" w:cs="Arial" w:eastAsia="Arial" w:hAnsi="Arial"/>
                <w:sz w:val="18"/>
                <w:szCs w:val="18"/>
                <w:color w:val="auto"/>
              </w:rPr>
              <w:t>1,011</w:t>
            </w:r>
          </w:p>
        </w:tc>
        <w:tc>
          <w:tcPr>
            <w:tcW w:w="400" w:type="dxa"/>
            <w:vAlign w:val="bottom"/>
          </w:tcPr>
          <w:p>
            <w:pPr>
              <w:spacing w:after="0"/>
              <w:rPr>
                <w:sz w:val="18"/>
                <w:szCs w:val="18"/>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836</w:t>
            </w:r>
          </w:p>
        </w:tc>
        <w:tc>
          <w:tcPr>
            <w:tcW w:w="420" w:type="dxa"/>
            <w:vAlign w:val="bottom"/>
          </w:tcPr>
          <w:p>
            <w:pPr>
              <w:spacing w:after="0"/>
              <w:rPr>
                <w:sz w:val="18"/>
                <w:szCs w:val="18"/>
                <w:color w:val="auto"/>
              </w:rPr>
            </w:pPr>
          </w:p>
        </w:tc>
        <w:tc>
          <w:tcPr>
            <w:tcW w:w="620" w:type="dxa"/>
            <w:vAlign w:val="bottom"/>
          </w:tcPr>
          <w:p>
            <w:pPr>
              <w:jc w:val="right"/>
              <w:ind w:right="255"/>
              <w:spacing w:after="0"/>
              <w:rPr>
                <w:sz w:val="20"/>
                <w:szCs w:val="20"/>
                <w:color w:val="auto"/>
              </w:rPr>
            </w:pPr>
            <w:r>
              <w:rPr>
                <w:rFonts w:ascii="Arial" w:cs="Arial" w:eastAsia="Arial" w:hAnsi="Arial"/>
                <w:sz w:val="18"/>
                <w:szCs w:val="18"/>
                <w:color w:val="auto"/>
                <w:w w:val="86"/>
              </w:rPr>
              <w:t>175</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w w:val="91"/>
              </w:rPr>
              <w:t>21.0</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607</w:t>
            </w: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541</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66</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w w:val="91"/>
              </w:rPr>
              <w:t>12.3</w:t>
            </w:r>
          </w:p>
        </w:tc>
        <w:tc>
          <w:tcPr>
            <w:tcW w:w="0" w:type="dxa"/>
            <w:vAlign w:val="bottom"/>
          </w:tcPr>
          <w:p>
            <w:pPr>
              <w:spacing w:after="0"/>
              <w:rPr>
                <w:sz w:val="1"/>
                <w:szCs w:val="1"/>
                <w:color w:val="auto"/>
              </w:rPr>
            </w:pPr>
          </w:p>
        </w:tc>
      </w:tr>
      <w:tr>
        <w:trPr>
          <w:trHeight w:val="216"/>
        </w:trPr>
        <w:tc>
          <w:tcPr>
            <w:tcW w:w="756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491</w:t>
            </w: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476</w:t>
            </w: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15</w:t>
            </w: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756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7"/>
              <w:spacing w:after="0"/>
              <w:rPr>
                <w:sz w:val="20"/>
                <w:szCs w:val="20"/>
                <w:color w:val="auto"/>
              </w:rPr>
            </w:pPr>
            <w:r>
              <w:rPr>
                <w:rFonts w:ascii="Arial" w:cs="Arial" w:eastAsia="Arial" w:hAnsi="Arial"/>
                <w:sz w:val="18"/>
                <w:szCs w:val="18"/>
                <w:b w:val="1"/>
                <w:bCs w:val="1"/>
                <w:color w:val="auto"/>
                <w:w w:val="83"/>
              </w:rPr>
              <w:t>11,041</w:t>
            </w: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3"/>
              <w:spacing w:after="0"/>
              <w:rPr>
                <w:sz w:val="20"/>
                <w:szCs w:val="20"/>
                <w:color w:val="auto"/>
              </w:rPr>
            </w:pPr>
            <w:r>
              <w:rPr>
                <w:rFonts w:ascii="Arial" w:cs="Arial" w:eastAsia="Arial" w:hAnsi="Arial"/>
                <w:sz w:val="18"/>
                <w:szCs w:val="18"/>
                <w:b w:val="1"/>
                <w:bCs w:val="1"/>
                <w:color w:val="auto"/>
                <w:w w:val="87"/>
              </w:rPr>
              <w:t>10,491</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55"/>
              <w:spacing w:after="0"/>
              <w:rPr>
                <w:sz w:val="20"/>
                <w:szCs w:val="20"/>
                <w:color w:val="auto"/>
              </w:rPr>
            </w:pPr>
            <w:r>
              <w:rPr>
                <w:rFonts w:ascii="Arial" w:cs="Arial" w:eastAsia="Arial" w:hAnsi="Arial"/>
                <w:sz w:val="18"/>
                <w:szCs w:val="18"/>
                <w:b w:val="1"/>
                <w:bCs w:val="1"/>
                <w:color w:val="auto"/>
                <w:w w:val="86"/>
              </w:rPr>
              <w:t>550</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Programming</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2,450</w:t>
            </w: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2,288</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w w:val="86"/>
              </w:rPr>
              <w:t>162</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7560" w:type="dxa"/>
            <w:vAlign w:val="bottom"/>
            <w:gridSpan w:val="2"/>
          </w:tcPr>
          <w:p>
            <w:pPr>
              <w:ind w:left="440"/>
              <w:spacing w:after="0"/>
              <w:rPr>
                <w:sz w:val="20"/>
                <w:szCs w:val="20"/>
                <w:color w:val="auto"/>
              </w:rPr>
            </w:pPr>
            <w:r>
              <w:rPr>
                <w:rFonts w:ascii="Arial" w:cs="Arial" w:eastAsia="Arial" w:hAnsi="Arial"/>
                <w:sz w:val="18"/>
                <w:szCs w:val="18"/>
                <w:color w:val="auto"/>
              </w:rPr>
              <w:t>Technical and product support</w:t>
            </w:r>
          </w:p>
        </w:tc>
        <w:tc>
          <w:tcPr>
            <w:tcW w:w="500" w:type="dxa"/>
            <w:vAlign w:val="bottom"/>
          </w:tcPr>
          <w:p>
            <w:pPr>
              <w:spacing w:after="0"/>
              <w:rPr>
                <w:sz w:val="18"/>
                <w:szCs w:val="18"/>
                <w:color w:val="auto"/>
              </w:rPr>
            </w:pPr>
          </w:p>
        </w:tc>
        <w:tc>
          <w:tcPr>
            <w:tcW w:w="680" w:type="dxa"/>
            <w:vAlign w:val="bottom"/>
          </w:tcPr>
          <w:p>
            <w:pPr>
              <w:jc w:val="right"/>
              <w:ind w:right="117"/>
              <w:spacing w:after="0"/>
              <w:rPr>
                <w:sz w:val="20"/>
                <w:szCs w:val="20"/>
                <w:color w:val="auto"/>
              </w:rPr>
            </w:pPr>
            <w:r>
              <w:rPr>
                <w:rFonts w:ascii="Arial" w:cs="Arial" w:eastAsia="Arial" w:hAnsi="Arial"/>
                <w:sz w:val="18"/>
                <w:szCs w:val="18"/>
                <w:color w:val="auto"/>
              </w:rPr>
              <w:t>1,378</w:t>
            </w:r>
          </w:p>
        </w:tc>
        <w:tc>
          <w:tcPr>
            <w:tcW w:w="400" w:type="dxa"/>
            <w:vAlign w:val="bottom"/>
          </w:tcPr>
          <w:p>
            <w:pPr>
              <w:spacing w:after="0"/>
              <w:rPr>
                <w:sz w:val="18"/>
                <w:szCs w:val="18"/>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1,346</w:t>
            </w:r>
          </w:p>
        </w:tc>
        <w:tc>
          <w:tcPr>
            <w:tcW w:w="420" w:type="dxa"/>
            <w:vAlign w:val="bottom"/>
          </w:tcPr>
          <w:p>
            <w:pPr>
              <w:spacing w:after="0"/>
              <w:rPr>
                <w:sz w:val="18"/>
                <w:szCs w:val="18"/>
                <w:color w:val="auto"/>
              </w:rPr>
            </w:pPr>
          </w:p>
        </w:tc>
        <w:tc>
          <w:tcPr>
            <w:tcW w:w="620" w:type="dxa"/>
            <w:vAlign w:val="bottom"/>
          </w:tcPr>
          <w:p>
            <w:pPr>
              <w:jc w:val="right"/>
              <w:ind w:right="255"/>
              <w:spacing w:after="0"/>
              <w:rPr>
                <w:sz w:val="20"/>
                <w:szCs w:val="20"/>
                <w:color w:val="auto"/>
              </w:rPr>
            </w:pPr>
            <w:r>
              <w:rPr>
                <w:rFonts w:ascii="Arial" w:cs="Arial" w:eastAsia="Arial" w:hAnsi="Arial"/>
                <w:sz w:val="18"/>
                <w:szCs w:val="18"/>
                <w:color w:val="auto"/>
              </w:rPr>
              <w:t>32</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Customer service</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556</w:t>
            </w: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527</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29</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7560" w:type="dxa"/>
            <w:vAlign w:val="bottom"/>
            <w:gridSpan w:val="2"/>
          </w:tcPr>
          <w:p>
            <w:pPr>
              <w:ind w:left="440"/>
              <w:spacing w:after="0"/>
              <w:rPr>
                <w:sz w:val="20"/>
                <w:szCs w:val="20"/>
                <w:color w:val="auto"/>
              </w:rPr>
            </w:pPr>
            <w:r>
              <w:rPr>
                <w:rFonts w:ascii="Arial" w:cs="Arial" w:eastAsia="Arial" w:hAnsi="Arial"/>
                <w:sz w:val="18"/>
                <w:szCs w:val="18"/>
                <w:color w:val="auto"/>
              </w:rPr>
              <w:t>Franchise and other regulatory fees</w:t>
            </w:r>
          </w:p>
        </w:tc>
        <w:tc>
          <w:tcPr>
            <w:tcW w:w="500" w:type="dxa"/>
            <w:vAlign w:val="bottom"/>
          </w:tcPr>
          <w:p>
            <w:pPr>
              <w:spacing w:after="0"/>
              <w:rPr>
                <w:sz w:val="18"/>
                <w:szCs w:val="18"/>
                <w:color w:val="auto"/>
              </w:rPr>
            </w:pPr>
          </w:p>
        </w:tc>
        <w:tc>
          <w:tcPr>
            <w:tcW w:w="680" w:type="dxa"/>
            <w:vAlign w:val="bottom"/>
          </w:tcPr>
          <w:p>
            <w:pPr>
              <w:jc w:val="right"/>
              <w:ind w:right="117"/>
              <w:spacing w:after="0"/>
              <w:rPr>
                <w:sz w:val="20"/>
                <w:szCs w:val="20"/>
                <w:color w:val="auto"/>
              </w:rPr>
            </w:pPr>
            <w:r>
              <w:rPr>
                <w:rFonts w:ascii="Arial" w:cs="Arial" w:eastAsia="Arial" w:hAnsi="Arial"/>
                <w:sz w:val="18"/>
                <w:szCs w:val="18"/>
                <w:color w:val="auto"/>
              </w:rPr>
              <w:t>328</w:t>
            </w:r>
          </w:p>
        </w:tc>
        <w:tc>
          <w:tcPr>
            <w:tcW w:w="400" w:type="dxa"/>
            <w:vAlign w:val="bottom"/>
          </w:tcPr>
          <w:p>
            <w:pPr>
              <w:spacing w:after="0"/>
              <w:rPr>
                <w:sz w:val="18"/>
                <w:szCs w:val="18"/>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313</w:t>
            </w:r>
          </w:p>
        </w:tc>
        <w:tc>
          <w:tcPr>
            <w:tcW w:w="420" w:type="dxa"/>
            <w:vAlign w:val="bottom"/>
          </w:tcPr>
          <w:p>
            <w:pPr>
              <w:spacing w:after="0"/>
              <w:rPr>
                <w:sz w:val="18"/>
                <w:szCs w:val="18"/>
                <w:color w:val="auto"/>
              </w:rPr>
            </w:pPr>
          </w:p>
        </w:tc>
        <w:tc>
          <w:tcPr>
            <w:tcW w:w="620" w:type="dxa"/>
            <w:vAlign w:val="bottom"/>
          </w:tcPr>
          <w:p>
            <w:pPr>
              <w:jc w:val="right"/>
              <w:ind w:right="255"/>
              <w:spacing w:after="0"/>
              <w:rPr>
                <w:sz w:val="20"/>
                <w:szCs w:val="20"/>
                <w:color w:val="auto"/>
              </w:rPr>
            </w:pPr>
            <w:r>
              <w:rPr>
                <w:rFonts w:ascii="Arial" w:cs="Arial" w:eastAsia="Arial" w:hAnsi="Arial"/>
                <w:sz w:val="18"/>
                <w:szCs w:val="18"/>
                <w:color w:val="auto"/>
              </w:rPr>
              <w:t>15</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Advertising, marketing and promotion</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827</w:t>
            </w: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757</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70</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756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1,038</w:t>
            </w: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1,014</w:t>
            </w: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24</w:t>
            </w: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756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5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6,577</w:t>
            </w:r>
          </w:p>
        </w:tc>
        <w:tc>
          <w:tcPr>
            <w:tcW w:w="4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6,245</w:t>
            </w:r>
          </w:p>
        </w:tc>
        <w:tc>
          <w:tcPr>
            <w:tcW w:w="4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w w:val="86"/>
              </w:rPr>
              <w:t>332</w:t>
            </w:r>
          </w:p>
        </w:tc>
        <w:tc>
          <w:tcPr>
            <w:tcW w:w="56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7"/>
        </w:trPr>
        <w:tc>
          <w:tcPr>
            <w:tcW w:w="7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0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4,464</w:t>
            </w:r>
          </w:p>
        </w:tc>
        <w:tc>
          <w:tcPr>
            <w:tcW w:w="400" w:type="dxa"/>
            <w:vAlign w:val="bottom"/>
            <w:tcBorders>
              <w:bottom w:val="single" w:sz="8" w:color="auto"/>
            </w:tcBorders>
          </w:tcPr>
          <w:p>
            <w:pPr>
              <w:ind w:left="320"/>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4,246</w:t>
            </w:r>
          </w:p>
        </w:tc>
        <w:tc>
          <w:tcPr>
            <w:tcW w:w="1040" w:type="dxa"/>
            <w:vAlign w:val="bottom"/>
            <w:tcBorders>
              <w:bottom w:val="single" w:sz="8" w:color="auto"/>
            </w:tcBorders>
            <w:gridSpan w:val="2"/>
          </w:tcPr>
          <w:p>
            <w:pPr>
              <w:jc w:val="right"/>
              <w:ind w:right="255"/>
              <w:spacing w:after="0"/>
              <w:rPr>
                <w:sz w:val="20"/>
                <w:szCs w:val="20"/>
                <w:color w:val="auto"/>
              </w:rPr>
            </w:pPr>
            <w:r>
              <w:rPr>
                <w:rFonts w:ascii="Arial" w:cs="Arial" w:eastAsia="Arial" w:hAnsi="Arial"/>
                <w:sz w:val="18"/>
                <w:szCs w:val="18"/>
                <w:b w:val="1"/>
                <w:bCs w:val="1"/>
                <w:color w:val="auto"/>
              </w:rPr>
              <w:t>$218</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73"/>
        </w:trPr>
        <w:tc>
          <w:tcPr>
            <w:tcW w:w="7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60" w:type="dxa"/>
            <w:vAlign w:val="bottom"/>
            <w:gridSpan w:val="3"/>
          </w:tcPr>
          <w:p>
            <w:pPr>
              <w:ind w:left="60"/>
              <w:spacing w:after="0"/>
              <w:rPr>
                <w:sz w:val="20"/>
                <w:szCs w:val="20"/>
                <w:color w:val="auto"/>
              </w:rPr>
            </w:pPr>
            <w:r>
              <w:rPr>
                <w:rFonts w:ascii="Arial" w:cs="Arial" w:eastAsia="Arial" w:hAnsi="Arial"/>
                <w:sz w:val="14"/>
                <w:szCs w:val="14"/>
                <w:color w:val="auto"/>
              </w:rPr>
              <w:t>Nine Months Ended</w:t>
            </w:r>
          </w:p>
        </w:tc>
        <w:tc>
          <w:tcPr>
            <w:tcW w:w="4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Increase/</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74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240"/>
              <w:spacing w:after="0" w:line="159" w:lineRule="exact"/>
              <w:rPr>
                <w:sz w:val="20"/>
                <w:szCs w:val="20"/>
                <w:color w:val="auto"/>
              </w:rPr>
            </w:pPr>
            <w:r>
              <w:rPr>
                <w:rFonts w:ascii="Arial" w:cs="Arial" w:eastAsia="Arial" w:hAnsi="Arial"/>
                <w:sz w:val="14"/>
                <w:szCs w:val="14"/>
                <w:color w:val="auto"/>
                <w:w w:val="93"/>
              </w:rPr>
              <w:t>September 30</w:t>
            </w:r>
          </w:p>
        </w:tc>
        <w:tc>
          <w:tcPr>
            <w:tcW w:w="6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433"/>
              <w:spacing w:after="0" w:line="159" w:lineRule="exact"/>
              <w:rPr>
                <w:sz w:val="20"/>
                <w:szCs w:val="20"/>
                <w:color w:val="auto"/>
              </w:rPr>
            </w:pPr>
            <w:r>
              <w:rPr>
                <w:rFonts w:ascii="Arial" w:cs="Arial" w:eastAsia="Arial" w:hAnsi="Arial"/>
                <w:sz w:val="14"/>
                <w:szCs w:val="14"/>
                <w:color w:val="auto"/>
                <w:w w:val="92"/>
              </w:rPr>
              <w:t>(Decrease)</w:t>
            </w:r>
          </w:p>
        </w:tc>
        <w:tc>
          <w:tcPr>
            <w:tcW w:w="0" w:type="dxa"/>
            <w:vAlign w:val="bottom"/>
          </w:tcPr>
          <w:p>
            <w:pPr>
              <w:spacing w:after="0"/>
              <w:rPr>
                <w:sz w:val="1"/>
                <w:szCs w:val="1"/>
                <w:color w:val="auto"/>
              </w:rPr>
            </w:pPr>
          </w:p>
        </w:tc>
      </w:tr>
      <w:tr>
        <w:trPr>
          <w:trHeight w:val="142"/>
        </w:trPr>
        <w:tc>
          <w:tcPr>
            <w:tcW w:w="74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ind w:left="420"/>
              <w:spacing w:after="0" w:line="142" w:lineRule="exact"/>
              <w:rPr>
                <w:sz w:val="20"/>
                <w:szCs w:val="20"/>
                <w:color w:val="auto"/>
              </w:rPr>
            </w:pPr>
            <w:r>
              <w:rPr>
                <w:rFonts w:ascii="Arial" w:cs="Arial" w:eastAsia="Arial" w:hAnsi="Arial"/>
                <w:sz w:val="14"/>
                <w:szCs w:val="14"/>
                <w:color w:val="auto"/>
              </w:rPr>
              <w:t>2014</w:t>
            </w:r>
          </w:p>
        </w:tc>
        <w:tc>
          <w:tcPr>
            <w:tcW w:w="1080" w:type="dxa"/>
            <w:vAlign w:val="bottom"/>
            <w:tcBorders>
              <w:bottom w:val="single" w:sz="8" w:color="auto"/>
            </w:tcBorders>
            <w:gridSpan w:val="2"/>
          </w:tcPr>
          <w:p>
            <w:pPr>
              <w:ind w:left="340"/>
              <w:spacing w:after="0" w:line="142" w:lineRule="exact"/>
              <w:rPr>
                <w:sz w:val="20"/>
                <w:szCs w:val="20"/>
                <w:color w:val="auto"/>
              </w:rPr>
            </w:pPr>
            <w:r>
              <w:rPr>
                <w:rFonts w:ascii="Arial" w:cs="Arial" w:eastAsia="Arial" w:hAnsi="Arial"/>
                <w:sz w:val="14"/>
                <w:szCs w:val="14"/>
                <w:color w:val="auto"/>
              </w:rPr>
              <w:t>2013</w:t>
            </w:r>
          </w:p>
        </w:tc>
        <w:tc>
          <w:tcPr>
            <w:tcW w:w="1040" w:type="dxa"/>
            <w:vAlign w:val="bottom"/>
            <w:tcBorders>
              <w:bottom w:val="single" w:sz="8" w:color="auto"/>
            </w:tcBorders>
            <w:gridSpan w:val="2"/>
          </w:tcPr>
          <w:p>
            <w:pPr>
              <w:jc w:val="right"/>
              <w:ind w:right="475"/>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56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ind w:left="440"/>
              <w:spacing w:after="0"/>
              <w:rPr>
                <w:sz w:val="20"/>
                <w:szCs w:val="20"/>
                <w:color w:val="auto"/>
              </w:rPr>
            </w:pPr>
            <w:r>
              <w:rPr>
                <w:rFonts w:ascii="Arial" w:cs="Arial" w:eastAsia="Arial" w:hAnsi="Arial"/>
                <w:sz w:val="18"/>
                <w:szCs w:val="18"/>
                <w:color w:val="auto"/>
              </w:rPr>
              <w:t>Residential:</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E5E5E5"/>
          </w:tcPr>
          <w:p>
            <w:pPr>
              <w:ind w:left="880"/>
              <w:spacing w:after="0"/>
              <w:rPr>
                <w:sz w:val="20"/>
                <w:szCs w:val="20"/>
                <w:color w:val="auto"/>
              </w:rPr>
            </w:pPr>
            <w:r>
              <w:rPr>
                <w:rFonts w:ascii="Arial" w:cs="Arial" w:eastAsia="Arial" w:hAnsi="Arial"/>
                <w:sz w:val="18"/>
                <w:szCs w:val="18"/>
                <w:color w:val="auto"/>
              </w:rPr>
              <w:t>Video</w:t>
            </w:r>
          </w:p>
        </w:tc>
        <w:tc>
          <w:tcPr>
            <w:tcW w:w="1180" w:type="dxa"/>
            <w:vAlign w:val="bottom"/>
            <w:gridSpan w:val="2"/>
            <w:shd w:val="clear" w:color="auto" w:fill="E5E5E5"/>
          </w:tcPr>
          <w:p>
            <w:pPr>
              <w:jc w:val="right"/>
              <w:ind w:right="257"/>
              <w:spacing w:after="0"/>
              <w:rPr>
                <w:sz w:val="20"/>
                <w:szCs w:val="20"/>
                <w:color w:val="auto"/>
              </w:rPr>
            </w:pPr>
            <w:r>
              <w:rPr>
                <w:rFonts w:ascii="Arial" w:cs="Arial" w:eastAsia="Arial" w:hAnsi="Arial"/>
                <w:sz w:val="18"/>
                <w:szCs w:val="18"/>
                <w:color w:val="auto"/>
              </w:rPr>
              <w:t>$15,596</w:t>
            </w:r>
          </w:p>
        </w:tc>
        <w:tc>
          <w:tcPr>
            <w:tcW w:w="1080" w:type="dxa"/>
            <w:vAlign w:val="bottom"/>
            <w:gridSpan w:val="2"/>
            <w:shd w:val="clear" w:color="auto" w:fill="E5E5E5"/>
          </w:tcPr>
          <w:p>
            <w:pPr>
              <w:jc w:val="right"/>
              <w:ind w:right="233"/>
              <w:spacing w:after="0"/>
              <w:rPr>
                <w:sz w:val="20"/>
                <w:szCs w:val="20"/>
                <w:color w:val="auto"/>
              </w:rPr>
            </w:pPr>
            <w:r>
              <w:rPr>
                <w:rFonts w:ascii="Arial" w:cs="Arial" w:eastAsia="Arial" w:hAnsi="Arial"/>
                <w:sz w:val="18"/>
                <w:szCs w:val="18"/>
                <w:color w:val="auto"/>
              </w:rPr>
              <w:t>$15,415</w:t>
            </w:r>
          </w:p>
        </w:tc>
        <w:tc>
          <w:tcPr>
            <w:tcW w:w="42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w w:val="86"/>
              </w:rPr>
              <w:t>181</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560" w:type="dxa"/>
            <w:vAlign w:val="bottom"/>
            <w:gridSpan w:val="2"/>
          </w:tcPr>
          <w:p>
            <w:pPr>
              <w:ind w:left="880"/>
              <w:spacing w:after="0"/>
              <w:rPr>
                <w:sz w:val="20"/>
                <w:szCs w:val="20"/>
                <w:color w:val="auto"/>
              </w:rPr>
            </w:pPr>
            <w:r>
              <w:rPr>
                <w:rFonts w:ascii="Arial" w:cs="Arial" w:eastAsia="Arial" w:hAnsi="Arial"/>
                <w:sz w:val="18"/>
                <w:szCs w:val="18"/>
                <w:color w:val="auto"/>
              </w:rPr>
              <w:t>High-speed Internet</w:t>
            </w:r>
          </w:p>
        </w:tc>
        <w:tc>
          <w:tcPr>
            <w:tcW w:w="1180" w:type="dxa"/>
            <w:vAlign w:val="bottom"/>
            <w:gridSpan w:val="2"/>
          </w:tcPr>
          <w:p>
            <w:pPr>
              <w:jc w:val="right"/>
              <w:ind w:right="257"/>
              <w:spacing w:after="0"/>
              <w:rPr>
                <w:sz w:val="20"/>
                <w:szCs w:val="20"/>
                <w:color w:val="auto"/>
              </w:rPr>
            </w:pPr>
            <w:r>
              <w:rPr>
                <w:rFonts w:ascii="Arial" w:cs="Arial" w:eastAsia="Arial" w:hAnsi="Arial"/>
                <w:sz w:val="18"/>
                <w:szCs w:val="18"/>
                <w:color w:val="auto"/>
              </w:rPr>
              <w:t>8,409</w:t>
            </w:r>
          </w:p>
        </w:tc>
        <w:tc>
          <w:tcPr>
            <w:tcW w:w="1080" w:type="dxa"/>
            <w:vAlign w:val="bottom"/>
            <w:gridSpan w:val="2"/>
          </w:tcPr>
          <w:p>
            <w:pPr>
              <w:jc w:val="right"/>
              <w:ind w:right="233"/>
              <w:spacing w:after="0"/>
              <w:rPr>
                <w:sz w:val="20"/>
                <w:szCs w:val="20"/>
                <w:color w:val="auto"/>
              </w:rPr>
            </w:pPr>
            <w:r>
              <w:rPr>
                <w:rFonts w:ascii="Arial" w:cs="Arial" w:eastAsia="Arial" w:hAnsi="Arial"/>
                <w:sz w:val="18"/>
                <w:szCs w:val="18"/>
                <w:color w:val="auto"/>
              </w:rPr>
              <w:t>7,684</w:t>
            </w:r>
          </w:p>
        </w:tc>
        <w:tc>
          <w:tcPr>
            <w:tcW w:w="420" w:type="dxa"/>
            <w:vAlign w:val="bottom"/>
          </w:tcPr>
          <w:p>
            <w:pPr>
              <w:spacing w:after="0"/>
              <w:rPr>
                <w:sz w:val="18"/>
                <w:szCs w:val="18"/>
                <w:color w:val="auto"/>
              </w:rPr>
            </w:pPr>
          </w:p>
        </w:tc>
        <w:tc>
          <w:tcPr>
            <w:tcW w:w="620" w:type="dxa"/>
            <w:vAlign w:val="bottom"/>
          </w:tcPr>
          <w:p>
            <w:pPr>
              <w:jc w:val="right"/>
              <w:ind w:right="255"/>
              <w:spacing w:after="0"/>
              <w:rPr>
                <w:sz w:val="20"/>
                <w:szCs w:val="20"/>
                <w:color w:val="auto"/>
              </w:rPr>
            </w:pPr>
            <w:r>
              <w:rPr>
                <w:rFonts w:ascii="Arial" w:cs="Arial" w:eastAsia="Arial" w:hAnsi="Arial"/>
                <w:sz w:val="18"/>
                <w:szCs w:val="18"/>
                <w:color w:val="auto"/>
                <w:w w:val="86"/>
              </w:rPr>
              <w:t>725</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E5E5E5"/>
          </w:tcPr>
          <w:p>
            <w:pPr>
              <w:ind w:left="880"/>
              <w:spacing w:after="0"/>
              <w:rPr>
                <w:sz w:val="20"/>
                <w:szCs w:val="20"/>
                <w:color w:val="auto"/>
              </w:rPr>
            </w:pPr>
            <w:r>
              <w:rPr>
                <w:rFonts w:ascii="Arial" w:cs="Arial" w:eastAsia="Arial" w:hAnsi="Arial"/>
                <w:sz w:val="18"/>
                <w:szCs w:val="18"/>
                <w:color w:val="auto"/>
              </w:rPr>
              <w:t>Voice</w:t>
            </w:r>
          </w:p>
        </w:tc>
        <w:tc>
          <w:tcPr>
            <w:tcW w:w="1180" w:type="dxa"/>
            <w:vAlign w:val="bottom"/>
            <w:gridSpan w:val="2"/>
            <w:shd w:val="clear" w:color="auto" w:fill="E5E5E5"/>
          </w:tcPr>
          <w:p>
            <w:pPr>
              <w:jc w:val="right"/>
              <w:ind w:right="257"/>
              <w:spacing w:after="0"/>
              <w:rPr>
                <w:sz w:val="20"/>
                <w:szCs w:val="20"/>
                <w:color w:val="auto"/>
              </w:rPr>
            </w:pPr>
            <w:r>
              <w:rPr>
                <w:rFonts w:ascii="Arial" w:cs="Arial" w:eastAsia="Arial" w:hAnsi="Arial"/>
                <w:sz w:val="18"/>
                <w:szCs w:val="18"/>
                <w:color w:val="auto"/>
              </w:rPr>
              <w:t>2,755</w:t>
            </w:r>
          </w:p>
        </w:tc>
        <w:tc>
          <w:tcPr>
            <w:tcW w:w="1080" w:type="dxa"/>
            <w:vAlign w:val="bottom"/>
            <w:gridSpan w:val="2"/>
            <w:shd w:val="clear" w:color="auto" w:fill="E5E5E5"/>
          </w:tcPr>
          <w:p>
            <w:pPr>
              <w:jc w:val="right"/>
              <w:ind w:right="233"/>
              <w:spacing w:after="0"/>
              <w:rPr>
                <w:sz w:val="20"/>
                <w:szCs w:val="20"/>
                <w:color w:val="auto"/>
              </w:rPr>
            </w:pPr>
            <w:r>
              <w:rPr>
                <w:rFonts w:ascii="Arial" w:cs="Arial" w:eastAsia="Arial" w:hAnsi="Arial"/>
                <w:sz w:val="18"/>
                <w:szCs w:val="18"/>
                <w:color w:val="auto"/>
              </w:rPr>
              <w:t>2,729</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26</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560" w:type="dxa"/>
            <w:vAlign w:val="bottom"/>
            <w:gridSpan w:val="2"/>
          </w:tcPr>
          <w:p>
            <w:pPr>
              <w:ind w:left="440"/>
              <w:spacing w:after="0"/>
              <w:rPr>
                <w:sz w:val="20"/>
                <w:szCs w:val="20"/>
                <w:color w:val="auto"/>
              </w:rPr>
            </w:pPr>
            <w:r>
              <w:rPr>
                <w:rFonts w:ascii="Arial" w:cs="Arial" w:eastAsia="Arial" w:hAnsi="Arial"/>
                <w:sz w:val="18"/>
                <w:szCs w:val="18"/>
                <w:color w:val="auto"/>
              </w:rPr>
              <w:t>Business services</w:t>
            </w:r>
          </w:p>
        </w:tc>
        <w:tc>
          <w:tcPr>
            <w:tcW w:w="1180" w:type="dxa"/>
            <w:vAlign w:val="bottom"/>
            <w:gridSpan w:val="2"/>
          </w:tcPr>
          <w:p>
            <w:pPr>
              <w:jc w:val="right"/>
              <w:ind w:right="257"/>
              <w:spacing w:after="0"/>
              <w:rPr>
                <w:sz w:val="20"/>
                <w:szCs w:val="20"/>
                <w:color w:val="auto"/>
              </w:rPr>
            </w:pPr>
            <w:r>
              <w:rPr>
                <w:rFonts w:ascii="Arial" w:cs="Arial" w:eastAsia="Arial" w:hAnsi="Arial"/>
                <w:sz w:val="18"/>
                <w:szCs w:val="18"/>
                <w:color w:val="auto"/>
              </w:rPr>
              <w:t>2,893</w:t>
            </w:r>
          </w:p>
        </w:tc>
        <w:tc>
          <w:tcPr>
            <w:tcW w:w="1080" w:type="dxa"/>
            <w:vAlign w:val="bottom"/>
            <w:gridSpan w:val="2"/>
          </w:tcPr>
          <w:p>
            <w:pPr>
              <w:jc w:val="right"/>
              <w:ind w:right="233"/>
              <w:spacing w:after="0"/>
              <w:rPr>
                <w:sz w:val="20"/>
                <w:szCs w:val="20"/>
                <w:color w:val="auto"/>
              </w:rPr>
            </w:pPr>
            <w:r>
              <w:rPr>
                <w:rFonts w:ascii="Arial" w:cs="Arial" w:eastAsia="Arial" w:hAnsi="Arial"/>
                <w:sz w:val="18"/>
                <w:szCs w:val="18"/>
                <w:color w:val="auto"/>
              </w:rPr>
              <w:t>2,365</w:t>
            </w:r>
          </w:p>
        </w:tc>
        <w:tc>
          <w:tcPr>
            <w:tcW w:w="420" w:type="dxa"/>
            <w:vAlign w:val="bottom"/>
          </w:tcPr>
          <w:p>
            <w:pPr>
              <w:spacing w:after="0"/>
              <w:rPr>
                <w:sz w:val="18"/>
                <w:szCs w:val="18"/>
                <w:color w:val="auto"/>
              </w:rPr>
            </w:pPr>
          </w:p>
        </w:tc>
        <w:tc>
          <w:tcPr>
            <w:tcW w:w="620" w:type="dxa"/>
            <w:vAlign w:val="bottom"/>
          </w:tcPr>
          <w:p>
            <w:pPr>
              <w:jc w:val="right"/>
              <w:ind w:right="255"/>
              <w:spacing w:after="0"/>
              <w:rPr>
                <w:sz w:val="20"/>
                <w:szCs w:val="20"/>
                <w:color w:val="auto"/>
              </w:rPr>
            </w:pPr>
            <w:r>
              <w:rPr>
                <w:rFonts w:ascii="Arial" w:cs="Arial" w:eastAsia="Arial" w:hAnsi="Arial"/>
                <w:sz w:val="18"/>
                <w:szCs w:val="18"/>
                <w:color w:val="auto"/>
                <w:w w:val="86"/>
              </w:rPr>
              <w:t>528</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w w:val="91"/>
              </w:rPr>
              <w:t>22.3</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1180" w:type="dxa"/>
            <w:vAlign w:val="bottom"/>
            <w:gridSpan w:val="2"/>
            <w:shd w:val="clear" w:color="auto" w:fill="E5E5E5"/>
          </w:tcPr>
          <w:p>
            <w:pPr>
              <w:jc w:val="right"/>
              <w:ind w:right="257"/>
              <w:spacing w:after="0"/>
              <w:rPr>
                <w:sz w:val="20"/>
                <w:szCs w:val="20"/>
                <w:color w:val="auto"/>
              </w:rPr>
            </w:pPr>
            <w:r>
              <w:rPr>
                <w:rFonts w:ascii="Arial" w:cs="Arial" w:eastAsia="Arial" w:hAnsi="Arial"/>
                <w:sz w:val="18"/>
                <w:szCs w:val="18"/>
                <w:color w:val="auto"/>
              </w:rPr>
              <w:t>1,725</w:t>
            </w:r>
          </w:p>
        </w:tc>
        <w:tc>
          <w:tcPr>
            <w:tcW w:w="1080" w:type="dxa"/>
            <w:vAlign w:val="bottom"/>
            <w:gridSpan w:val="2"/>
            <w:shd w:val="clear" w:color="auto" w:fill="E5E5E5"/>
          </w:tcPr>
          <w:p>
            <w:pPr>
              <w:jc w:val="right"/>
              <w:ind w:right="233"/>
              <w:spacing w:after="0"/>
              <w:rPr>
                <w:sz w:val="20"/>
                <w:szCs w:val="20"/>
                <w:color w:val="auto"/>
              </w:rPr>
            </w:pPr>
            <w:r>
              <w:rPr>
                <w:rFonts w:ascii="Arial" w:cs="Arial" w:eastAsia="Arial" w:hAnsi="Arial"/>
                <w:sz w:val="18"/>
                <w:szCs w:val="18"/>
                <w:color w:val="auto"/>
              </w:rPr>
              <w:t>1,587</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w w:val="86"/>
              </w:rPr>
              <w:t>138</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756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gridSpan w:val="2"/>
          </w:tcPr>
          <w:p>
            <w:pPr>
              <w:jc w:val="right"/>
              <w:ind w:right="257"/>
              <w:spacing w:after="0"/>
              <w:rPr>
                <w:sz w:val="20"/>
                <w:szCs w:val="20"/>
                <w:color w:val="auto"/>
              </w:rPr>
            </w:pPr>
            <w:r>
              <w:rPr>
                <w:rFonts w:ascii="Arial" w:cs="Arial" w:eastAsia="Arial" w:hAnsi="Arial"/>
                <w:sz w:val="18"/>
                <w:szCs w:val="18"/>
                <w:color w:val="auto"/>
              </w:rPr>
              <w:t>1,449</w:t>
            </w:r>
          </w:p>
        </w:tc>
        <w:tc>
          <w:tcPr>
            <w:tcW w:w="1080" w:type="dxa"/>
            <w:vAlign w:val="bottom"/>
            <w:tcBorders>
              <w:bottom w:val="single" w:sz="8" w:color="auto"/>
            </w:tcBorders>
            <w:gridSpan w:val="2"/>
          </w:tcPr>
          <w:p>
            <w:pPr>
              <w:jc w:val="right"/>
              <w:ind w:right="233"/>
              <w:spacing w:after="0"/>
              <w:rPr>
                <w:sz w:val="20"/>
                <w:szCs w:val="20"/>
                <w:color w:val="auto"/>
              </w:rPr>
            </w:pPr>
            <w:r>
              <w:rPr>
                <w:rFonts w:ascii="Arial" w:cs="Arial" w:eastAsia="Arial" w:hAnsi="Arial"/>
                <w:sz w:val="18"/>
                <w:szCs w:val="18"/>
                <w:color w:val="auto"/>
              </w:rPr>
              <w:t>1,395</w:t>
            </w: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54</w:t>
            </w: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756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1180" w:type="dxa"/>
            <w:vAlign w:val="bottom"/>
            <w:gridSpan w:val="2"/>
            <w:shd w:val="clear" w:color="auto" w:fill="E5E5E5"/>
          </w:tcPr>
          <w:p>
            <w:pPr>
              <w:jc w:val="right"/>
              <w:ind w:right="257"/>
              <w:spacing w:after="0"/>
              <w:rPr>
                <w:sz w:val="20"/>
                <w:szCs w:val="20"/>
                <w:color w:val="auto"/>
              </w:rPr>
            </w:pPr>
            <w:r>
              <w:rPr>
                <w:rFonts w:ascii="Arial" w:cs="Arial" w:eastAsia="Arial" w:hAnsi="Arial"/>
                <w:sz w:val="18"/>
                <w:szCs w:val="18"/>
                <w:b w:val="1"/>
                <w:bCs w:val="1"/>
                <w:color w:val="auto"/>
              </w:rPr>
              <w:t>32,827</w:t>
            </w:r>
          </w:p>
        </w:tc>
        <w:tc>
          <w:tcPr>
            <w:tcW w:w="1080" w:type="dxa"/>
            <w:vAlign w:val="bottom"/>
            <w:gridSpan w:val="2"/>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31,175</w:t>
            </w:r>
          </w:p>
        </w:tc>
        <w:tc>
          <w:tcPr>
            <w:tcW w:w="1040" w:type="dxa"/>
            <w:vAlign w:val="bottom"/>
            <w:gridSpan w:val="2"/>
            <w:shd w:val="clear" w:color="auto" w:fill="E5E5E5"/>
          </w:tcPr>
          <w:p>
            <w:pPr>
              <w:jc w:val="right"/>
              <w:ind w:right="255"/>
              <w:spacing w:after="0"/>
              <w:rPr>
                <w:sz w:val="20"/>
                <w:szCs w:val="20"/>
                <w:color w:val="auto"/>
              </w:rPr>
            </w:pPr>
            <w:r>
              <w:rPr>
                <w:rFonts w:ascii="Arial" w:cs="Arial" w:eastAsia="Arial" w:hAnsi="Arial"/>
                <w:sz w:val="18"/>
                <w:szCs w:val="18"/>
                <w:b w:val="1"/>
                <w:bCs w:val="1"/>
                <w:color w:val="auto"/>
              </w:rPr>
              <w:t>1,652</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Programming</w:t>
            </w:r>
          </w:p>
        </w:tc>
        <w:tc>
          <w:tcPr>
            <w:tcW w:w="1180" w:type="dxa"/>
            <w:vAlign w:val="bottom"/>
            <w:gridSpan w:val="2"/>
            <w:shd w:val="clear" w:color="auto" w:fill="E5E5E5"/>
          </w:tcPr>
          <w:p>
            <w:pPr>
              <w:jc w:val="right"/>
              <w:ind w:right="257"/>
              <w:spacing w:after="0"/>
              <w:rPr>
                <w:sz w:val="20"/>
                <w:szCs w:val="20"/>
                <w:color w:val="auto"/>
              </w:rPr>
            </w:pPr>
            <w:r>
              <w:rPr>
                <w:rFonts w:ascii="Arial" w:cs="Arial" w:eastAsia="Arial" w:hAnsi="Arial"/>
                <w:sz w:val="18"/>
                <w:szCs w:val="18"/>
                <w:color w:val="auto"/>
              </w:rPr>
              <w:t>7,335</w:t>
            </w:r>
          </w:p>
        </w:tc>
        <w:tc>
          <w:tcPr>
            <w:tcW w:w="1080" w:type="dxa"/>
            <w:vAlign w:val="bottom"/>
            <w:gridSpan w:val="2"/>
            <w:shd w:val="clear" w:color="auto" w:fill="E5E5E5"/>
          </w:tcPr>
          <w:p>
            <w:pPr>
              <w:jc w:val="right"/>
              <w:ind w:right="233"/>
              <w:spacing w:after="0"/>
              <w:rPr>
                <w:sz w:val="20"/>
                <w:szCs w:val="20"/>
                <w:color w:val="auto"/>
              </w:rPr>
            </w:pPr>
            <w:r>
              <w:rPr>
                <w:rFonts w:ascii="Arial" w:cs="Arial" w:eastAsia="Arial" w:hAnsi="Arial"/>
                <w:sz w:val="18"/>
                <w:szCs w:val="18"/>
                <w:color w:val="auto"/>
              </w:rPr>
              <w:t>6,821</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w w:val="86"/>
              </w:rPr>
              <w:t>514</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7560" w:type="dxa"/>
            <w:vAlign w:val="bottom"/>
            <w:gridSpan w:val="2"/>
          </w:tcPr>
          <w:p>
            <w:pPr>
              <w:ind w:left="440"/>
              <w:spacing w:after="0"/>
              <w:rPr>
                <w:sz w:val="20"/>
                <w:szCs w:val="20"/>
                <w:color w:val="auto"/>
              </w:rPr>
            </w:pPr>
            <w:r>
              <w:rPr>
                <w:rFonts w:ascii="Arial" w:cs="Arial" w:eastAsia="Arial" w:hAnsi="Arial"/>
                <w:sz w:val="18"/>
                <w:szCs w:val="18"/>
                <w:color w:val="auto"/>
              </w:rPr>
              <w:t>Technical and product support</w:t>
            </w:r>
          </w:p>
        </w:tc>
        <w:tc>
          <w:tcPr>
            <w:tcW w:w="1180" w:type="dxa"/>
            <w:vAlign w:val="bottom"/>
            <w:gridSpan w:val="2"/>
          </w:tcPr>
          <w:p>
            <w:pPr>
              <w:jc w:val="right"/>
              <w:ind w:right="257"/>
              <w:spacing w:after="0"/>
              <w:rPr>
                <w:sz w:val="20"/>
                <w:szCs w:val="20"/>
                <w:color w:val="auto"/>
              </w:rPr>
            </w:pPr>
            <w:r>
              <w:rPr>
                <w:rFonts w:ascii="Arial" w:cs="Arial" w:eastAsia="Arial" w:hAnsi="Arial"/>
                <w:sz w:val="18"/>
                <w:szCs w:val="18"/>
                <w:color w:val="auto"/>
              </w:rPr>
              <w:t>4,120</w:t>
            </w:r>
          </w:p>
        </w:tc>
        <w:tc>
          <w:tcPr>
            <w:tcW w:w="1080" w:type="dxa"/>
            <w:vAlign w:val="bottom"/>
            <w:gridSpan w:val="2"/>
          </w:tcPr>
          <w:p>
            <w:pPr>
              <w:jc w:val="right"/>
              <w:ind w:right="233"/>
              <w:spacing w:after="0"/>
              <w:rPr>
                <w:sz w:val="20"/>
                <w:szCs w:val="20"/>
                <w:color w:val="auto"/>
              </w:rPr>
            </w:pPr>
            <w:r>
              <w:rPr>
                <w:rFonts w:ascii="Arial" w:cs="Arial" w:eastAsia="Arial" w:hAnsi="Arial"/>
                <w:sz w:val="18"/>
                <w:szCs w:val="18"/>
                <w:color w:val="auto"/>
              </w:rPr>
              <w:t>3,996</w:t>
            </w:r>
          </w:p>
        </w:tc>
        <w:tc>
          <w:tcPr>
            <w:tcW w:w="420" w:type="dxa"/>
            <w:vAlign w:val="bottom"/>
          </w:tcPr>
          <w:p>
            <w:pPr>
              <w:spacing w:after="0"/>
              <w:rPr>
                <w:sz w:val="18"/>
                <w:szCs w:val="18"/>
                <w:color w:val="auto"/>
              </w:rPr>
            </w:pPr>
          </w:p>
        </w:tc>
        <w:tc>
          <w:tcPr>
            <w:tcW w:w="620" w:type="dxa"/>
            <w:vAlign w:val="bottom"/>
          </w:tcPr>
          <w:p>
            <w:pPr>
              <w:jc w:val="right"/>
              <w:ind w:right="255"/>
              <w:spacing w:after="0"/>
              <w:rPr>
                <w:sz w:val="20"/>
                <w:szCs w:val="20"/>
                <w:color w:val="auto"/>
              </w:rPr>
            </w:pPr>
            <w:r>
              <w:rPr>
                <w:rFonts w:ascii="Arial" w:cs="Arial" w:eastAsia="Arial" w:hAnsi="Arial"/>
                <w:sz w:val="18"/>
                <w:szCs w:val="18"/>
                <w:color w:val="auto"/>
                <w:w w:val="86"/>
              </w:rPr>
              <w:t>124</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Customer service</w:t>
            </w:r>
          </w:p>
        </w:tc>
        <w:tc>
          <w:tcPr>
            <w:tcW w:w="1180" w:type="dxa"/>
            <w:vAlign w:val="bottom"/>
            <w:gridSpan w:val="2"/>
            <w:shd w:val="clear" w:color="auto" w:fill="E5E5E5"/>
          </w:tcPr>
          <w:p>
            <w:pPr>
              <w:jc w:val="right"/>
              <w:ind w:right="257"/>
              <w:spacing w:after="0"/>
              <w:rPr>
                <w:sz w:val="20"/>
                <w:szCs w:val="20"/>
                <w:color w:val="auto"/>
              </w:rPr>
            </w:pPr>
            <w:r>
              <w:rPr>
                <w:rFonts w:ascii="Arial" w:cs="Arial" w:eastAsia="Arial" w:hAnsi="Arial"/>
                <w:sz w:val="18"/>
                <w:szCs w:val="18"/>
                <w:color w:val="auto"/>
              </w:rPr>
              <w:t>1,648</w:t>
            </w:r>
          </w:p>
        </w:tc>
        <w:tc>
          <w:tcPr>
            <w:tcW w:w="1080" w:type="dxa"/>
            <w:vAlign w:val="bottom"/>
            <w:gridSpan w:val="2"/>
            <w:shd w:val="clear" w:color="auto" w:fill="E5E5E5"/>
          </w:tcPr>
          <w:p>
            <w:pPr>
              <w:jc w:val="right"/>
              <w:ind w:right="233"/>
              <w:spacing w:after="0"/>
              <w:rPr>
                <w:sz w:val="20"/>
                <w:szCs w:val="20"/>
                <w:color w:val="auto"/>
              </w:rPr>
            </w:pPr>
            <w:r>
              <w:rPr>
                <w:rFonts w:ascii="Arial" w:cs="Arial" w:eastAsia="Arial" w:hAnsi="Arial"/>
                <w:sz w:val="18"/>
                <w:szCs w:val="18"/>
                <w:color w:val="auto"/>
              </w:rPr>
              <w:t>1,565</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83</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560" w:type="dxa"/>
            <w:vAlign w:val="bottom"/>
            <w:gridSpan w:val="2"/>
          </w:tcPr>
          <w:p>
            <w:pPr>
              <w:ind w:left="440"/>
              <w:spacing w:after="0"/>
              <w:rPr>
                <w:sz w:val="20"/>
                <w:szCs w:val="20"/>
                <w:color w:val="auto"/>
              </w:rPr>
            </w:pPr>
            <w:r>
              <w:rPr>
                <w:rFonts w:ascii="Arial" w:cs="Arial" w:eastAsia="Arial" w:hAnsi="Arial"/>
                <w:sz w:val="18"/>
                <w:szCs w:val="18"/>
                <w:color w:val="auto"/>
              </w:rPr>
              <w:t>Franchise and other regulatory fees</w:t>
            </w:r>
          </w:p>
        </w:tc>
        <w:tc>
          <w:tcPr>
            <w:tcW w:w="500" w:type="dxa"/>
            <w:vAlign w:val="bottom"/>
          </w:tcPr>
          <w:p>
            <w:pPr>
              <w:spacing w:after="0"/>
              <w:rPr>
                <w:sz w:val="18"/>
                <w:szCs w:val="18"/>
                <w:color w:val="auto"/>
              </w:rPr>
            </w:pPr>
          </w:p>
        </w:tc>
        <w:tc>
          <w:tcPr>
            <w:tcW w:w="680" w:type="dxa"/>
            <w:vAlign w:val="bottom"/>
          </w:tcPr>
          <w:p>
            <w:pPr>
              <w:jc w:val="right"/>
              <w:ind w:right="257"/>
              <w:spacing w:after="0"/>
              <w:rPr>
                <w:sz w:val="20"/>
                <w:szCs w:val="20"/>
                <w:color w:val="auto"/>
              </w:rPr>
            </w:pPr>
            <w:r>
              <w:rPr>
                <w:rFonts w:ascii="Arial" w:cs="Arial" w:eastAsia="Arial" w:hAnsi="Arial"/>
                <w:sz w:val="18"/>
                <w:szCs w:val="18"/>
                <w:color w:val="auto"/>
              </w:rPr>
              <w:t>974</w:t>
            </w:r>
          </w:p>
        </w:tc>
        <w:tc>
          <w:tcPr>
            <w:tcW w:w="400" w:type="dxa"/>
            <w:vAlign w:val="bottom"/>
          </w:tcPr>
          <w:p>
            <w:pPr>
              <w:spacing w:after="0"/>
              <w:rPr>
                <w:sz w:val="18"/>
                <w:szCs w:val="18"/>
                <w:color w:val="auto"/>
              </w:rPr>
            </w:pPr>
          </w:p>
        </w:tc>
        <w:tc>
          <w:tcPr>
            <w:tcW w:w="680" w:type="dxa"/>
            <w:vAlign w:val="bottom"/>
          </w:tcPr>
          <w:p>
            <w:pPr>
              <w:jc w:val="right"/>
              <w:ind w:right="233"/>
              <w:spacing w:after="0"/>
              <w:rPr>
                <w:sz w:val="20"/>
                <w:szCs w:val="20"/>
                <w:color w:val="auto"/>
              </w:rPr>
            </w:pPr>
            <w:r>
              <w:rPr>
                <w:rFonts w:ascii="Arial" w:cs="Arial" w:eastAsia="Arial" w:hAnsi="Arial"/>
                <w:sz w:val="18"/>
                <w:szCs w:val="18"/>
                <w:color w:val="auto"/>
              </w:rPr>
              <w:t>932</w:t>
            </w:r>
          </w:p>
        </w:tc>
        <w:tc>
          <w:tcPr>
            <w:tcW w:w="420" w:type="dxa"/>
            <w:vAlign w:val="bottom"/>
          </w:tcPr>
          <w:p>
            <w:pPr>
              <w:spacing w:after="0"/>
              <w:rPr>
                <w:sz w:val="18"/>
                <w:szCs w:val="18"/>
                <w:color w:val="auto"/>
              </w:rPr>
            </w:pPr>
          </w:p>
        </w:tc>
        <w:tc>
          <w:tcPr>
            <w:tcW w:w="620" w:type="dxa"/>
            <w:vAlign w:val="bottom"/>
          </w:tcPr>
          <w:p>
            <w:pPr>
              <w:jc w:val="right"/>
              <w:ind w:right="255"/>
              <w:spacing w:after="0"/>
              <w:rPr>
                <w:sz w:val="20"/>
                <w:szCs w:val="20"/>
                <w:color w:val="auto"/>
              </w:rPr>
            </w:pPr>
            <w:r>
              <w:rPr>
                <w:rFonts w:ascii="Arial" w:cs="Arial" w:eastAsia="Arial" w:hAnsi="Arial"/>
                <w:sz w:val="18"/>
                <w:szCs w:val="18"/>
                <w:color w:val="auto"/>
              </w:rPr>
              <w:t>42</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Advertising, marketing and promotion</w:t>
            </w:r>
          </w:p>
        </w:tc>
        <w:tc>
          <w:tcPr>
            <w:tcW w:w="1180" w:type="dxa"/>
            <w:vAlign w:val="bottom"/>
            <w:gridSpan w:val="2"/>
            <w:shd w:val="clear" w:color="auto" w:fill="E5E5E5"/>
          </w:tcPr>
          <w:p>
            <w:pPr>
              <w:jc w:val="right"/>
              <w:ind w:right="257"/>
              <w:spacing w:after="0"/>
              <w:rPr>
                <w:sz w:val="20"/>
                <w:szCs w:val="20"/>
                <w:color w:val="auto"/>
              </w:rPr>
            </w:pPr>
            <w:r>
              <w:rPr>
                <w:rFonts w:ascii="Arial" w:cs="Arial" w:eastAsia="Arial" w:hAnsi="Arial"/>
                <w:sz w:val="18"/>
                <w:szCs w:val="18"/>
                <w:color w:val="auto"/>
              </w:rPr>
              <w:t>2,312</w:t>
            </w:r>
          </w:p>
        </w:tc>
        <w:tc>
          <w:tcPr>
            <w:tcW w:w="1080" w:type="dxa"/>
            <w:vAlign w:val="bottom"/>
            <w:gridSpan w:val="2"/>
            <w:shd w:val="clear" w:color="auto" w:fill="E5E5E5"/>
          </w:tcPr>
          <w:p>
            <w:pPr>
              <w:jc w:val="right"/>
              <w:ind w:right="233"/>
              <w:spacing w:after="0"/>
              <w:rPr>
                <w:sz w:val="20"/>
                <w:szCs w:val="20"/>
                <w:color w:val="auto"/>
              </w:rPr>
            </w:pPr>
            <w:r>
              <w:rPr>
                <w:rFonts w:ascii="Arial" w:cs="Arial" w:eastAsia="Arial" w:hAnsi="Arial"/>
                <w:sz w:val="18"/>
                <w:szCs w:val="18"/>
                <w:color w:val="auto"/>
              </w:rPr>
              <w:t>2,150</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w w:val="86"/>
              </w:rPr>
              <w:t>162</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756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gridSpan w:val="2"/>
          </w:tcPr>
          <w:p>
            <w:pPr>
              <w:jc w:val="right"/>
              <w:ind w:right="257"/>
              <w:spacing w:after="0"/>
              <w:rPr>
                <w:sz w:val="20"/>
                <w:szCs w:val="20"/>
                <w:color w:val="auto"/>
              </w:rPr>
            </w:pPr>
            <w:r>
              <w:rPr>
                <w:rFonts w:ascii="Arial" w:cs="Arial" w:eastAsia="Arial" w:hAnsi="Arial"/>
                <w:sz w:val="18"/>
                <w:szCs w:val="18"/>
                <w:color w:val="auto"/>
              </w:rPr>
              <w:t>3,010</w:t>
            </w:r>
          </w:p>
        </w:tc>
        <w:tc>
          <w:tcPr>
            <w:tcW w:w="1080" w:type="dxa"/>
            <w:vAlign w:val="bottom"/>
            <w:tcBorders>
              <w:bottom w:val="single" w:sz="8" w:color="auto"/>
            </w:tcBorders>
            <w:gridSpan w:val="2"/>
          </w:tcPr>
          <w:p>
            <w:pPr>
              <w:jc w:val="right"/>
              <w:ind w:right="233"/>
              <w:spacing w:after="0"/>
              <w:rPr>
                <w:sz w:val="20"/>
                <w:szCs w:val="20"/>
                <w:color w:val="auto"/>
              </w:rPr>
            </w:pPr>
            <w:r>
              <w:rPr>
                <w:rFonts w:ascii="Arial" w:cs="Arial" w:eastAsia="Arial" w:hAnsi="Arial"/>
                <w:sz w:val="18"/>
                <w:szCs w:val="18"/>
                <w:color w:val="auto"/>
              </w:rPr>
              <w:t>2,911</w:t>
            </w: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99</w:t>
            </w: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756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1180" w:type="dxa"/>
            <w:vAlign w:val="bottom"/>
            <w:tcBorders>
              <w:bottom w:val="single" w:sz="8" w:color="auto"/>
            </w:tcBorders>
            <w:gridSpan w:val="2"/>
            <w:shd w:val="clear" w:color="auto" w:fill="E5E5E5"/>
          </w:tcPr>
          <w:p>
            <w:pPr>
              <w:jc w:val="right"/>
              <w:ind w:right="257"/>
              <w:spacing w:after="0"/>
              <w:rPr>
                <w:sz w:val="20"/>
                <w:szCs w:val="20"/>
                <w:color w:val="auto"/>
              </w:rPr>
            </w:pPr>
            <w:r>
              <w:rPr>
                <w:rFonts w:ascii="Arial" w:cs="Arial" w:eastAsia="Arial" w:hAnsi="Arial"/>
                <w:sz w:val="18"/>
                <w:szCs w:val="18"/>
                <w:color w:val="auto"/>
              </w:rPr>
              <w:t>19,399</w:t>
            </w:r>
          </w:p>
        </w:tc>
        <w:tc>
          <w:tcPr>
            <w:tcW w:w="1080" w:type="dxa"/>
            <w:vAlign w:val="bottom"/>
            <w:tcBorders>
              <w:bottom w:val="single" w:sz="8" w:color="auto"/>
            </w:tcBorders>
            <w:gridSpan w:val="2"/>
            <w:shd w:val="clear" w:color="auto" w:fill="E5E5E5"/>
          </w:tcPr>
          <w:p>
            <w:pPr>
              <w:jc w:val="right"/>
              <w:ind w:right="233"/>
              <w:spacing w:after="0"/>
              <w:rPr>
                <w:sz w:val="20"/>
                <w:szCs w:val="20"/>
                <w:color w:val="auto"/>
              </w:rPr>
            </w:pPr>
            <w:r>
              <w:rPr>
                <w:rFonts w:ascii="Arial" w:cs="Arial" w:eastAsia="Arial" w:hAnsi="Arial"/>
                <w:sz w:val="18"/>
                <w:szCs w:val="18"/>
                <w:color w:val="auto"/>
              </w:rPr>
              <w:t>18,375</w:t>
            </w:r>
          </w:p>
        </w:tc>
        <w:tc>
          <w:tcPr>
            <w:tcW w:w="1040" w:type="dxa"/>
            <w:vAlign w:val="bottom"/>
            <w:tcBorders>
              <w:bottom w:val="single" w:sz="8" w:color="auto"/>
            </w:tcBorders>
            <w:gridSpan w:val="2"/>
            <w:shd w:val="clear" w:color="auto" w:fill="E5E5E5"/>
          </w:tcPr>
          <w:p>
            <w:pPr>
              <w:jc w:val="right"/>
              <w:ind w:right="255"/>
              <w:spacing w:after="0"/>
              <w:rPr>
                <w:sz w:val="20"/>
                <w:szCs w:val="20"/>
                <w:color w:val="auto"/>
              </w:rPr>
            </w:pPr>
            <w:r>
              <w:rPr>
                <w:rFonts w:ascii="Arial" w:cs="Arial" w:eastAsia="Arial" w:hAnsi="Arial"/>
                <w:sz w:val="18"/>
                <w:szCs w:val="18"/>
                <w:color w:val="auto"/>
              </w:rPr>
              <w:t>1,024</w:t>
            </w:r>
          </w:p>
        </w:tc>
        <w:tc>
          <w:tcPr>
            <w:tcW w:w="56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7"/>
        </w:trPr>
        <w:tc>
          <w:tcPr>
            <w:tcW w:w="7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1180" w:type="dxa"/>
            <w:vAlign w:val="bottom"/>
            <w:tcBorders>
              <w:bottom w:val="single" w:sz="8" w:color="auto"/>
            </w:tcBorders>
            <w:gridSpan w:val="2"/>
          </w:tcPr>
          <w:p>
            <w:pPr>
              <w:jc w:val="right"/>
              <w:ind w:right="257"/>
              <w:spacing w:after="0"/>
              <w:rPr>
                <w:sz w:val="20"/>
                <w:szCs w:val="20"/>
                <w:color w:val="auto"/>
              </w:rPr>
            </w:pPr>
            <w:r>
              <w:rPr>
                <w:rFonts w:ascii="Arial" w:cs="Arial" w:eastAsia="Arial" w:hAnsi="Arial"/>
                <w:sz w:val="18"/>
                <w:szCs w:val="18"/>
                <w:b w:val="1"/>
                <w:bCs w:val="1"/>
                <w:color w:val="auto"/>
              </w:rPr>
              <w:t>$13,428</w:t>
            </w:r>
          </w:p>
        </w:tc>
        <w:tc>
          <w:tcPr>
            <w:tcW w:w="1080" w:type="dxa"/>
            <w:vAlign w:val="bottom"/>
            <w:tcBorders>
              <w:bottom w:val="single" w:sz="8" w:color="auto"/>
            </w:tcBorders>
            <w:gridSpan w:val="2"/>
          </w:tcPr>
          <w:p>
            <w:pPr>
              <w:jc w:val="right"/>
              <w:ind w:right="233"/>
              <w:spacing w:after="0"/>
              <w:rPr>
                <w:sz w:val="20"/>
                <w:szCs w:val="20"/>
                <w:color w:val="auto"/>
              </w:rPr>
            </w:pPr>
            <w:r>
              <w:rPr>
                <w:rFonts w:ascii="Arial" w:cs="Arial" w:eastAsia="Arial" w:hAnsi="Arial"/>
                <w:sz w:val="18"/>
                <w:szCs w:val="18"/>
                <w:b w:val="1"/>
                <w:bCs w:val="1"/>
                <w:color w:val="auto"/>
              </w:rPr>
              <w:t>$12,800</w:t>
            </w:r>
          </w:p>
        </w:tc>
        <w:tc>
          <w:tcPr>
            <w:tcW w:w="4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b w:val="1"/>
                <w:bCs w:val="1"/>
                <w:color w:val="auto"/>
                <w:w w:val="86"/>
              </w:rPr>
              <w:t>628</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Beginning in 2014, our Cable Communications segment revised its methodology for counting customers related to how we count and report customers who reside in multiple dwelling units (“MDUs”) that are billed under bulk contracts (the “billable customers method”). For MDUs whose residents have the ability to receive additional cable services, such as additional programming choices or our high-definition (“HD”) or DVR services, we now count and report customers based on the number of potential billable relationships within each MDU. For MDUs whose residents are not able to receive additional cable services, the MDU is now counted as a single customer. Previously, we had counted and reported these customers on an equivalent billing unit basis by dividing monthly revenue received under an MDU’s bulk contract by the standard monthly residential rate where the MDU was located (the “EBU method”). We believe the billable customers method is consistent with the methodology used by other companies in our industry, including Time Warner Cable, to count and report customers.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tables below present customer metrics using the billable customers method. Because the differences in the number of customers using the billable customers method and the EBU method for high-speed Internet and voice customers were not material, high-speed Internet and voice customer metrics as of and for the three and nine months ended September 30, 2013 are presented using the EBU method.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Metrics—Billable Customers Method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380" w:type="dxa"/>
            <w:vAlign w:val="bottom"/>
            <w:tcBorders>
              <w:bottom w:val="single" w:sz="8" w:color="auto"/>
            </w:tcBorders>
            <w:gridSpan w:val="2"/>
          </w:tcPr>
          <w:p>
            <w:pPr>
              <w:jc w:val="right"/>
              <w:ind w:right="577"/>
              <w:spacing w:after="0"/>
              <w:rPr>
                <w:sz w:val="20"/>
                <w:szCs w:val="20"/>
                <w:color w:val="auto"/>
              </w:rPr>
            </w:pPr>
            <w:r>
              <w:rPr>
                <w:rFonts w:ascii="Arial" w:cs="Arial" w:eastAsia="Arial" w:hAnsi="Arial"/>
                <w:sz w:val="14"/>
                <w:szCs w:val="14"/>
                <w:color w:val="auto"/>
              </w:rPr>
              <w:t>Total Customers</w:t>
            </w:r>
          </w:p>
        </w:tc>
        <w:tc>
          <w:tcPr>
            <w:tcW w:w="13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2"/>
          </w:tcPr>
          <w:p>
            <w:pPr>
              <w:jc w:val="right"/>
              <w:ind w:right="618"/>
              <w:spacing w:after="0"/>
              <w:rPr>
                <w:sz w:val="20"/>
                <w:szCs w:val="20"/>
                <w:color w:val="auto"/>
              </w:rPr>
            </w:pPr>
            <w:r>
              <w:rPr>
                <w:rFonts w:ascii="Arial" w:cs="Arial" w:eastAsia="Arial" w:hAnsi="Arial"/>
                <w:sz w:val="14"/>
                <w:szCs w:val="14"/>
                <w:color w:val="auto"/>
              </w:rPr>
              <w:t>Net Additional Customers</w:t>
            </w:r>
          </w:p>
        </w:tc>
        <w:tc>
          <w:tcPr>
            <w:tcW w:w="520" w:type="dxa"/>
            <w:vAlign w:val="bottom"/>
            <w:tcBorders>
              <w:bottom w:val="single" w:sz="8" w:color="auto"/>
            </w:tcBorders>
          </w:tcPr>
          <w:p>
            <w:pPr>
              <w:spacing w:after="0"/>
              <w:rPr>
                <w:sz w:val="14"/>
                <w:szCs w:val="14"/>
                <w:color w:val="auto"/>
              </w:rPr>
            </w:pPr>
          </w:p>
        </w:tc>
      </w:tr>
      <w:tr>
        <w:trPr>
          <w:trHeight w:val="131"/>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20" w:type="dxa"/>
            <w:vAlign w:val="bottom"/>
            <w:gridSpan w:val="2"/>
          </w:tcPr>
          <w:p>
            <w:pPr>
              <w:jc w:val="right"/>
              <w:ind w:right="480"/>
              <w:spacing w:after="0" w:line="131" w:lineRule="exact"/>
              <w:rPr>
                <w:sz w:val="20"/>
                <w:szCs w:val="20"/>
                <w:color w:val="auto"/>
              </w:rPr>
            </w:pPr>
            <w:r>
              <w:rPr>
                <w:rFonts w:ascii="Arial" w:cs="Arial" w:eastAsia="Arial" w:hAnsi="Arial"/>
                <w:sz w:val="14"/>
                <w:szCs w:val="14"/>
                <w:color w:val="auto"/>
              </w:rPr>
              <w:t>Three Months Ended</w:t>
            </w:r>
          </w:p>
        </w:tc>
        <w:tc>
          <w:tcPr>
            <w:tcW w:w="1840" w:type="dxa"/>
            <w:vAlign w:val="bottom"/>
            <w:gridSpan w:val="2"/>
          </w:tcPr>
          <w:p>
            <w:pPr>
              <w:jc w:val="right"/>
              <w:ind w:right="277"/>
              <w:spacing w:after="0" w:line="131" w:lineRule="exact"/>
              <w:rPr>
                <w:sz w:val="20"/>
                <w:szCs w:val="20"/>
                <w:color w:val="auto"/>
              </w:rPr>
            </w:pPr>
            <w:r>
              <w:rPr>
                <w:rFonts w:ascii="Arial" w:cs="Arial" w:eastAsia="Arial" w:hAnsi="Arial"/>
                <w:sz w:val="14"/>
                <w:szCs w:val="14"/>
                <w:color w:val="auto"/>
              </w:rPr>
              <w:t>Nine Months Ended</w:t>
            </w:r>
          </w:p>
        </w:tc>
      </w:tr>
      <w:tr>
        <w:trPr>
          <w:trHeight w:val="159"/>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280" w:type="dxa"/>
            <w:vAlign w:val="bottom"/>
          </w:tcPr>
          <w:p>
            <w:pPr>
              <w:jc w:val="right"/>
              <w:ind w:right="78"/>
              <w:spacing w:after="0" w:line="159" w:lineRule="exact"/>
              <w:rPr>
                <w:sz w:val="20"/>
                <w:szCs w:val="20"/>
                <w:color w:val="auto"/>
              </w:rPr>
            </w:pPr>
            <w:r>
              <w:rPr>
                <w:rFonts w:ascii="Arial" w:cs="Arial" w:eastAsia="Arial" w:hAnsi="Arial"/>
                <w:sz w:val="14"/>
                <w:szCs w:val="14"/>
                <w:color w:val="auto"/>
              </w:rPr>
              <w:t>September 30</w:t>
            </w:r>
          </w:p>
        </w:tc>
        <w:tc>
          <w:tcPr>
            <w:tcW w:w="1100" w:type="dxa"/>
            <w:vAlign w:val="bottom"/>
          </w:tcPr>
          <w:p>
            <w:pPr>
              <w:jc w:val="right"/>
              <w:ind w:right="117"/>
              <w:spacing w:after="0" w:line="159" w:lineRule="exact"/>
              <w:rPr>
                <w:sz w:val="20"/>
                <w:szCs w:val="20"/>
                <w:color w:val="auto"/>
              </w:rPr>
            </w:pPr>
            <w:r>
              <w:rPr>
                <w:rFonts w:ascii="Arial" w:cs="Arial" w:eastAsia="Arial" w:hAnsi="Arial"/>
                <w:sz w:val="14"/>
                <w:szCs w:val="14"/>
                <w:color w:val="auto"/>
              </w:rPr>
              <w:t>September 30</w:t>
            </w:r>
          </w:p>
        </w:tc>
        <w:tc>
          <w:tcPr>
            <w:tcW w:w="2420" w:type="dxa"/>
            <w:vAlign w:val="bottom"/>
            <w:tcBorders>
              <w:bottom w:val="single" w:sz="8" w:color="auto"/>
            </w:tcBorders>
            <w:gridSpan w:val="2"/>
          </w:tcPr>
          <w:p>
            <w:pPr>
              <w:jc w:val="right"/>
              <w:ind w:right="680"/>
              <w:spacing w:after="0" w:line="159" w:lineRule="exact"/>
              <w:rPr>
                <w:sz w:val="20"/>
                <w:szCs w:val="20"/>
                <w:color w:val="auto"/>
              </w:rPr>
            </w:pPr>
            <w:r>
              <w:rPr>
                <w:rFonts w:ascii="Arial" w:cs="Arial" w:eastAsia="Arial" w:hAnsi="Arial"/>
                <w:sz w:val="14"/>
                <w:szCs w:val="14"/>
                <w:color w:val="auto"/>
              </w:rPr>
              <w:t>September 30</w:t>
            </w:r>
          </w:p>
        </w:tc>
        <w:tc>
          <w:tcPr>
            <w:tcW w:w="13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September 30</w:t>
            </w:r>
          </w:p>
        </w:tc>
        <w:tc>
          <w:tcPr>
            <w:tcW w:w="520" w:type="dxa"/>
            <w:vAlign w:val="bottom"/>
            <w:tcBorders>
              <w:bottom w:val="single" w:sz="8" w:color="auto"/>
            </w:tcBorders>
          </w:tcPr>
          <w:p>
            <w:pPr>
              <w:spacing w:after="0"/>
              <w:rPr>
                <w:sz w:val="13"/>
                <w:szCs w:val="13"/>
                <w:color w:val="auto"/>
              </w:rPr>
            </w:pPr>
          </w:p>
        </w:tc>
      </w:tr>
      <w:tr>
        <w:trPr>
          <w:trHeight w:val="142"/>
        </w:trPr>
        <w:tc>
          <w:tcPr>
            <w:tcW w:w="4780" w:type="dxa"/>
            <w:vAlign w:val="bottom"/>
            <w:gridSpan w:val="2"/>
          </w:tcPr>
          <w:p>
            <w:pPr>
              <w:spacing w:after="0" w:line="142" w:lineRule="exact"/>
              <w:rPr>
                <w:sz w:val="20"/>
                <w:szCs w:val="20"/>
                <w:color w:val="auto"/>
              </w:rPr>
            </w:pPr>
            <w:r>
              <w:rPr>
                <w:rFonts w:ascii="Arial" w:cs="Arial" w:eastAsia="Arial" w:hAnsi="Arial"/>
                <w:sz w:val="14"/>
                <w:szCs w:val="14"/>
                <w:color w:val="auto"/>
              </w:rPr>
              <w:t>(in thousands)</w:t>
            </w:r>
          </w:p>
        </w:tc>
        <w:tc>
          <w:tcPr>
            <w:tcW w:w="1280" w:type="dxa"/>
            <w:vAlign w:val="bottom"/>
          </w:tcPr>
          <w:p>
            <w:pPr>
              <w:jc w:val="right"/>
              <w:ind w:right="318"/>
              <w:spacing w:after="0" w:line="142" w:lineRule="exact"/>
              <w:rPr>
                <w:sz w:val="20"/>
                <w:szCs w:val="20"/>
                <w:color w:val="auto"/>
              </w:rPr>
            </w:pPr>
            <w:r>
              <w:rPr>
                <w:rFonts w:ascii="Arial" w:cs="Arial" w:eastAsia="Arial" w:hAnsi="Arial"/>
                <w:sz w:val="14"/>
                <w:szCs w:val="14"/>
                <w:color w:val="auto"/>
              </w:rPr>
              <w:t>2014</w:t>
            </w:r>
          </w:p>
        </w:tc>
        <w:tc>
          <w:tcPr>
            <w:tcW w:w="1100" w:type="dxa"/>
            <w:vAlign w:val="bottom"/>
          </w:tcPr>
          <w:p>
            <w:pPr>
              <w:jc w:val="right"/>
              <w:ind w:right="357"/>
              <w:spacing w:after="0" w:line="142" w:lineRule="exact"/>
              <w:rPr>
                <w:sz w:val="20"/>
                <w:szCs w:val="20"/>
                <w:color w:val="auto"/>
              </w:rPr>
            </w:pPr>
            <w:r>
              <w:rPr>
                <w:rFonts w:ascii="Arial" w:cs="Arial" w:eastAsia="Arial" w:hAnsi="Arial"/>
                <w:sz w:val="14"/>
                <w:szCs w:val="14"/>
                <w:color w:val="auto"/>
              </w:rPr>
              <w:t>2013</w:t>
            </w:r>
          </w:p>
        </w:tc>
        <w:tc>
          <w:tcPr>
            <w:tcW w:w="1360" w:type="dxa"/>
            <w:vAlign w:val="bottom"/>
          </w:tcPr>
          <w:p>
            <w:pPr>
              <w:jc w:val="right"/>
              <w:ind w:right="378"/>
              <w:spacing w:after="0" w:line="142" w:lineRule="exact"/>
              <w:rPr>
                <w:sz w:val="20"/>
                <w:szCs w:val="20"/>
                <w:color w:val="auto"/>
              </w:rPr>
            </w:pPr>
            <w:r>
              <w:rPr>
                <w:rFonts w:ascii="Arial" w:cs="Arial" w:eastAsia="Arial" w:hAnsi="Arial"/>
                <w:sz w:val="14"/>
                <w:szCs w:val="14"/>
                <w:color w:val="auto"/>
              </w:rPr>
              <w:t>2014</w:t>
            </w:r>
          </w:p>
        </w:tc>
        <w:tc>
          <w:tcPr>
            <w:tcW w:w="1060" w:type="dxa"/>
            <w:vAlign w:val="bottom"/>
          </w:tcPr>
          <w:p>
            <w:pPr>
              <w:jc w:val="right"/>
              <w:ind w:right="400"/>
              <w:spacing w:after="0" w:line="142" w:lineRule="exact"/>
              <w:rPr>
                <w:sz w:val="20"/>
                <w:szCs w:val="20"/>
                <w:color w:val="auto"/>
              </w:rPr>
            </w:pPr>
            <w:r>
              <w:rPr>
                <w:rFonts w:ascii="Arial" w:cs="Arial" w:eastAsia="Arial" w:hAnsi="Arial"/>
                <w:sz w:val="14"/>
                <w:szCs w:val="14"/>
                <w:color w:val="auto"/>
              </w:rPr>
              <w:t>2013</w:t>
            </w:r>
          </w:p>
        </w:tc>
        <w:tc>
          <w:tcPr>
            <w:tcW w:w="1320" w:type="dxa"/>
            <w:vAlign w:val="bottom"/>
          </w:tcPr>
          <w:p>
            <w:pPr>
              <w:jc w:val="right"/>
              <w:ind w:right="678"/>
              <w:spacing w:after="0" w:line="142" w:lineRule="exact"/>
              <w:rPr>
                <w:sz w:val="20"/>
                <w:szCs w:val="20"/>
                <w:color w:val="auto"/>
              </w:rPr>
            </w:pPr>
            <w:r>
              <w:rPr>
                <w:rFonts w:ascii="Arial" w:cs="Arial" w:eastAsia="Arial" w:hAnsi="Arial"/>
                <w:sz w:val="14"/>
                <w:szCs w:val="14"/>
                <w:color w:val="auto"/>
              </w:rPr>
              <w:t>2014</w:t>
            </w:r>
          </w:p>
        </w:tc>
        <w:tc>
          <w:tcPr>
            <w:tcW w:w="520" w:type="dxa"/>
            <w:vAlign w:val="bottom"/>
          </w:tcPr>
          <w:p>
            <w:pPr>
              <w:jc w:val="right"/>
              <w:ind w:right="157"/>
              <w:spacing w:after="0" w:line="142" w:lineRule="exact"/>
              <w:rPr>
                <w:sz w:val="20"/>
                <w:szCs w:val="20"/>
                <w:color w:val="auto"/>
              </w:rPr>
            </w:pPr>
            <w:r>
              <w:rPr>
                <w:rFonts w:ascii="Arial" w:cs="Arial" w:eastAsia="Arial" w:hAnsi="Arial"/>
                <w:sz w:val="14"/>
                <w:szCs w:val="14"/>
                <w:color w:val="auto"/>
                <w:w w:val="83"/>
              </w:rPr>
              <w:t>2013</w:t>
            </w:r>
          </w:p>
        </w:tc>
      </w:tr>
      <w:tr>
        <w:trPr>
          <w:trHeight w:val="210"/>
        </w:trPr>
        <w:tc>
          <w:tcPr>
            <w:tcW w:w="20" w:type="dxa"/>
            <w:vAlign w:val="bottom"/>
          </w:tcPr>
          <w:p>
            <w:pPr>
              <w:spacing w:after="0"/>
              <w:rPr>
                <w:sz w:val="18"/>
                <w:szCs w:val="18"/>
                <w:color w:val="auto"/>
              </w:rPr>
            </w:pPr>
          </w:p>
        </w:tc>
        <w:tc>
          <w:tcPr>
            <w:tcW w:w="47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Video customers</w:t>
            </w:r>
          </w:p>
        </w:tc>
        <w:tc>
          <w:tcPr>
            <w:tcW w:w="1280" w:type="dxa"/>
            <w:vAlign w:val="bottom"/>
            <w:tcBorders>
              <w:top w:val="single" w:sz="8" w:color="auto"/>
            </w:tcBorders>
            <w:shd w:val="clear" w:color="auto" w:fill="E5E5E5"/>
          </w:tcPr>
          <w:p>
            <w:pPr>
              <w:jc w:val="right"/>
              <w:ind w:right="78"/>
              <w:spacing w:after="0"/>
              <w:rPr>
                <w:sz w:val="20"/>
                <w:szCs w:val="20"/>
                <w:color w:val="auto"/>
              </w:rPr>
            </w:pPr>
            <w:r>
              <w:rPr>
                <w:rFonts w:ascii="Arial" w:cs="Arial" w:eastAsia="Arial" w:hAnsi="Arial"/>
                <w:sz w:val="18"/>
                <w:szCs w:val="18"/>
                <w:color w:val="auto"/>
              </w:rPr>
              <w:t>22,376</w:t>
            </w:r>
          </w:p>
        </w:tc>
        <w:tc>
          <w:tcPr>
            <w:tcW w:w="1100" w:type="dxa"/>
            <w:vAlign w:val="bottom"/>
            <w:tcBorders>
              <w:top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22,531</w:t>
            </w:r>
          </w:p>
        </w:tc>
        <w:tc>
          <w:tcPr>
            <w:tcW w:w="1360" w:type="dxa"/>
            <w:vAlign w:val="bottom"/>
            <w:tcBorders>
              <w:top w:val="single" w:sz="8" w:color="auto"/>
            </w:tcBorders>
            <w:shd w:val="clear" w:color="auto" w:fill="E5E5E5"/>
          </w:tcPr>
          <w:p>
            <w:pPr>
              <w:jc w:val="right"/>
              <w:ind w:right="178"/>
              <w:spacing w:after="0"/>
              <w:rPr>
                <w:sz w:val="20"/>
                <w:szCs w:val="20"/>
                <w:color w:val="auto"/>
              </w:rPr>
            </w:pPr>
            <w:r>
              <w:rPr>
                <w:rFonts w:ascii="Arial" w:cs="Arial" w:eastAsia="Arial" w:hAnsi="Arial"/>
                <w:sz w:val="18"/>
                <w:szCs w:val="18"/>
                <w:color w:val="auto"/>
              </w:rPr>
              <w:t>(81)</w:t>
            </w:r>
          </w:p>
        </w:tc>
        <w:tc>
          <w:tcPr>
            <w:tcW w:w="1060" w:type="dxa"/>
            <w:vAlign w:val="bottom"/>
            <w:tcBorders>
              <w:top w:val="single" w:sz="8" w:color="auto"/>
            </w:tcBorders>
            <w:shd w:val="clear" w:color="auto" w:fill="E5E5E5"/>
          </w:tcPr>
          <w:p>
            <w:pPr>
              <w:jc w:val="right"/>
              <w:ind w:right="200"/>
              <w:spacing w:after="0"/>
              <w:rPr>
                <w:sz w:val="20"/>
                <w:szCs w:val="20"/>
                <w:color w:val="auto"/>
              </w:rPr>
            </w:pPr>
            <w:r>
              <w:rPr>
                <w:rFonts w:ascii="Arial" w:cs="Arial" w:eastAsia="Arial" w:hAnsi="Arial"/>
                <w:sz w:val="18"/>
                <w:szCs w:val="18"/>
                <w:color w:val="auto"/>
              </w:rPr>
              <w:t>(127)</w:t>
            </w:r>
          </w:p>
        </w:tc>
        <w:tc>
          <w:tcPr>
            <w:tcW w:w="1320" w:type="dxa"/>
            <w:vAlign w:val="bottom"/>
            <w:tcBorders>
              <w:top w:val="single" w:sz="8" w:color="auto"/>
            </w:tcBorders>
            <w:shd w:val="clear" w:color="auto" w:fill="E5E5E5"/>
          </w:tcPr>
          <w:p>
            <w:pPr>
              <w:jc w:val="right"/>
              <w:ind w:right="478"/>
              <w:spacing w:after="0"/>
              <w:rPr>
                <w:sz w:val="20"/>
                <w:szCs w:val="20"/>
                <w:color w:val="auto"/>
              </w:rPr>
            </w:pPr>
            <w:r>
              <w:rPr>
                <w:rFonts w:ascii="Arial" w:cs="Arial" w:eastAsia="Arial" w:hAnsi="Arial"/>
                <w:sz w:val="18"/>
                <w:szCs w:val="18"/>
                <w:color w:val="auto"/>
              </w:rPr>
              <w:t>(200)</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(313)</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High-speed Internet customers</w:t>
            </w:r>
          </w:p>
        </w:tc>
        <w:tc>
          <w:tcPr>
            <w:tcW w:w="1280" w:type="dxa"/>
            <w:vAlign w:val="bottom"/>
          </w:tcPr>
          <w:p>
            <w:pPr>
              <w:jc w:val="right"/>
              <w:ind w:right="78"/>
              <w:spacing w:after="0"/>
              <w:rPr>
                <w:sz w:val="20"/>
                <w:szCs w:val="20"/>
                <w:color w:val="auto"/>
              </w:rPr>
            </w:pPr>
            <w:r>
              <w:rPr>
                <w:rFonts w:ascii="Arial" w:cs="Arial" w:eastAsia="Arial" w:hAnsi="Arial"/>
                <w:sz w:val="18"/>
                <w:szCs w:val="18"/>
                <w:color w:val="auto"/>
              </w:rPr>
              <w:t>21,586</w:t>
            </w:r>
          </w:p>
        </w:tc>
        <w:tc>
          <w:tcPr>
            <w:tcW w:w="1100" w:type="dxa"/>
            <w:vAlign w:val="bottom"/>
          </w:tcPr>
          <w:p>
            <w:pPr>
              <w:jc w:val="right"/>
              <w:ind w:right="117"/>
              <w:spacing w:after="0"/>
              <w:rPr>
                <w:sz w:val="20"/>
                <w:szCs w:val="20"/>
                <w:color w:val="auto"/>
              </w:rPr>
            </w:pPr>
            <w:r>
              <w:rPr>
                <w:rFonts w:ascii="Arial" w:cs="Arial" w:eastAsia="Arial" w:hAnsi="Arial"/>
                <w:sz w:val="18"/>
                <w:szCs w:val="18"/>
                <w:color w:val="auto"/>
              </w:rPr>
              <w:t>20,283</w:t>
            </w:r>
          </w:p>
        </w:tc>
        <w:tc>
          <w:tcPr>
            <w:tcW w:w="1360" w:type="dxa"/>
            <w:vAlign w:val="bottom"/>
          </w:tcPr>
          <w:p>
            <w:pPr>
              <w:jc w:val="right"/>
              <w:ind w:right="238"/>
              <w:spacing w:after="0"/>
              <w:rPr>
                <w:sz w:val="20"/>
                <w:szCs w:val="20"/>
                <w:color w:val="auto"/>
              </w:rPr>
            </w:pPr>
            <w:r>
              <w:rPr>
                <w:rFonts w:ascii="Arial" w:cs="Arial" w:eastAsia="Arial" w:hAnsi="Arial"/>
                <w:sz w:val="18"/>
                <w:szCs w:val="18"/>
                <w:color w:val="auto"/>
              </w:rPr>
              <w:t>315</w:t>
            </w:r>
          </w:p>
        </w:tc>
        <w:tc>
          <w:tcPr>
            <w:tcW w:w="1060" w:type="dxa"/>
            <w:vAlign w:val="bottom"/>
          </w:tcPr>
          <w:p>
            <w:pPr>
              <w:jc w:val="right"/>
              <w:ind w:right="260"/>
              <w:spacing w:after="0"/>
              <w:rPr>
                <w:sz w:val="20"/>
                <w:szCs w:val="20"/>
                <w:color w:val="auto"/>
              </w:rPr>
            </w:pPr>
            <w:r>
              <w:rPr>
                <w:rFonts w:ascii="Arial" w:cs="Arial" w:eastAsia="Arial" w:hAnsi="Arial"/>
                <w:sz w:val="18"/>
                <w:szCs w:val="18"/>
                <w:color w:val="auto"/>
              </w:rPr>
              <w:t>297</w:t>
            </w:r>
          </w:p>
        </w:tc>
        <w:tc>
          <w:tcPr>
            <w:tcW w:w="1320" w:type="dxa"/>
            <w:vAlign w:val="bottom"/>
          </w:tcPr>
          <w:p>
            <w:pPr>
              <w:jc w:val="right"/>
              <w:ind w:right="538"/>
              <w:spacing w:after="0"/>
              <w:rPr>
                <w:sz w:val="20"/>
                <w:szCs w:val="20"/>
                <w:color w:val="auto"/>
              </w:rPr>
            </w:pPr>
            <w:r>
              <w:rPr>
                <w:rFonts w:ascii="Arial" w:cs="Arial" w:eastAsia="Arial" w:hAnsi="Arial"/>
                <w:sz w:val="18"/>
                <w:szCs w:val="18"/>
                <w:color w:val="auto"/>
              </w:rPr>
              <w:t>901</w:t>
            </w:r>
          </w:p>
        </w:tc>
        <w:tc>
          <w:tcPr>
            <w:tcW w:w="520" w:type="dxa"/>
            <w:vAlign w:val="bottom"/>
          </w:tcPr>
          <w:p>
            <w:pPr>
              <w:jc w:val="right"/>
              <w:ind w:right="17"/>
              <w:spacing w:after="0"/>
              <w:rPr>
                <w:sz w:val="20"/>
                <w:szCs w:val="20"/>
                <w:color w:val="auto"/>
              </w:rPr>
            </w:pPr>
            <w:r>
              <w:rPr>
                <w:rFonts w:ascii="Arial" w:cs="Arial" w:eastAsia="Arial" w:hAnsi="Arial"/>
                <w:sz w:val="18"/>
                <w:szCs w:val="18"/>
                <w:color w:val="auto"/>
              </w:rPr>
              <w:t>917</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Voice customers</w:t>
            </w:r>
          </w:p>
        </w:tc>
        <w:tc>
          <w:tcPr>
            <w:tcW w:w="1280" w:type="dxa"/>
            <w:vAlign w:val="bottom"/>
            <w:tcBorders>
              <w:bottom w:val="single" w:sz="8" w:color="auto"/>
            </w:tcBorders>
            <w:shd w:val="clear" w:color="auto" w:fill="E5E5E5"/>
          </w:tcPr>
          <w:p>
            <w:pPr>
              <w:jc w:val="right"/>
              <w:ind w:right="78"/>
              <w:spacing w:after="0"/>
              <w:rPr>
                <w:sz w:val="20"/>
                <w:szCs w:val="20"/>
                <w:color w:val="auto"/>
              </w:rPr>
            </w:pPr>
            <w:r>
              <w:rPr>
                <w:rFonts w:ascii="Arial" w:cs="Arial" w:eastAsia="Arial" w:hAnsi="Arial"/>
                <w:sz w:val="18"/>
                <w:szCs w:val="18"/>
                <w:color w:val="auto"/>
              </w:rPr>
              <w:t>11,070</w:t>
            </w:r>
          </w:p>
        </w:tc>
        <w:tc>
          <w:tcPr>
            <w:tcW w:w="110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10,496</w:t>
            </w:r>
          </w:p>
        </w:tc>
        <w:tc>
          <w:tcPr>
            <w:tcW w:w="1360" w:type="dxa"/>
            <w:vAlign w:val="bottom"/>
            <w:tcBorders>
              <w:bottom w:val="single" w:sz="8" w:color="auto"/>
            </w:tcBorders>
            <w:shd w:val="clear" w:color="auto" w:fill="E5E5E5"/>
          </w:tcPr>
          <w:p>
            <w:pPr>
              <w:jc w:val="right"/>
              <w:ind w:right="238"/>
              <w:spacing w:after="0"/>
              <w:rPr>
                <w:sz w:val="20"/>
                <w:szCs w:val="20"/>
                <w:color w:val="auto"/>
              </w:rPr>
            </w:pPr>
            <w:r>
              <w:rPr>
                <w:rFonts w:ascii="Arial" w:cs="Arial" w:eastAsia="Arial" w:hAnsi="Arial"/>
                <w:sz w:val="18"/>
                <w:szCs w:val="18"/>
                <w:color w:val="auto"/>
              </w:rPr>
              <w:t>68</w:t>
            </w:r>
          </w:p>
        </w:tc>
        <w:tc>
          <w:tcPr>
            <w:tcW w:w="1060" w:type="dxa"/>
            <w:vAlign w:val="bottom"/>
            <w:tcBorders>
              <w:bottom w:val="single" w:sz="8" w:color="auto"/>
            </w:tcBorders>
            <w:shd w:val="clear" w:color="auto" w:fill="E5E5E5"/>
          </w:tcPr>
          <w:p>
            <w:pPr>
              <w:jc w:val="right"/>
              <w:ind w:right="260"/>
              <w:spacing w:after="0"/>
              <w:rPr>
                <w:sz w:val="20"/>
                <w:szCs w:val="20"/>
                <w:color w:val="auto"/>
              </w:rPr>
            </w:pPr>
            <w:r>
              <w:rPr>
                <w:rFonts w:ascii="Arial" w:cs="Arial" w:eastAsia="Arial" w:hAnsi="Arial"/>
                <w:sz w:val="18"/>
                <w:szCs w:val="18"/>
                <w:color w:val="auto"/>
              </w:rPr>
              <w:t>169</w:t>
            </w:r>
          </w:p>
        </w:tc>
        <w:tc>
          <w:tcPr>
            <w:tcW w:w="1320" w:type="dxa"/>
            <w:vAlign w:val="bottom"/>
            <w:tcBorders>
              <w:bottom w:val="single" w:sz="8" w:color="auto"/>
            </w:tcBorders>
            <w:shd w:val="clear" w:color="auto" w:fill="E5E5E5"/>
          </w:tcPr>
          <w:p>
            <w:pPr>
              <w:jc w:val="right"/>
              <w:ind w:right="538"/>
              <w:spacing w:after="0"/>
              <w:rPr>
                <w:sz w:val="20"/>
                <w:szCs w:val="20"/>
                <w:color w:val="auto"/>
              </w:rPr>
            </w:pPr>
            <w:r>
              <w:rPr>
                <w:rFonts w:ascii="Arial" w:cs="Arial" w:eastAsia="Arial" w:hAnsi="Arial"/>
                <w:sz w:val="18"/>
                <w:szCs w:val="18"/>
                <w:color w:val="auto"/>
              </w:rPr>
              <w:t>347</w:t>
            </w:r>
          </w:p>
        </w:tc>
        <w:tc>
          <w:tcPr>
            <w:tcW w:w="52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541</w:t>
            </w:r>
          </w:p>
        </w:tc>
      </w:tr>
      <w:tr>
        <w:trPr>
          <w:trHeight w:val="210"/>
        </w:trPr>
        <w:tc>
          <w:tcPr>
            <w:tcW w:w="20" w:type="dxa"/>
            <w:vAlign w:val="bottom"/>
          </w:tcPr>
          <w:p>
            <w:pPr>
              <w:spacing w:after="0"/>
              <w:rPr>
                <w:sz w:val="18"/>
                <w:szCs w:val="18"/>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customer relationships</w:t>
            </w:r>
          </w:p>
        </w:tc>
        <w:tc>
          <w:tcPr>
            <w:tcW w:w="128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26,857</w:t>
            </w:r>
          </w:p>
        </w:tc>
        <w:tc>
          <w:tcPr>
            <w:tcW w:w="110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26,555</w:t>
            </w:r>
          </w:p>
        </w:tc>
        <w:tc>
          <w:tcPr>
            <w:tcW w:w="1360" w:type="dxa"/>
            <w:vAlign w:val="bottom"/>
            <w:tcBorders>
              <w:bottom w:val="single" w:sz="8" w:color="auto"/>
            </w:tcBorders>
          </w:tcPr>
          <w:p>
            <w:pPr>
              <w:jc w:val="right"/>
              <w:ind w:right="238"/>
              <w:spacing w:after="0"/>
              <w:rPr>
                <w:sz w:val="20"/>
                <w:szCs w:val="20"/>
                <w:color w:val="auto"/>
              </w:rPr>
            </w:pPr>
            <w:r>
              <w:rPr>
                <w:rFonts w:ascii="Arial" w:cs="Arial" w:eastAsia="Arial" w:hAnsi="Arial"/>
                <w:sz w:val="18"/>
                <w:szCs w:val="18"/>
                <w:color w:val="auto"/>
              </w:rPr>
              <w:t>82</w:t>
            </w:r>
          </w:p>
        </w:tc>
        <w:tc>
          <w:tcPr>
            <w:tcW w:w="10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8"/>
              <w:spacing w:after="0"/>
              <w:rPr>
                <w:sz w:val="20"/>
                <w:szCs w:val="20"/>
                <w:color w:val="auto"/>
              </w:rPr>
            </w:pPr>
            <w:r>
              <w:rPr>
                <w:rFonts w:ascii="Arial" w:cs="Arial" w:eastAsia="Arial" w:hAnsi="Arial"/>
                <w:sz w:val="18"/>
                <w:szCs w:val="18"/>
                <w:color w:val="auto"/>
              </w:rPr>
              <w:t>180</w:t>
            </w:r>
          </w:p>
        </w:tc>
        <w:tc>
          <w:tcPr>
            <w:tcW w:w="5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Single product customers</w:t>
            </w:r>
          </w:p>
        </w:tc>
        <w:tc>
          <w:tcPr>
            <w:tcW w:w="1280" w:type="dxa"/>
            <w:vAlign w:val="bottom"/>
            <w:shd w:val="clear" w:color="auto" w:fill="E5E5E5"/>
          </w:tcPr>
          <w:p>
            <w:pPr>
              <w:jc w:val="right"/>
              <w:ind w:right="78"/>
              <w:spacing w:after="0"/>
              <w:rPr>
                <w:sz w:val="20"/>
                <w:szCs w:val="20"/>
                <w:color w:val="auto"/>
              </w:rPr>
            </w:pPr>
            <w:r>
              <w:rPr>
                <w:rFonts w:ascii="Arial" w:cs="Arial" w:eastAsia="Arial" w:hAnsi="Arial"/>
                <w:sz w:val="18"/>
                <w:szCs w:val="18"/>
                <w:color w:val="auto"/>
              </w:rPr>
              <w:t>8,444</w:t>
            </w:r>
          </w:p>
        </w:tc>
        <w:tc>
          <w:tcPr>
            <w:tcW w:w="110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8,921</w:t>
            </w:r>
          </w:p>
        </w:tc>
        <w:tc>
          <w:tcPr>
            <w:tcW w:w="1360" w:type="dxa"/>
            <w:vAlign w:val="bottom"/>
            <w:shd w:val="clear" w:color="auto" w:fill="E5E5E5"/>
          </w:tcPr>
          <w:p>
            <w:pPr>
              <w:jc w:val="right"/>
              <w:ind w:right="178"/>
              <w:spacing w:after="0"/>
              <w:rPr>
                <w:sz w:val="20"/>
                <w:szCs w:val="20"/>
                <w:color w:val="auto"/>
              </w:rPr>
            </w:pPr>
            <w:r>
              <w:rPr>
                <w:rFonts w:ascii="Arial" w:cs="Arial" w:eastAsia="Arial" w:hAnsi="Arial"/>
                <w:sz w:val="18"/>
                <w:szCs w:val="18"/>
                <w:color w:val="auto"/>
              </w:rPr>
              <w:t>(66)</w:t>
            </w:r>
          </w:p>
        </w:tc>
        <w:tc>
          <w:tcPr>
            <w:tcW w:w="106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478"/>
              <w:spacing w:after="0"/>
              <w:rPr>
                <w:sz w:val="20"/>
                <w:szCs w:val="20"/>
                <w:color w:val="auto"/>
              </w:rPr>
            </w:pPr>
            <w:r>
              <w:rPr>
                <w:rFonts w:ascii="Arial" w:cs="Arial" w:eastAsia="Arial" w:hAnsi="Arial"/>
                <w:sz w:val="18"/>
                <w:szCs w:val="18"/>
                <w:color w:val="auto"/>
              </w:rPr>
              <w:t>(308)</w:t>
            </w:r>
          </w:p>
        </w:tc>
        <w:tc>
          <w:tcPr>
            <w:tcW w:w="5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Double product customers</w:t>
            </w:r>
          </w:p>
        </w:tc>
        <w:tc>
          <w:tcPr>
            <w:tcW w:w="1280" w:type="dxa"/>
            <w:vAlign w:val="bottom"/>
          </w:tcPr>
          <w:p>
            <w:pPr>
              <w:jc w:val="right"/>
              <w:ind w:right="78"/>
              <w:spacing w:after="0"/>
              <w:rPr>
                <w:sz w:val="20"/>
                <w:szCs w:val="20"/>
                <w:color w:val="auto"/>
              </w:rPr>
            </w:pPr>
            <w:r>
              <w:rPr>
                <w:rFonts w:ascii="Arial" w:cs="Arial" w:eastAsia="Arial" w:hAnsi="Arial"/>
                <w:sz w:val="18"/>
                <w:szCs w:val="18"/>
                <w:color w:val="auto"/>
              </w:rPr>
              <w:t>8,650</w:t>
            </w:r>
          </w:p>
        </w:tc>
        <w:tc>
          <w:tcPr>
            <w:tcW w:w="1100" w:type="dxa"/>
            <w:vAlign w:val="bottom"/>
          </w:tcPr>
          <w:p>
            <w:pPr>
              <w:jc w:val="right"/>
              <w:ind w:right="117"/>
              <w:spacing w:after="0"/>
              <w:rPr>
                <w:sz w:val="20"/>
                <w:szCs w:val="20"/>
                <w:color w:val="auto"/>
              </w:rPr>
            </w:pPr>
            <w:r>
              <w:rPr>
                <w:rFonts w:ascii="Arial" w:cs="Arial" w:eastAsia="Arial" w:hAnsi="Arial"/>
                <w:sz w:val="18"/>
                <w:szCs w:val="18"/>
                <w:color w:val="auto"/>
              </w:rPr>
              <w:t>8,491</w:t>
            </w:r>
          </w:p>
        </w:tc>
        <w:tc>
          <w:tcPr>
            <w:tcW w:w="1360" w:type="dxa"/>
            <w:vAlign w:val="bottom"/>
          </w:tcPr>
          <w:p>
            <w:pPr>
              <w:jc w:val="right"/>
              <w:ind w:right="238"/>
              <w:spacing w:after="0"/>
              <w:rPr>
                <w:sz w:val="20"/>
                <w:szCs w:val="20"/>
                <w:color w:val="auto"/>
              </w:rPr>
            </w:pPr>
            <w:r>
              <w:rPr>
                <w:rFonts w:ascii="Arial" w:cs="Arial" w:eastAsia="Arial" w:hAnsi="Arial"/>
                <w:sz w:val="18"/>
                <w:szCs w:val="18"/>
                <w:color w:val="auto"/>
              </w:rPr>
              <w:t>76</w:t>
            </w:r>
          </w:p>
        </w:tc>
        <w:tc>
          <w:tcPr>
            <w:tcW w:w="1060" w:type="dxa"/>
            <w:vAlign w:val="bottom"/>
          </w:tcPr>
          <w:p>
            <w:pPr>
              <w:spacing w:after="0"/>
              <w:rPr>
                <w:sz w:val="18"/>
                <w:szCs w:val="18"/>
                <w:color w:val="auto"/>
              </w:rPr>
            </w:pPr>
          </w:p>
        </w:tc>
        <w:tc>
          <w:tcPr>
            <w:tcW w:w="1320" w:type="dxa"/>
            <w:vAlign w:val="bottom"/>
          </w:tcPr>
          <w:p>
            <w:pPr>
              <w:jc w:val="right"/>
              <w:ind w:right="538"/>
              <w:spacing w:after="0"/>
              <w:rPr>
                <w:sz w:val="20"/>
                <w:szCs w:val="20"/>
                <w:color w:val="auto"/>
              </w:rPr>
            </w:pPr>
            <w:r>
              <w:rPr>
                <w:rFonts w:ascii="Arial" w:cs="Arial" w:eastAsia="Arial" w:hAnsi="Arial"/>
                <w:sz w:val="18"/>
                <w:szCs w:val="18"/>
                <w:color w:val="auto"/>
              </w:rPr>
              <w:t>110</w:t>
            </w:r>
          </w:p>
        </w:tc>
        <w:tc>
          <w:tcPr>
            <w:tcW w:w="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Triple product customers</w:t>
            </w:r>
          </w:p>
        </w:tc>
        <w:tc>
          <w:tcPr>
            <w:tcW w:w="1280" w:type="dxa"/>
            <w:vAlign w:val="bottom"/>
            <w:tcBorders>
              <w:bottom w:val="single" w:sz="8" w:color="auto"/>
            </w:tcBorders>
            <w:shd w:val="clear" w:color="auto" w:fill="E5E5E5"/>
          </w:tcPr>
          <w:p>
            <w:pPr>
              <w:jc w:val="right"/>
              <w:ind w:right="78"/>
              <w:spacing w:after="0"/>
              <w:rPr>
                <w:sz w:val="20"/>
                <w:szCs w:val="20"/>
                <w:color w:val="auto"/>
              </w:rPr>
            </w:pPr>
            <w:r>
              <w:rPr>
                <w:rFonts w:ascii="Arial" w:cs="Arial" w:eastAsia="Arial" w:hAnsi="Arial"/>
                <w:sz w:val="18"/>
                <w:szCs w:val="18"/>
                <w:color w:val="auto"/>
              </w:rPr>
              <w:t>9,763</w:t>
            </w:r>
          </w:p>
        </w:tc>
        <w:tc>
          <w:tcPr>
            <w:tcW w:w="110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9,144</w:t>
            </w:r>
          </w:p>
        </w:tc>
        <w:tc>
          <w:tcPr>
            <w:tcW w:w="1360" w:type="dxa"/>
            <w:vAlign w:val="bottom"/>
            <w:tcBorders>
              <w:bottom w:val="single" w:sz="8" w:color="auto"/>
            </w:tcBorders>
            <w:shd w:val="clear" w:color="auto" w:fill="E5E5E5"/>
          </w:tcPr>
          <w:p>
            <w:pPr>
              <w:jc w:val="right"/>
              <w:ind w:right="238"/>
              <w:spacing w:after="0"/>
              <w:rPr>
                <w:sz w:val="20"/>
                <w:szCs w:val="20"/>
                <w:color w:val="auto"/>
              </w:rPr>
            </w:pPr>
            <w:r>
              <w:rPr>
                <w:rFonts w:ascii="Arial" w:cs="Arial" w:eastAsia="Arial" w:hAnsi="Arial"/>
                <w:sz w:val="18"/>
                <w:szCs w:val="18"/>
                <w:color w:val="auto"/>
              </w:rPr>
              <w:t>72</w:t>
            </w:r>
          </w:p>
        </w:tc>
        <w:tc>
          <w:tcPr>
            <w:tcW w:w="1060" w:type="dxa"/>
            <w:vAlign w:val="bottom"/>
            <w:tcBorders>
              <w:bottom w:val="single" w:sz="8" w:color="auto"/>
            </w:tcBorders>
            <w:shd w:val="clear" w:color="auto" w:fill="E5E5E5"/>
          </w:tcPr>
          <w:p>
            <w:pPr>
              <w:spacing w:after="0"/>
              <w:rPr>
                <w:sz w:val="18"/>
                <w:szCs w:val="18"/>
                <w:color w:val="auto"/>
              </w:rPr>
            </w:pPr>
          </w:p>
        </w:tc>
        <w:tc>
          <w:tcPr>
            <w:tcW w:w="1320" w:type="dxa"/>
            <w:vAlign w:val="bottom"/>
            <w:tcBorders>
              <w:bottom w:val="single" w:sz="8" w:color="auto"/>
            </w:tcBorders>
            <w:shd w:val="clear" w:color="auto" w:fill="E5E5E5"/>
          </w:tcPr>
          <w:p>
            <w:pPr>
              <w:jc w:val="right"/>
              <w:ind w:right="538"/>
              <w:spacing w:after="0"/>
              <w:rPr>
                <w:sz w:val="20"/>
                <w:szCs w:val="20"/>
                <w:color w:val="auto"/>
              </w:rPr>
            </w:pPr>
            <w:r>
              <w:rPr>
                <w:rFonts w:ascii="Arial" w:cs="Arial" w:eastAsia="Arial" w:hAnsi="Arial"/>
                <w:sz w:val="18"/>
                <w:szCs w:val="18"/>
                <w:color w:val="auto"/>
              </w:rPr>
              <w:t>379</w:t>
            </w:r>
          </w:p>
        </w:tc>
        <w:tc>
          <w:tcPr>
            <w:tcW w:w="520" w:type="dxa"/>
            <w:vAlign w:val="bottom"/>
            <w:tcBorders>
              <w:bottom w:val="single" w:sz="8" w:color="auto"/>
            </w:tcBorders>
            <w:shd w:val="clear" w:color="auto" w:fill="E5E5E5"/>
          </w:tcPr>
          <w:p>
            <w:pPr>
              <w:spacing w:after="0"/>
              <w:rPr>
                <w:sz w:val="18"/>
                <w:szCs w:val="18"/>
                <w:color w:val="auto"/>
              </w:rPr>
            </w:pPr>
          </w:p>
        </w:tc>
      </w:tr>
    </w:tbl>
    <w:p>
      <w:pPr>
        <w:spacing w:after="0" w:line="57" w:lineRule="exact"/>
        <w:rPr>
          <w:sz w:val="20"/>
          <w:szCs w:val="20"/>
          <w:color w:val="auto"/>
        </w:rPr>
      </w:pPr>
    </w:p>
    <w:p>
      <w:pPr>
        <w:jc w:val="both"/>
        <w:ind w:right="20"/>
        <w:spacing w:after="0" w:line="318" w:lineRule="auto"/>
        <w:rPr>
          <w:sz w:val="20"/>
          <w:szCs w:val="20"/>
          <w:color w:val="auto"/>
        </w:rPr>
      </w:pPr>
      <w:r>
        <w:rPr>
          <w:rFonts w:ascii="Arial" w:cs="Arial" w:eastAsia="Arial" w:hAnsi="Arial"/>
          <w:sz w:val="12"/>
          <w:szCs w:val="12"/>
          <w:color w:val="auto"/>
        </w:rPr>
        <w:t>Customer metrics include residential and business customers. Customer relationships represent the number of residential and business customers that subscribe to at least one of our cable services and are presented based on actual amounts. Single product, double product and triple product customers represent customers that subscribe to one, two or three of our cable services,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Segment—Revenue</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Cable Communications segment leverages our existing cable distribution system to grow revenue by, among other things, adding new customers, encouraging existing customers to add additional or higher-tier services, and growing other services such as our business services offerings and our home security and automation services. We offer our cable services in bundles and often provide promotional incentives. We seek to balance promotional offers and rate increases with their expected effects on the number of customers and overall revenue.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Video revenue increased 1.0% and 1.2% for the three and nine months ended September 30, 2014, respectively, compared to the same periods in 2013. An increase in the number of customers receiving additional and higher levels of video service and rate adjustments accounted for increases in revenue of 2.3% and 2.6% for the three and nine months ended September 30, 2014, respectively. As of September 30, 2014, the number of customers who subscribed to our advanced services, which are HD and DVR services, increased 4.5% to 12.8 million customers compared to the same period in 2013. The increases in revenue in both periods were partially offset by a decline in pay-per-view revenue due to fewer events and fewer residential video customers compared to the prior year periods. The decrease in the number of residential video customers was primarily due to competitive pressures in our service areas from phone and DBS competitors and the impact of rate adjustments. We may experience further declines in the number of residential video customers.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High-speed Internet revenue increased 9.6% and 9.4% for the three and nine months ended September 30, 2014, respectively, compared to the same periods in 2013. An increase in the number of residential customers receiving our high-speed Internet service accounted for increases in revenue of 5.8% and 6.0% for the three and nine months ended September 30, 2014, respectively. The remaining increases in revenue for the three and nine months ended September 30, 2014 were primarily due to higher rates from customers receiving higher levels of service and rate adjustments. Our customer base continues to grow as consumers choose our high-speed Internet service and seek higher-speed offerings.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Voice</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Voice revenue decreased slightly for the three months ended September 30, 2014 and increased 1.0% for the nine months ended September 30, 2014 compared to the same periods in 2013. While the number of residential customer additions slowed, the number of residential customers still increased by 5.5% as of September 30, 2014</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compared to the same period in 2013. This growth was offset by promotions and our discounted bundled offerings.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Business services revenue increased 21.0% and 22.3% for the three and nine months ended September 30, 2014, respectively, compared to the same periods in 2013. The increases were primarily due to a higher number of small business customers receiving our high-speed Internet and voice services. The remaining increases in both periods were primarily due to continued growth in the number of medium-sized business customers receiving our other services, such as Ethernet network and cellular backhaul services. During the three and nine months ended September 30, 2014, revenue from our medium-sized business customers represented 22% and 21%, respectively, of total business services revenue. We believe the increase in business customers is primarily the result of our efforts to gain market share from competitors by offering competitive services and pricing.</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7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Advertising revenue increased 12.3% and 8.7% for the three and nine months ended September 30, 2014, respectively, compared to the same periods in 2013 primarily due to increases in political advertising revenue, as well as increases in revenue in our core national and local advertising markets.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Other revenue increased 2.4% and 3.7% for the three and nine months ended September 30, 2014, respectively, compared to the same periods in 2013 primarily due to increases in revenue from other services, including our home security and automation services, as well as increases in franchise and other regulatory fees.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Segment—Operating Costs and Expenses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most significant operating cost is the programming expense we incur to provide content to our video customers. We anticipate that our programming expenses will continue to increase. We have and will continue to attempt to offset increases in programming expenses through rate increases and the sale of additional video and other services, as well as by achieving operating efficiencies.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Programming costs increased for the three and nine months ended September 30, 2014 compared to the same periods in 2013 primarily due to increases in programming license fees, including retransmission consent fees and sports programming costs, and fees to secure rights for additional programming for our customers across an increasing number of platforms.</w:t>
      </w:r>
    </w:p>
    <w:p>
      <w:pPr>
        <w:spacing w:after="0" w:line="4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Technical and product support expenses increased for the three and nine months ended September 30, 2014 compared to the same periods in 2013 primarily due to expenses related to customer fulfillment activities, expenses related to the development, delivery and support of our products and services, including our X1 platform, Cloud DVR technology and wireless gateways, and the continued growth in business services.</w:t>
      </w:r>
    </w:p>
    <w:p>
      <w:pPr>
        <w:spacing w:after="0" w:line="1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Customer service expenses increased for the three and nine months ended September 30, 2014 compared to the same periods in 2013 primarily due to increases in total labor costs associated with increases in customer service activity. The increases in customer service activity were primarily due to sales and related support activity associated with the continued deployment of enhanced services and devices, which include our X1 platform, Cloud DVR technology, wireless gateways, home security and automation services, and continued growth in business services.</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Franchise and other regulatory fees increased for the three and nine months ended September 30, 2014 compared to the same periods in 2013 primarily due to increases in residential and business services revenue.</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marketing and promotion expenses increased for the three and nine months ended September 30, 2014 compared to the same periods in 2013 primarily due to increases in spending associated with attracting new residential and business services customers and encouraging existing customers to add additional or higher-tier services.</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costs and expenses increased for the three and nine months ended September 30, 2014 compared to the same periods in 2013 primarily due to increases in costs to support the advertising sales business, as well as increases in other administrative costs.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Segments Results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gridSpan w:val="3"/>
          </w:tcPr>
          <w:p>
            <w:pPr>
              <w:jc w:val="right"/>
              <w:ind w:right="434"/>
              <w:spacing w:after="0"/>
              <w:rPr>
                <w:sz w:val="20"/>
                <w:szCs w:val="20"/>
                <w:color w:val="auto"/>
              </w:rPr>
            </w:pPr>
            <w:r>
              <w:rPr>
                <w:rFonts w:ascii="Arial" w:cs="Arial" w:eastAsia="Arial" w:hAnsi="Arial"/>
                <w:sz w:val="14"/>
                <w:szCs w:val="14"/>
                <w:color w:val="auto"/>
                <w:w w:val="94"/>
              </w:rPr>
              <w:t>Three Months Ended</w:t>
            </w:r>
          </w:p>
        </w:tc>
        <w:tc>
          <w:tcPr>
            <w:tcW w:w="340" w:type="dxa"/>
            <w:vAlign w:val="bottom"/>
          </w:tcPr>
          <w:p>
            <w:pPr>
              <w:spacing w:after="0"/>
              <w:rPr>
                <w:sz w:val="14"/>
                <w:szCs w:val="14"/>
                <w:color w:val="auto"/>
              </w:rPr>
            </w:pPr>
          </w:p>
        </w:tc>
        <w:tc>
          <w:tcPr>
            <w:tcW w:w="1320" w:type="dxa"/>
            <w:vAlign w:val="bottom"/>
            <w:gridSpan w:val="2"/>
          </w:tcPr>
          <w:p>
            <w:pPr>
              <w:jc w:val="right"/>
              <w:ind w:right="49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4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454"/>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44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color w:val="auto"/>
                <w:w w:val="89"/>
              </w:rPr>
              <w:t>2014</w:t>
            </w: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color w:val="auto"/>
                <w:w w:val="83"/>
              </w:rPr>
              <w:t>2013</w:t>
            </w:r>
          </w:p>
        </w:tc>
        <w:tc>
          <w:tcPr>
            <w:tcW w:w="3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4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Cable Networks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7"/>
              <w:spacing w:after="0"/>
              <w:rPr>
                <w:sz w:val="20"/>
                <w:szCs w:val="20"/>
                <w:color w:val="auto"/>
              </w:rPr>
            </w:pPr>
            <w:r>
              <w:rPr>
                <w:rFonts w:ascii="Arial" w:cs="Arial" w:eastAsia="Arial" w:hAnsi="Arial"/>
                <w:sz w:val="18"/>
                <w:szCs w:val="18"/>
                <w:color w:val="auto"/>
                <w:w w:val="88"/>
              </w:rPr>
              <w:t>2,255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4"/>
              <w:spacing w:after="0"/>
              <w:rPr>
                <w:sz w:val="20"/>
                <w:szCs w:val="20"/>
                <w:color w:val="auto"/>
              </w:rPr>
            </w:pPr>
            <w:r>
              <w:rPr>
                <w:rFonts w:ascii="Arial" w:cs="Arial" w:eastAsia="Arial" w:hAnsi="Arial"/>
                <w:sz w:val="18"/>
                <w:szCs w:val="18"/>
                <w:color w:val="auto"/>
                <w:w w:val="88"/>
              </w:rPr>
              <w:t>2,239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37"/>
              <w:spacing w:after="0"/>
              <w:rPr>
                <w:sz w:val="20"/>
                <w:szCs w:val="20"/>
                <w:color w:val="auto"/>
              </w:rPr>
            </w:pPr>
            <w:r>
              <w:rPr>
                <w:rFonts w:ascii="Arial" w:cs="Arial" w:eastAsia="Arial" w:hAnsi="Arial"/>
                <w:sz w:val="18"/>
                <w:szCs w:val="18"/>
                <w:color w:val="auto"/>
              </w:rPr>
              <w:t>16</w:t>
            </w:r>
          </w:p>
        </w:tc>
        <w:tc>
          <w:tcPr>
            <w:tcW w:w="78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74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w w:val="88"/>
              </w:rPr>
              <w:t>1,770</w:t>
            </w:r>
          </w:p>
        </w:tc>
        <w:tc>
          <w:tcPr>
            <w:tcW w:w="3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w w:val="88"/>
              </w:rPr>
              <w:t>1,644</w:t>
            </w:r>
          </w:p>
        </w:tc>
        <w:tc>
          <w:tcPr>
            <w:tcW w:w="34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w w:val="99"/>
              </w:rPr>
              <w:t>126</w:t>
            </w:r>
          </w:p>
        </w:tc>
        <w:tc>
          <w:tcPr>
            <w:tcW w:w="7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Filmed Entertainment</w:t>
            </w:r>
          </w:p>
        </w:tc>
        <w:tc>
          <w:tcPr>
            <w:tcW w:w="540" w:type="dxa"/>
            <w:vAlign w:val="bottom"/>
          </w:tcPr>
          <w:p>
            <w:pPr>
              <w:spacing w:after="0"/>
              <w:rPr>
                <w:sz w:val="18"/>
                <w:szCs w:val="18"/>
                <w:color w:val="auto"/>
              </w:rPr>
            </w:pPr>
          </w:p>
        </w:tc>
        <w:tc>
          <w:tcPr>
            <w:tcW w:w="720" w:type="dxa"/>
            <w:vAlign w:val="bottom"/>
          </w:tcPr>
          <w:p>
            <w:pPr>
              <w:jc w:val="right"/>
              <w:ind w:right="217"/>
              <w:spacing w:after="0"/>
              <w:rPr>
                <w:sz w:val="20"/>
                <w:szCs w:val="20"/>
                <w:color w:val="auto"/>
              </w:rPr>
            </w:pPr>
            <w:r>
              <w:rPr>
                <w:rFonts w:ascii="Arial" w:cs="Arial" w:eastAsia="Arial" w:hAnsi="Arial"/>
                <w:sz w:val="18"/>
                <w:szCs w:val="18"/>
                <w:color w:val="auto"/>
                <w:w w:val="88"/>
              </w:rPr>
              <w:t>1,186</w:t>
            </w:r>
          </w:p>
        </w:tc>
        <w:tc>
          <w:tcPr>
            <w:tcW w:w="360" w:type="dxa"/>
            <w:vAlign w:val="bottom"/>
          </w:tcPr>
          <w:p>
            <w:pPr>
              <w:spacing w:after="0"/>
              <w:rPr>
                <w:sz w:val="18"/>
                <w:szCs w:val="18"/>
                <w:color w:val="auto"/>
              </w:rPr>
            </w:pPr>
          </w:p>
        </w:tc>
        <w:tc>
          <w:tcPr>
            <w:tcW w:w="700" w:type="dxa"/>
            <w:vAlign w:val="bottom"/>
          </w:tcPr>
          <w:p>
            <w:pPr>
              <w:jc w:val="right"/>
              <w:ind w:right="194"/>
              <w:spacing w:after="0"/>
              <w:rPr>
                <w:sz w:val="20"/>
                <w:szCs w:val="20"/>
                <w:color w:val="auto"/>
              </w:rPr>
            </w:pPr>
            <w:r>
              <w:rPr>
                <w:rFonts w:ascii="Arial" w:cs="Arial" w:eastAsia="Arial" w:hAnsi="Arial"/>
                <w:sz w:val="18"/>
                <w:szCs w:val="18"/>
                <w:color w:val="auto"/>
                <w:w w:val="88"/>
              </w:rPr>
              <w:t>1,400</w:t>
            </w:r>
          </w:p>
        </w:tc>
        <w:tc>
          <w:tcPr>
            <w:tcW w:w="340" w:type="dxa"/>
            <w:vAlign w:val="bottom"/>
          </w:tcPr>
          <w:p>
            <w:pPr>
              <w:spacing w:after="0"/>
              <w:rPr>
                <w:sz w:val="18"/>
                <w:szCs w:val="18"/>
                <w:color w:val="auto"/>
              </w:rPr>
            </w:pPr>
          </w:p>
        </w:tc>
        <w:tc>
          <w:tcPr>
            <w:tcW w:w="540" w:type="dxa"/>
            <w:vAlign w:val="bottom"/>
          </w:tcPr>
          <w:p>
            <w:pPr>
              <w:jc w:val="right"/>
              <w:ind w:right="77"/>
              <w:spacing w:after="0"/>
              <w:rPr>
                <w:sz w:val="20"/>
                <w:szCs w:val="20"/>
                <w:color w:val="auto"/>
              </w:rPr>
            </w:pPr>
            <w:r>
              <w:rPr>
                <w:rFonts w:ascii="Arial" w:cs="Arial" w:eastAsia="Arial" w:hAnsi="Arial"/>
                <w:sz w:val="18"/>
                <w:szCs w:val="18"/>
                <w:color w:val="auto"/>
                <w:w w:val="85"/>
              </w:rPr>
              <w:t>(214)</w:t>
            </w:r>
          </w:p>
        </w:tc>
        <w:tc>
          <w:tcPr>
            <w:tcW w:w="780" w:type="dxa"/>
            <w:vAlign w:val="bottom"/>
          </w:tcPr>
          <w:p>
            <w:pPr>
              <w:jc w:val="right"/>
              <w:ind w:right="94"/>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74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786</w:t>
            </w:r>
          </w:p>
        </w:tc>
        <w:tc>
          <w:tcPr>
            <w:tcW w:w="3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661</w:t>
            </w:r>
          </w:p>
        </w:tc>
        <w:tc>
          <w:tcPr>
            <w:tcW w:w="34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w w:val="99"/>
              </w:rPr>
              <w:t>125</w:t>
            </w:r>
          </w:p>
        </w:tc>
        <w:tc>
          <w:tcPr>
            <w:tcW w:w="7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74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Headquarters, other and eliminations</w:t>
            </w: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(76)</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(93)</w:t>
            </w: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17</w:t>
            </w:r>
          </w:p>
        </w:tc>
        <w:tc>
          <w:tcPr>
            <w:tcW w:w="7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7"/>
        </w:trPr>
        <w:tc>
          <w:tcPr>
            <w:tcW w:w="74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217"/>
              <w:spacing w:after="0"/>
              <w:rPr>
                <w:sz w:val="20"/>
                <w:szCs w:val="20"/>
                <w:color w:val="auto"/>
              </w:rPr>
            </w:pPr>
            <w:r>
              <w:rPr>
                <w:rFonts w:ascii="Arial" w:cs="Arial" w:eastAsia="Arial" w:hAnsi="Arial"/>
                <w:sz w:val="18"/>
                <w:szCs w:val="18"/>
                <w:b w:val="1"/>
                <w:bCs w:val="1"/>
                <w:color w:val="auto"/>
                <w:w w:val="88"/>
              </w:rPr>
              <w:t>5,921</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b w:val="1"/>
                <w:bCs w:val="1"/>
                <w:color w:val="auto"/>
                <w:w w:val="88"/>
              </w:rPr>
              <w:t>5,851</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b w:val="1"/>
                <w:bCs w:val="1"/>
                <w:color w:val="auto"/>
              </w:rPr>
              <w:t>70</w:t>
            </w: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868</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853</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15</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540" w:type="dxa"/>
            <w:vAlign w:val="bottom"/>
          </w:tcPr>
          <w:p>
            <w:pPr>
              <w:spacing w:after="0"/>
              <w:rPr>
                <w:sz w:val="18"/>
                <w:szCs w:val="18"/>
                <w:color w:val="auto"/>
              </w:rPr>
            </w:pPr>
          </w:p>
        </w:tc>
        <w:tc>
          <w:tcPr>
            <w:tcW w:w="720" w:type="dxa"/>
            <w:vAlign w:val="bottom"/>
          </w:tcPr>
          <w:p>
            <w:pPr>
              <w:jc w:val="right"/>
              <w:ind w:right="217"/>
              <w:spacing w:after="0"/>
              <w:rPr>
                <w:sz w:val="20"/>
                <w:szCs w:val="20"/>
                <w:color w:val="auto"/>
              </w:rPr>
            </w:pPr>
            <w:r>
              <w:rPr>
                <w:rFonts w:ascii="Arial" w:cs="Arial" w:eastAsia="Arial" w:hAnsi="Arial"/>
                <w:sz w:val="18"/>
                <w:szCs w:val="18"/>
                <w:color w:val="auto"/>
              </w:rPr>
              <w:t>142</w:t>
            </w:r>
          </w:p>
        </w:tc>
        <w:tc>
          <w:tcPr>
            <w:tcW w:w="360" w:type="dxa"/>
            <w:vAlign w:val="bottom"/>
          </w:tcPr>
          <w:p>
            <w:pPr>
              <w:spacing w:after="0"/>
              <w:rPr>
                <w:sz w:val="18"/>
                <w:szCs w:val="18"/>
                <w:color w:val="auto"/>
              </w:rPr>
            </w:pPr>
          </w:p>
        </w:tc>
        <w:tc>
          <w:tcPr>
            <w:tcW w:w="700" w:type="dxa"/>
            <w:vAlign w:val="bottom"/>
          </w:tcPr>
          <w:p>
            <w:pPr>
              <w:jc w:val="right"/>
              <w:ind w:right="194"/>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c>
          <w:tcPr>
            <w:tcW w:w="540" w:type="dxa"/>
            <w:vAlign w:val="bottom"/>
          </w:tcPr>
          <w:p>
            <w:pPr>
              <w:jc w:val="right"/>
              <w:ind w:right="137"/>
              <w:spacing w:after="0"/>
              <w:rPr>
                <w:sz w:val="20"/>
                <w:szCs w:val="20"/>
                <w:color w:val="auto"/>
              </w:rPr>
            </w:pPr>
            <w:r>
              <w:rPr>
                <w:rFonts w:ascii="Arial" w:cs="Arial" w:eastAsia="Arial" w:hAnsi="Arial"/>
                <w:sz w:val="18"/>
                <w:szCs w:val="18"/>
                <w:color w:val="auto"/>
                <w:w w:val="99"/>
              </w:rPr>
              <w:t>108</w:t>
            </w: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16"/>
        </w:trPr>
        <w:tc>
          <w:tcPr>
            <w:tcW w:w="74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151</w:t>
            </w:r>
          </w:p>
        </w:tc>
        <w:tc>
          <w:tcPr>
            <w:tcW w:w="3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189</w:t>
            </w:r>
          </w:p>
        </w:tc>
        <w:tc>
          <w:tcPr>
            <w:tcW w:w="34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(38)</w:t>
            </w:r>
          </w:p>
        </w:tc>
        <w:tc>
          <w:tcPr>
            <w:tcW w:w="7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540" w:type="dxa"/>
            <w:vAlign w:val="bottom"/>
          </w:tcPr>
          <w:p>
            <w:pPr>
              <w:spacing w:after="0"/>
              <w:rPr>
                <w:sz w:val="18"/>
                <w:szCs w:val="18"/>
                <w:color w:val="auto"/>
              </w:rPr>
            </w:pPr>
          </w:p>
        </w:tc>
        <w:tc>
          <w:tcPr>
            <w:tcW w:w="720" w:type="dxa"/>
            <w:vAlign w:val="bottom"/>
          </w:tcPr>
          <w:p>
            <w:pPr>
              <w:jc w:val="right"/>
              <w:ind w:right="217"/>
              <w:spacing w:after="0"/>
              <w:rPr>
                <w:sz w:val="20"/>
                <w:szCs w:val="20"/>
                <w:color w:val="auto"/>
              </w:rPr>
            </w:pPr>
            <w:r>
              <w:rPr>
                <w:rFonts w:ascii="Arial" w:cs="Arial" w:eastAsia="Arial" w:hAnsi="Arial"/>
                <w:sz w:val="18"/>
                <w:szCs w:val="18"/>
                <w:color w:val="auto"/>
              </w:rPr>
              <w:t>402</w:t>
            </w:r>
          </w:p>
        </w:tc>
        <w:tc>
          <w:tcPr>
            <w:tcW w:w="360" w:type="dxa"/>
            <w:vAlign w:val="bottom"/>
          </w:tcPr>
          <w:p>
            <w:pPr>
              <w:spacing w:after="0"/>
              <w:rPr>
                <w:sz w:val="18"/>
                <w:szCs w:val="18"/>
                <w:color w:val="auto"/>
              </w:rPr>
            </w:pPr>
          </w:p>
        </w:tc>
        <w:tc>
          <w:tcPr>
            <w:tcW w:w="700" w:type="dxa"/>
            <w:vAlign w:val="bottom"/>
          </w:tcPr>
          <w:p>
            <w:pPr>
              <w:jc w:val="right"/>
              <w:ind w:right="194"/>
              <w:spacing w:after="0"/>
              <w:rPr>
                <w:sz w:val="20"/>
                <w:szCs w:val="20"/>
                <w:color w:val="auto"/>
              </w:rPr>
            </w:pPr>
            <w:r>
              <w:rPr>
                <w:rFonts w:ascii="Arial" w:cs="Arial" w:eastAsia="Arial" w:hAnsi="Arial"/>
                <w:sz w:val="18"/>
                <w:szCs w:val="18"/>
                <w:color w:val="auto"/>
              </w:rPr>
              <w:t>343</w:t>
            </w:r>
          </w:p>
        </w:tc>
        <w:tc>
          <w:tcPr>
            <w:tcW w:w="340" w:type="dxa"/>
            <w:vAlign w:val="bottom"/>
          </w:tcPr>
          <w:p>
            <w:pPr>
              <w:spacing w:after="0"/>
              <w:rPr>
                <w:sz w:val="18"/>
                <w:szCs w:val="18"/>
                <w:color w:val="auto"/>
              </w:rPr>
            </w:pPr>
          </w:p>
        </w:tc>
        <w:tc>
          <w:tcPr>
            <w:tcW w:w="540" w:type="dxa"/>
            <w:vAlign w:val="bottom"/>
          </w:tcPr>
          <w:p>
            <w:pPr>
              <w:jc w:val="right"/>
              <w:ind w:right="137"/>
              <w:spacing w:after="0"/>
              <w:rPr>
                <w:sz w:val="20"/>
                <w:szCs w:val="20"/>
                <w:color w:val="auto"/>
              </w:rPr>
            </w:pPr>
            <w:r>
              <w:rPr>
                <w:rFonts w:ascii="Arial" w:cs="Arial" w:eastAsia="Arial" w:hAnsi="Arial"/>
                <w:sz w:val="18"/>
                <w:szCs w:val="18"/>
                <w:color w:val="auto"/>
              </w:rPr>
              <w:t>59</w:t>
            </w: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74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Headquarters, other and eliminations</w:t>
            </w:r>
          </w:p>
        </w:tc>
        <w:tc>
          <w:tcPr>
            <w:tcW w:w="5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(147)</w:t>
            </w:r>
          </w:p>
        </w:tc>
        <w:tc>
          <w:tcPr>
            <w:tcW w:w="3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(169)</w:t>
            </w:r>
          </w:p>
        </w:tc>
        <w:tc>
          <w:tcPr>
            <w:tcW w:w="34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22</w:t>
            </w:r>
          </w:p>
        </w:tc>
        <w:tc>
          <w:tcPr>
            <w:tcW w:w="7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operating income before depreciation and amortization</w:t>
            </w:r>
          </w:p>
        </w:tc>
        <w:tc>
          <w:tcPr>
            <w:tcW w:w="1120" w:type="dxa"/>
            <w:vAlign w:val="bottom"/>
            <w:tcBorders>
              <w:bottom w:val="single" w:sz="8" w:color="auto"/>
            </w:tcBorders>
            <w:gridSpan w:val="2"/>
          </w:tcPr>
          <w:p>
            <w:pPr>
              <w:jc w:val="right"/>
              <w:ind w:right="297"/>
              <w:spacing w:after="0"/>
              <w:rPr>
                <w:sz w:val="20"/>
                <w:szCs w:val="20"/>
                <w:color w:val="auto"/>
              </w:rPr>
            </w:pPr>
            <w:r>
              <w:rPr>
                <w:rFonts w:ascii="Arial" w:cs="Arial" w:eastAsia="Arial" w:hAnsi="Arial"/>
                <w:sz w:val="18"/>
                <w:szCs w:val="18"/>
                <w:b w:val="1"/>
                <w:bCs w:val="1"/>
                <w:color w:val="auto"/>
              </w:rPr>
              <w:t>$ 1,416</w:t>
            </w:r>
          </w:p>
        </w:tc>
        <w:tc>
          <w:tcPr>
            <w:tcW w:w="1040" w:type="dxa"/>
            <w:vAlign w:val="bottom"/>
            <w:tcBorders>
              <w:bottom w:val="single" w:sz="8" w:color="auto"/>
            </w:tcBorders>
            <w:gridSpan w:val="2"/>
          </w:tcPr>
          <w:p>
            <w:pPr>
              <w:jc w:val="right"/>
              <w:ind w:right="254"/>
              <w:spacing w:after="0"/>
              <w:rPr>
                <w:sz w:val="20"/>
                <w:szCs w:val="20"/>
                <w:color w:val="auto"/>
              </w:rPr>
            </w:pPr>
            <w:r>
              <w:rPr>
                <w:rFonts w:ascii="Arial" w:cs="Arial" w:eastAsia="Arial" w:hAnsi="Arial"/>
                <w:sz w:val="18"/>
                <w:szCs w:val="18"/>
                <w:b w:val="1"/>
                <w:bCs w:val="1"/>
                <w:color w:val="auto"/>
              </w:rPr>
              <w:t>$ 1,250</w:t>
            </w:r>
          </w:p>
        </w:tc>
        <w:tc>
          <w:tcPr>
            <w:tcW w:w="8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$ 166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w:t>
            </w:r>
          </w:p>
        </w:tc>
        <w:tc>
          <w:tcPr>
            <w:tcW w:w="0" w:type="dxa"/>
            <w:vAlign w:val="bottom"/>
          </w:tcPr>
          <w:p>
            <w:pPr>
              <w:spacing w:after="0"/>
              <w:rPr>
                <w:sz w:val="1"/>
                <w:szCs w:val="1"/>
                <w:color w:val="auto"/>
              </w:rPr>
            </w:pPr>
          </w:p>
        </w:tc>
      </w:tr>
      <w:tr>
        <w:trPr>
          <w:trHeight w:val="273"/>
        </w:trPr>
        <w:tc>
          <w:tcPr>
            <w:tcW w:w="7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700" w:type="dxa"/>
            <w:vAlign w:val="bottom"/>
            <w:gridSpan w:val="3"/>
          </w:tcPr>
          <w:p>
            <w:pPr>
              <w:jc w:val="right"/>
              <w:ind w:right="394"/>
              <w:spacing w:after="0"/>
              <w:rPr>
                <w:sz w:val="20"/>
                <w:szCs w:val="20"/>
                <w:color w:val="auto"/>
              </w:rPr>
            </w:pPr>
            <w:r>
              <w:rPr>
                <w:rFonts w:ascii="Arial" w:cs="Arial" w:eastAsia="Arial" w:hAnsi="Arial"/>
                <w:sz w:val="14"/>
                <w:szCs w:val="14"/>
                <w:color w:val="auto"/>
                <w:w w:val="97"/>
              </w:rPr>
              <w:t>Nine Months Ended</w:t>
            </w:r>
          </w:p>
        </w:tc>
        <w:tc>
          <w:tcPr>
            <w:tcW w:w="300" w:type="dxa"/>
            <w:vAlign w:val="bottom"/>
          </w:tcPr>
          <w:p>
            <w:pPr>
              <w:spacing w:after="0"/>
              <w:rPr>
                <w:sz w:val="23"/>
                <w:szCs w:val="23"/>
                <w:color w:val="auto"/>
              </w:rPr>
            </w:pPr>
          </w:p>
        </w:tc>
        <w:tc>
          <w:tcPr>
            <w:tcW w:w="1300" w:type="dxa"/>
            <w:vAlign w:val="bottom"/>
            <w:gridSpan w:val="2"/>
          </w:tcPr>
          <w:p>
            <w:pPr>
              <w:jc w:val="right"/>
              <w:ind w:right="49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6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4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ind w:right="574"/>
              <w:spacing w:after="0" w:line="159" w:lineRule="exact"/>
              <w:rPr>
                <w:sz w:val="20"/>
                <w:szCs w:val="20"/>
                <w:color w:val="auto"/>
              </w:rPr>
            </w:pPr>
            <w:r>
              <w:rPr>
                <w:rFonts w:ascii="Arial" w:cs="Arial" w:eastAsia="Arial" w:hAnsi="Arial"/>
                <w:sz w:val="14"/>
                <w:szCs w:val="14"/>
                <w:color w:val="auto"/>
              </w:rPr>
              <w:t>September 30</w:t>
            </w:r>
          </w:p>
        </w:tc>
        <w:tc>
          <w:tcPr>
            <w:tcW w:w="3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right"/>
              <w:ind w:right="434"/>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66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color w:val="auto"/>
                <w:w w:val="89"/>
              </w:rPr>
              <w:t>2014</w:t>
            </w: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color w:val="auto"/>
                <w:w w:val="96"/>
              </w:rPr>
              <w:t>2013</w:t>
            </w: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6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440"/>
              <w:spacing w:after="0"/>
              <w:rPr>
                <w:sz w:val="20"/>
                <w:szCs w:val="20"/>
                <w:color w:val="auto"/>
              </w:rPr>
            </w:pPr>
            <w:r>
              <w:rPr>
                <w:rFonts w:ascii="Arial" w:cs="Arial" w:eastAsia="Arial" w:hAnsi="Arial"/>
                <w:sz w:val="18"/>
                <w:szCs w:val="18"/>
                <w:color w:val="auto"/>
              </w:rPr>
              <w:t>Cable Networks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7"/>
              <w:spacing w:after="0"/>
              <w:rPr>
                <w:sz w:val="20"/>
                <w:szCs w:val="20"/>
                <w:color w:val="auto"/>
              </w:rPr>
            </w:pPr>
            <w:r>
              <w:rPr>
                <w:rFonts w:ascii="Arial" w:cs="Arial" w:eastAsia="Arial" w:hAnsi="Arial"/>
                <w:sz w:val="18"/>
                <w:szCs w:val="18"/>
                <w:color w:val="auto"/>
                <w:w w:val="97"/>
              </w:rPr>
              <w:t>7,236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6,877</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77"/>
              <w:spacing w:after="0"/>
              <w:rPr>
                <w:sz w:val="20"/>
                <w:szCs w:val="20"/>
                <w:color w:val="auto"/>
              </w:rPr>
            </w:pPr>
            <w:r>
              <w:rPr>
                <w:rFonts w:ascii="Arial" w:cs="Arial" w:eastAsia="Arial" w:hAnsi="Arial"/>
                <w:sz w:val="18"/>
                <w:szCs w:val="18"/>
                <w:color w:val="auto"/>
              </w:rPr>
              <w:t>359</w:t>
            </w:r>
          </w:p>
        </w:tc>
        <w:tc>
          <w:tcPr>
            <w:tcW w:w="7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6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4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w w:val="97"/>
              </w:rPr>
              <w:t>6,207</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4,893</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w w:val="84"/>
              </w:rPr>
              <w:t>1,314</w:t>
            </w:r>
          </w:p>
        </w:tc>
        <w:tc>
          <w:tcPr>
            <w:tcW w:w="7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7660" w:type="dxa"/>
            <w:vAlign w:val="bottom"/>
          </w:tcPr>
          <w:p>
            <w:pPr>
              <w:ind w:left="440"/>
              <w:spacing w:after="0"/>
              <w:rPr>
                <w:sz w:val="20"/>
                <w:szCs w:val="20"/>
                <w:color w:val="auto"/>
              </w:rPr>
            </w:pPr>
            <w:r>
              <w:rPr>
                <w:rFonts w:ascii="Arial" w:cs="Arial" w:eastAsia="Arial" w:hAnsi="Arial"/>
                <w:sz w:val="18"/>
                <w:szCs w:val="18"/>
                <w:color w:val="auto"/>
              </w:rPr>
              <w:t>Filmed Entertainment</w:t>
            </w:r>
          </w:p>
        </w:tc>
        <w:tc>
          <w:tcPr>
            <w:tcW w:w="460" w:type="dxa"/>
            <w:vAlign w:val="bottom"/>
          </w:tcPr>
          <w:p>
            <w:pPr>
              <w:spacing w:after="0"/>
              <w:rPr>
                <w:sz w:val="18"/>
                <w:szCs w:val="18"/>
                <w:color w:val="auto"/>
              </w:rPr>
            </w:pPr>
          </w:p>
        </w:tc>
        <w:tc>
          <w:tcPr>
            <w:tcW w:w="660" w:type="dxa"/>
            <w:vAlign w:val="bottom"/>
          </w:tcPr>
          <w:p>
            <w:pPr>
              <w:jc w:val="right"/>
              <w:ind w:right="117"/>
              <w:spacing w:after="0"/>
              <w:rPr>
                <w:sz w:val="20"/>
                <w:szCs w:val="20"/>
                <w:color w:val="auto"/>
              </w:rPr>
            </w:pPr>
            <w:r>
              <w:rPr>
                <w:rFonts w:ascii="Arial" w:cs="Arial" w:eastAsia="Arial" w:hAnsi="Arial"/>
                <w:sz w:val="18"/>
                <w:szCs w:val="18"/>
                <w:color w:val="auto"/>
                <w:w w:val="97"/>
              </w:rPr>
              <w:t>3,713</w:t>
            </w:r>
          </w:p>
        </w:tc>
        <w:tc>
          <w:tcPr>
            <w:tcW w:w="32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4,004</w:t>
            </w:r>
          </w:p>
        </w:tc>
        <w:tc>
          <w:tcPr>
            <w:tcW w:w="300" w:type="dxa"/>
            <w:vAlign w:val="bottom"/>
          </w:tcPr>
          <w:p>
            <w:pPr>
              <w:spacing w:after="0"/>
              <w:rPr>
                <w:sz w:val="18"/>
                <w:szCs w:val="18"/>
                <w:color w:val="auto"/>
              </w:rPr>
            </w:pPr>
          </w:p>
        </w:tc>
        <w:tc>
          <w:tcPr>
            <w:tcW w:w="560" w:type="dxa"/>
            <w:vAlign w:val="bottom"/>
          </w:tcPr>
          <w:p>
            <w:pPr>
              <w:jc w:val="right"/>
              <w:ind w:right="17"/>
              <w:spacing w:after="0"/>
              <w:rPr>
                <w:sz w:val="20"/>
                <w:szCs w:val="20"/>
                <w:color w:val="auto"/>
              </w:rPr>
            </w:pPr>
            <w:r>
              <w:rPr>
                <w:rFonts w:ascii="Arial" w:cs="Arial" w:eastAsia="Arial" w:hAnsi="Arial"/>
                <w:sz w:val="18"/>
                <w:szCs w:val="18"/>
                <w:color w:val="auto"/>
              </w:rPr>
              <w:t>(291)</w:t>
            </w: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76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4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w w:val="97"/>
              </w:rPr>
              <w:t>1,888</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1,669</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219</w:t>
            </w:r>
          </w:p>
        </w:tc>
        <w:tc>
          <w:tcPr>
            <w:tcW w:w="7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76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Headquarters, other and eliminations</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(231)</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(257)</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26</w:t>
            </w:r>
          </w:p>
        </w:tc>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7"/>
        </w:trPr>
        <w:tc>
          <w:tcPr>
            <w:tcW w:w="76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1120" w:type="dxa"/>
            <w:vAlign w:val="bottom"/>
            <w:tcBorders>
              <w:bottom w:val="single" w:sz="8" w:color="auto"/>
            </w:tcBorders>
            <w:gridSpan w:val="2"/>
            <w:shd w:val="clear" w:color="auto" w:fill="E5E5E5"/>
          </w:tcPr>
          <w:p>
            <w:pPr>
              <w:jc w:val="right"/>
              <w:ind w:right="117"/>
              <w:spacing w:after="0"/>
              <w:rPr>
                <w:sz w:val="20"/>
                <w:szCs w:val="20"/>
                <w:color w:val="auto"/>
              </w:rPr>
            </w:pPr>
            <w:r>
              <w:rPr>
                <w:rFonts w:ascii="Arial" w:cs="Arial" w:eastAsia="Arial" w:hAnsi="Arial"/>
                <w:sz w:val="18"/>
                <w:szCs w:val="18"/>
                <w:b w:val="1"/>
                <w:bCs w:val="1"/>
                <w:color w:val="auto"/>
              </w:rPr>
              <w:t>$18,813</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b w:val="1"/>
                <w:bCs w:val="1"/>
                <w:color w:val="auto"/>
                <w:w w:val="83"/>
              </w:rPr>
              <w:t>17,186</w:t>
            </w:r>
          </w:p>
        </w:tc>
        <w:tc>
          <w:tcPr>
            <w:tcW w:w="860" w:type="dxa"/>
            <w:vAlign w:val="bottom"/>
            <w:tcBorders>
              <w:bottom w:val="single" w:sz="8" w:color="auto"/>
            </w:tcBorders>
            <w:gridSpan w:val="2"/>
            <w:shd w:val="clear" w:color="auto" w:fill="E5E5E5"/>
          </w:tcPr>
          <w:p>
            <w:pPr>
              <w:jc w:val="right"/>
              <w:ind w:right="77"/>
              <w:spacing w:after="0"/>
              <w:rPr>
                <w:sz w:val="20"/>
                <w:szCs w:val="20"/>
                <w:color w:val="auto"/>
              </w:rPr>
            </w:pPr>
            <w:r>
              <w:rPr>
                <w:rFonts w:ascii="Arial" w:cs="Arial" w:eastAsia="Arial" w:hAnsi="Arial"/>
                <w:sz w:val="18"/>
                <w:szCs w:val="18"/>
                <w:b w:val="1"/>
                <w:bCs w:val="1"/>
                <w:color w:val="auto"/>
              </w:rPr>
              <w:t>$1,627</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9.5%</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w w:val="97"/>
              </w:rPr>
              <w:t>2,677</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2,572</w:t>
            </w:r>
          </w:p>
        </w:tc>
        <w:tc>
          <w:tcPr>
            <w:tcW w:w="300" w:type="dxa"/>
            <w:vAlign w:val="bottom"/>
            <w:shd w:val="clear" w:color="auto" w:fill="E5E5E5"/>
          </w:tcPr>
          <w:p>
            <w:pPr>
              <w:ind w:left="2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105</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766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460" w:type="dxa"/>
            <w:vAlign w:val="bottom"/>
          </w:tcPr>
          <w:p>
            <w:pPr>
              <w:spacing w:after="0"/>
              <w:rPr>
                <w:sz w:val="18"/>
                <w:szCs w:val="18"/>
                <w:color w:val="auto"/>
              </w:rPr>
            </w:pPr>
          </w:p>
        </w:tc>
        <w:tc>
          <w:tcPr>
            <w:tcW w:w="660" w:type="dxa"/>
            <w:vAlign w:val="bottom"/>
          </w:tcPr>
          <w:p>
            <w:pPr>
              <w:jc w:val="right"/>
              <w:ind w:right="117"/>
              <w:spacing w:after="0"/>
              <w:rPr>
                <w:sz w:val="20"/>
                <w:szCs w:val="20"/>
                <w:color w:val="auto"/>
              </w:rPr>
            </w:pPr>
            <w:r>
              <w:rPr>
                <w:rFonts w:ascii="Arial" w:cs="Arial" w:eastAsia="Arial" w:hAnsi="Arial"/>
                <w:sz w:val="18"/>
                <w:szCs w:val="18"/>
                <w:color w:val="auto"/>
              </w:rPr>
              <w:t>504</w:t>
            </w:r>
          </w:p>
        </w:tc>
        <w:tc>
          <w:tcPr>
            <w:tcW w:w="32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205</w:t>
            </w:r>
          </w:p>
        </w:tc>
        <w:tc>
          <w:tcPr>
            <w:tcW w:w="300" w:type="dxa"/>
            <w:vAlign w:val="bottom"/>
          </w:tcPr>
          <w:p>
            <w:pPr>
              <w:spacing w:after="0"/>
              <w:rPr>
                <w:sz w:val="18"/>
                <w:szCs w:val="18"/>
                <w:color w:val="auto"/>
              </w:rPr>
            </w:pPr>
          </w:p>
        </w:tc>
        <w:tc>
          <w:tcPr>
            <w:tcW w:w="560" w:type="dxa"/>
            <w:vAlign w:val="bottom"/>
          </w:tcPr>
          <w:p>
            <w:pPr>
              <w:jc w:val="right"/>
              <w:ind w:right="77"/>
              <w:spacing w:after="0"/>
              <w:rPr>
                <w:sz w:val="20"/>
                <w:szCs w:val="20"/>
                <w:color w:val="auto"/>
              </w:rPr>
            </w:pPr>
            <w:r>
              <w:rPr>
                <w:rFonts w:ascii="Arial" w:cs="Arial" w:eastAsia="Arial" w:hAnsi="Arial"/>
                <w:sz w:val="18"/>
                <w:szCs w:val="18"/>
                <w:color w:val="auto"/>
              </w:rPr>
              <w:t>299</w:t>
            </w:r>
          </w:p>
        </w:tc>
        <w:tc>
          <w:tcPr>
            <w:tcW w:w="740" w:type="dxa"/>
            <w:vAlign w:val="bottom"/>
          </w:tcPr>
          <w:p>
            <w:pPr>
              <w:jc w:val="right"/>
              <w:ind w:right="134"/>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16"/>
        </w:trPr>
        <w:tc>
          <w:tcPr>
            <w:tcW w:w="76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4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634</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291</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343</w:t>
            </w:r>
          </w:p>
        </w:tc>
        <w:tc>
          <w:tcPr>
            <w:tcW w:w="7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16"/>
        </w:trPr>
        <w:tc>
          <w:tcPr>
            <w:tcW w:w="766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460" w:type="dxa"/>
            <w:vAlign w:val="bottom"/>
          </w:tcPr>
          <w:p>
            <w:pPr>
              <w:spacing w:after="0"/>
              <w:rPr>
                <w:sz w:val="18"/>
                <w:szCs w:val="18"/>
                <w:color w:val="auto"/>
              </w:rPr>
            </w:pPr>
          </w:p>
        </w:tc>
        <w:tc>
          <w:tcPr>
            <w:tcW w:w="660" w:type="dxa"/>
            <w:vAlign w:val="bottom"/>
          </w:tcPr>
          <w:p>
            <w:pPr>
              <w:jc w:val="right"/>
              <w:ind w:right="117"/>
              <w:spacing w:after="0"/>
              <w:rPr>
                <w:sz w:val="20"/>
                <w:szCs w:val="20"/>
                <w:color w:val="auto"/>
              </w:rPr>
            </w:pPr>
            <w:r>
              <w:rPr>
                <w:rFonts w:ascii="Arial" w:cs="Arial" w:eastAsia="Arial" w:hAnsi="Arial"/>
                <w:sz w:val="18"/>
                <w:szCs w:val="18"/>
                <w:color w:val="auto"/>
              </w:rPr>
              <w:t>816</w:t>
            </w:r>
          </w:p>
        </w:tc>
        <w:tc>
          <w:tcPr>
            <w:tcW w:w="32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747</w:t>
            </w:r>
          </w:p>
        </w:tc>
        <w:tc>
          <w:tcPr>
            <w:tcW w:w="300" w:type="dxa"/>
            <w:vAlign w:val="bottom"/>
          </w:tcPr>
          <w:p>
            <w:pPr>
              <w:spacing w:after="0"/>
              <w:rPr>
                <w:sz w:val="18"/>
                <w:szCs w:val="18"/>
                <w:color w:val="auto"/>
              </w:rPr>
            </w:pPr>
          </w:p>
        </w:tc>
        <w:tc>
          <w:tcPr>
            <w:tcW w:w="560" w:type="dxa"/>
            <w:vAlign w:val="bottom"/>
          </w:tcPr>
          <w:p>
            <w:pPr>
              <w:jc w:val="right"/>
              <w:ind w:right="77"/>
              <w:spacing w:after="0"/>
              <w:rPr>
                <w:sz w:val="20"/>
                <w:szCs w:val="20"/>
                <w:color w:val="auto"/>
              </w:rPr>
            </w:pPr>
            <w:r>
              <w:rPr>
                <w:rFonts w:ascii="Arial" w:cs="Arial" w:eastAsia="Arial" w:hAnsi="Arial"/>
                <w:sz w:val="18"/>
                <w:szCs w:val="18"/>
                <w:color w:val="auto"/>
              </w:rPr>
              <w:t>69</w:t>
            </w:r>
          </w:p>
        </w:tc>
        <w:tc>
          <w:tcPr>
            <w:tcW w:w="740" w:type="dxa"/>
            <w:vAlign w:val="bottom"/>
          </w:tcPr>
          <w:p>
            <w:pPr>
              <w:jc w:val="right"/>
              <w:ind w:right="134"/>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766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Headquarters, other and eliminations</w:t>
            </w:r>
          </w:p>
        </w:tc>
        <w:tc>
          <w:tcPr>
            <w:tcW w:w="4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(470)</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(421)</w:t>
            </w:r>
          </w:p>
        </w:tc>
        <w:tc>
          <w:tcPr>
            <w:tcW w:w="3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(49)</w:t>
            </w:r>
          </w:p>
        </w:tc>
        <w:tc>
          <w:tcPr>
            <w:tcW w:w="7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7"/>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operating income before depreciation and amortization</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w w:val="97"/>
              </w:rPr>
              <w:t>4,161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3,394</w:t>
            </w:r>
          </w:p>
        </w:tc>
        <w:tc>
          <w:tcPr>
            <w:tcW w:w="3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767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Networks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gridSpan w:val="3"/>
          </w:tcPr>
          <w:p>
            <w:pPr>
              <w:jc w:val="right"/>
              <w:ind w:right="394"/>
              <w:spacing w:after="0"/>
              <w:rPr>
                <w:sz w:val="20"/>
                <w:szCs w:val="20"/>
                <w:color w:val="auto"/>
              </w:rPr>
            </w:pPr>
            <w:r>
              <w:rPr>
                <w:rFonts w:ascii="Arial" w:cs="Arial" w:eastAsia="Arial" w:hAnsi="Arial"/>
                <w:sz w:val="14"/>
                <w:szCs w:val="14"/>
                <w:color w:val="auto"/>
                <w:w w:val="94"/>
              </w:rPr>
              <w:t>Three Months Ended</w:t>
            </w:r>
          </w:p>
        </w:tc>
        <w:tc>
          <w:tcPr>
            <w:tcW w:w="1480" w:type="dxa"/>
            <w:vAlign w:val="bottom"/>
            <w:gridSpan w:val="2"/>
          </w:tcPr>
          <w:p>
            <w:pPr>
              <w:jc w:val="right"/>
              <w:ind w:right="39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73"/>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7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6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ind w:right="334"/>
              <w:spacing w:after="0"/>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2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jc w:val="right"/>
              <w:ind w:right="317"/>
              <w:spacing w:after="0" w:line="142" w:lineRule="exact"/>
              <w:rPr>
                <w:sz w:val="20"/>
                <w:szCs w:val="20"/>
                <w:color w:val="auto"/>
              </w:rPr>
            </w:pPr>
            <w:r>
              <w:rPr>
                <w:rFonts w:ascii="Arial" w:cs="Arial" w:eastAsia="Arial" w:hAnsi="Arial"/>
                <w:sz w:val="14"/>
                <w:szCs w:val="14"/>
                <w:color w:val="auto"/>
                <w:w w:val="89"/>
              </w:rPr>
              <w:t>2014</w:t>
            </w:r>
          </w:p>
        </w:tc>
        <w:tc>
          <w:tcPr>
            <w:tcW w:w="380" w:type="dxa"/>
            <w:vAlign w:val="bottom"/>
          </w:tcPr>
          <w:p>
            <w:pPr>
              <w:spacing w:after="0"/>
              <w:rPr>
                <w:sz w:val="12"/>
                <w:szCs w:val="12"/>
                <w:color w:val="auto"/>
              </w:rPr>
            </w:pPr>
          </w:p>
        </w:tc>
        <w:tc>
          <w:tcPr>
            <w:tcW w:w="660" w:type="dxa"/>
            <w:vAlign w:val="bottom"/>
          </w:tcPr>
          <w:p>
            <w:pPr>
              <w:jc w:val="right"/>
              <w:ind w:right="294"/>
              <w:spacing w:after="0" w:line="142" w:lineRule="exact"/>
              <w:rPr>
                <w:sz w:val="20"/>
                <w:szCs w:val="20"/>
                <w:color w:val="auto"/>
              </w:rPr>
            </w:pPr>
            <w:r>
              <w:rPr>
                <w:rFonts w:ascii="Arial" w:cs="Arial" w:eastAsia="Arial" w:hAnsi="Arial"/>
                <w:sz w:val="14"/>
                <w:szCs w:val="14"/>
                <w:color w:val="auto"/>
                <w:w w:val="83"/>
              </w:rPr>
              <w:t>2013</w:t>
            </w:r>
          </w:p>
        </w:tc>
        <w:tc>
          <w:tcPr>
            <w:tcW w:w="820" w:type="dxa"/>
            <w:vAlign w:val="bottom"/>
          </w:tcPr>
          <w:p>
            <w:pPr>
              <w:jc w:val="right"/>
              <w:ind w:right="277"/>
              <w:spacing w:after="0" w:line="142"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25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78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82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Distribution</w:t>
            </w:r>
          </w:p>
        </w:tc>
        <w:tc>
          <w:tcPr>
            <w:tcW w:w="3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77"/>
              <w:spacing w:after="0"/>
              <w:rPr>
                <w:sz w:val="20"/>
                <w:szCs w:val="20"/>
                <w:color w:val="auto"/>
              </w:rPr>
            </w:pPr>
            <w:r>
              <w:rPr>
                <w:rFonts w:ascii="Arial" w:cs="Arial" w:eastAsia="Arial" w:hAnsi="Arial"/>
                <w:sz w:val="18"/>
                <w:szCs w:val="18"/>
                <w:color w:val="auto"/>
                <w:w w:val="93"/>
              </w:rPr>
              <w:t>1,281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4"/>
              <w:spacing w:after="0"/>
              <w:rPr>
                <w:sz w:val="20"/>
                <w:szCs w:val="20"/>
                <w:color w:val="auto"/>
              </w:rPr>
            </w:pPr>
            <w:r>
              <w:rPr>
                <w:rFonts w:ascii="Arial" w:cs="Arial" w:eastAsia="Arial" w:hAnsi="Arial"/>
                <w:sz w:val="18"/>
                <w:szCs w:val="18"/>
                <w:color w:val="auto"/>
                <w:w w:val="88"/>
              </w:rPr>
              <w:t>1,219</w:t>
            </w:r>
          </w:p>
        </w:tc>
        <w:tc>
          <w:tcPr>
            <w:tcW w:w="820" w:type="dxa"/>
            <w:vAlign w:val="bottom"/>
          </w:tcPr>
          <w:p>
            <w:pPr>
              <w:jc w:val="right"/>
              <w:ind w:right="137"/>
              <w:spacing w:after="0"/>
              <w:rPr>
                <w:sz w:val="20"/>
                <w:szCs w:val="20"/>
                <w:color w:val="auto"/>
              </w:rPr>
            </w:pPr>
            <w:r>
              <w:rPr>
                <w:rFonts w:ascii="Arial" w:cs="Arial" w:eastAsia="Arial" w:hAnsi="Arial"/>
                <w:sz w:val="18"/>
                <w:szCs w:val="18"/>
                <w:color w:val="auto"/>
              </w:rPr>
              <w:t>$ 62</w:t>
            </w: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w:t>
            </w:r>
          </w:p>
        </w:tc>
        <w:tc>
          <w:tcPr>
            <w:tcW w:w="27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796</w:t>
            </w: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835</w:t>
            </w:r>
          </w:p>
        </w:tc>
        <w:tc>
          <w:tcPr>
            <w:tcW w:w="82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(39)</w:t>
            </w:r>
          </w:p>
        </w:tc>
        <w:tc>
          <w:tcPr>
            <w:tcW w:w="66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Content licensing and other</w:t>
            </w:r>
          </w:p>
        </w:tc>
        <w:tc>
          <w:tcPr>
            <w:tcW w:w="27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178</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185</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(7)</w:t>
            </w: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27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77"/>
              <w:spacing w:after="0"/>
              <w:rPr>
                <w:sz w:val="20"/>
                <w:szCs w:val="20"/>
                <w:color w:val="auto"/>
              </w:rPr>
            </w:pPr>
            <w:r>
              <w:rPr>
                <w:rFonts w:ascii="Arial" w:cs="Arial" w:eastAsia="Arial" w:hAnsi="Arial"/>
                <w:sz w:val="18"/>
                <w:szCs w:val="18"/>
                <w:b w:val="1"/>
                <w:bCs w:val="1"/>
                <w:color w:val="auto"/>
                <w:w w:val="93"/>
              </w:rPr>
              <w:t>2,255</w:t>
            </w: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4"/>
              <w:spacing w:after="0"/>
              <w:rPr>
                <w:sz w:val="20"/>
                <w:szCs w:val="20"/>
                <w:color w:val="auto"/>
              </w:rPr>
            </w:pPr>
            <w:r>
              <w:rPr>
                <w:rFonts w:ascii="Arial" w:cs="Arial" w:eastAsia="Arial" w:hAnsi="Arial"/>
                <w:sz w:val="18"/>
                <w:szCs w:val="18"/>
                <w:b w:val="1"/>
                <w:bCs w:val="1"/>
                <w:color w:val="auto"/>
                <w:w w:val="88"/>
              </w:rPr>
              <w:t>2,239</w:t>
            </w:r>
          </w:p>
        </w:tc>
        <w:tc>
          <w:tcPr>
            <w:tcW w:w="820" w:type="dxa"/>
            <w:vAlign w:val="bottom"/>
            <w:shd w:val="clear" w:color="auto" w:fill="E5E5E5"/>
          </w:tcPr>
          <w:p>
            <w:pPr>
              <w:jc w:val="right"/>
              <w:ind w:right="137"/>
              <w:spacing w:after="0"/>
              <w:rPr>
                <w:sz w:val="20"/>
                <w:szCs w:val="20"/>
                <w:color w:val="auto"/>
              </w:rPr>
            </w:pPr>
            <w:r>
              <w:rPr>
                <w:rFonts w:ascii="Arial" w:cs="Arial" w:eastAsia="Arial" w:hAnsi="Arial"/>
                <w:sz w:val="18"/>
                <w:szCs w:val="18"/>
                <w:b w:val="1"/>
                <w:bCs w:val="1"/>
                <w:color w:val="auto"/>
              </w:rPr>
              <w:t>16</w:t>
            </w:r>
          </w:p>
        </w:tc>
        <w:tc>
          <w:tcPr>
            <w:tcW w:w="66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27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972</w:t>
            </w: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953</w:t>
            </w:r>
          </w:p>
        </w:tc>
        <w:tc>
          <w:tcPr>
            <w:tcW w:w="82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19</w:t>
            </w:r>
          </w:p>
        </w:tc>
        <w:tc>
          <w:tcPr>
            <w:tcW w:w="6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2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ind w:right="177"/>
              <w:spacing w:after="0"/>
              <w:rPr>
                <w:sz w:val="20"/>
                <w:szCs w:val="20"/>
                <w:color w:val="auto"/>
              </w:rPr>
            </w:pPr>
            <w:r>
              <w:rPr>
                <w:rFonts w:ascii="Arial" w:cs="Arial" w:eastAsia="Arial" w:hAnsi="Arial"/>
                <w:sz w:val="18"/>
                <w:szCs w:val="18"/>
                <w:color w:val="auto"/>
              </w:rPr>
              <w:t>302</w:t>
            </w:r>
          </w:p>
        </w:tc>
        <w:tc>
          <w:tcPr>
            <w:tcW w:w="380" w:type="dxa"/>
            <w:vAlign w:val="bottom"/>
          </w:tcPr>
          <w:p>
            <w:pPr>
              <w:spacing w:after="0"/>
              <w:rPr>
                <w:sz w:val="18"/>
                <w:szCs w:val="18"/>
                <w:color w:val="auto"/>
              </w:rPr>
            </w:pPr>
          </w:p>
        </w:tc>
        <w:tc>
          <w:tcPr>
            <w:tcW w:w="660" w:type="dxa"/>
            <w:vAlign w:val="bottom"/>
          </w:tcPr>
          <w:p>
            <w:pPr>
              <w:jc w:val="right"/>
              <w:ind w:right="154"/>
              <w:spacing w:after="0"/>
              <w:rPr>
                <w:sz w:val="20"/>
                <w:szCs w:val="20"/>
                <w:color w:val="auto"/>
              </w:rPr>
            </w:pPr>
            <w:r>
              <w:rPr>
                <w:rFonts w:ascii="Arial" w:cs="Arial" w:eastAsia="Arial" w:hAnsi="Arial"/>
                <w:sz w:val="18"/>
                <w:szCs w:val="18"/>
                <w:color w:val="auto"/>
              </w:rPr>
              <w:t>313</w:t>
            </w:r>
          </w:p>
        </w:tc>
        <w:tc>
          <w:tcPr>
            <w:tcW w:w="820" w:type="dxa"/>
            <w:vAlign w:val="bottom"/>
          </w:tcPr>
          <w:p>
            <w:pPr>
              <w:jc w:val="right"/>
              <w:ind w:right="77"/>
              <w:spacing w:after="0"/>
              <w:rPr>
                <w:sz w:val="20"/>
                <w:szCs w:val="20"/>
                <w:color w:val="auto"/>
              </w:rPr>
            </w:pPr>
            <w:r>
              <w:rPr>
                <w:rFonts w:ascii="Arial" w:cs="Arial" w:eastAsia="Arial" w:hAnsi="Arial"/>
                <w:sz w:val="18"/>
                <w:szCs w:val="18"/>
                <w:color w:val="auto"/>
              </w:rPr>
              <w:t>(11)</w:t>
            </w:r>
          </w:p>
        </w:tc>
        <w:tc>
          <w:tcPr>
            <w:tcW w:w="660" w:type="dxa"/>
            <w:vAlign w:val="bottom"/>
          </w:tcPr>
          <w:p>
            <w:pPr>
              <w:jc w:val="right"/>
              <w:ind w:right="9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27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color w:val="auto"/>
              </w:rPr>
              <w:t>113</w:t>
            </w:r>
          </w:p>
        </w:tc>
        <w:tc>
          <w:tcPr>
            <w:tcW w:w="3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120</w:t>
            </w:r>
          </w:p>
        </w:tc>
        <w:tc>
          <w:tcPr>
            <w:tcW w:w="82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(7)</w:t>
            </w:r>
          </w:p>
        </w:tc>
        <w:tc>
          <w:tcPr>
            <w:tcW w:w="66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27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w w:val="93"/>
              </w:rPr>
              <w:t>1,387</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88"/>
              </w:rPr>
              <w:t>1,386</w:t>
            </w:r>
          </w:p>
        </w:tc>
        <w:tc>
          <w:tcPr>
            <w:tcW w:w="8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w:t>
            </w: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300" w:type="dxa"/>
            <w:vAlign w:val="bottom"/>
            <w:tcBorders>
              <w:bottom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b w:val="1"/>
                <w:bCs w:val="1"/>
                <w:color w:val="auto"/>
              </w:rPr>
              <w:t>868</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b w:val="1"/>
                <w:bCs w:val="1"/>
                <w:color w:val="auto"/>
              </w:rPr>
              <w:t>853</w:t>
            </w:r>
          </w:p>
        </w:tc>
        <w:tc>
          <w:tcPr>
            <w:tcW w:w="82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b w:val="1"/>
                <w:bCs w:val="1"/>
                <w:color w:val="auto"/>
              </w:rPr>
              <w:t>$ 15</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780" w:type="dxa"/>
            <w:vAlign w:val="bottom"/>
          </w:tcPr>
          <w:p>
            <w:pPr>
              <w:jc w:val="right"/>
              <w:ind w:right="1772"/>
              <w:spacing w:after="0"/>
              <w:rPr>
                <w:sz w:val="20"/>
                <w:szCs w:val="20"/>
                <w:color w:val="auto"/>
              </w:rPr>
            </w:pPr>
            <w:r>
              <w:rPr>
                <w:rFonts w:ascii="Arial" w:cs="Arial" w:eastAsia="Arial" w:hAnsi="Arial"/>
                <w:sz w:val="18"/>
                <w:szCs w:val="18"/>
                <w:color w:val="auto"/>
              </w:rPr>
              <w:t>36</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280" w:type="dxa"/>
            <w:vAlign w:val="bottom"/>
            <w:gridSpan w:val="2"/>
          </w:tcPr>
          <w:p>
            <w:pPr>
              <w:jc w:val="right"/>
              <w:ind w:right="434"/>
              <w:spacing w:after="0"/>
              <w:rPr>
                <w:sz w:val="20"/>
                <w:szCs w:val="20"/>
                <w:color w:val="auto"/>
              </w:rPr>
            </w:pPr>
            <w:r>
              <w:rPr>
                <w:rFonts w:ascii="Arial" w:cs="Arial" w:eastAsia="Arial" w:hAnsi="Arial"/>
                <w:sz w:val="14"/>
                <w:szCs w:val="14"/>
                <w:color w:val="auto"/>
              </w:rPr>
              <w:t>Nine Months Ended</w:t>
            </w:r>
          </w:p>
        </w:tc>
        <w:tc>
          <w:tcPr>
            <w:tcW w:w="1520" w:type="dxa"/>
            <w:vAlign w:val="bottom"/>
            <w:gridSpan w:val="2"/>
          </w:tcPr>
          <w:p>
            <w:pPr>
              <w:jc w:val="right"/>
              <w:ind w:right="414"/>
              <w:spacing w:after="0"/>
              <w:rPr>
                <w:sz w:val="20"/>
                <w:szCs w:val="20"/>
                <w:color w:val="auto"/>
              </w:rPr>
            </w:pPr>
            <w:r>
              <w:rPr>
                <w:rFonts w:ascii="Arial" w:cs="Arial" w:eastAsia="Arial" w:hAnsi="Arial"/>
                <w:sz w:val="14"/>
                <w:szCs w:val="14"/>
                <w:color w:val="auto"/>
              </w:rPr>
              <w:t>Increase/</w:t>
            </w:r>
          </w:p>
        </w:tc>
      </w:tr>
      <w:tr>
        <w:trPr>
          <w:trHeight w:val="172"/>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280" w:type="dxa"/>
            <w:vAlign w:val="bottom"/>
            <w:tcBorders>
              <w:bottom w:val="single" w:sz="8" w:color="auto"/>
            </w:tcBorders>
            <w:gridSpan w:val="2"/>
          </w:tcPr>
          <w:p>
            <w:pPr>
              <w:jc w:val="right"/>
              <w:ind w:right="594"/>
              <w:spacing w:after="0"/>
              <w:rPr>
                <w:sz w:val="20"/>
                <w:szCs w:val="20"/>
                <w:color w:val="auto"/>
              </w:rPr>
            </w:pPr>
            <w:r>
              <w:rPr>
                <w:rFonts w:ascii="Arial" w:cs="Arial" w:eastAsia="Arial" w:hAnsi="Arial"/>
                <w:sz w:val="14"/>
                <w:szCs w:val="14"/>
                <w:color w:val="auto"/>
              </w:rPr>
              <w:t>September 30</w:t>
            </w:r>
          </w:p>
        </w:tc>
        <w:tc>
          <w:tcPr>
            <w:tcW w:w="1520" w:type="dxa"/>
            <w:vAlign w:val="bottom"/>
            <w:tcBorders>
              <w:bottom w:val="single" w:sz="8" w:color="auto"/>
            </w:tcBorders>
            <w:gridSpan w:val="2"/>
          </w:tcPr>
          <w:p>
            <w:pPr>
              <w:jc w:val="right"/>
              <w:ind w:right="374"/>
              <w:spacing w:after="0"/>
              <w:rPr>
                <w:sz w:val="20"/>
                <w:szCs w:val="20"/>
                <w:color w:val="auto"/>
              </w:rPr>
            </w:pPr>
            <w:r>
              <w:rPr>
                <w:rFonts w:ascii="Arial" w:cs="Arial" w:eastAsia="Arial" w:hAnsi="Arial"/>
                <w:sz w:val="14"/>
                <w:szCs w:val="14"/>
                <w:color w:val="auto"/>
              </w:rPr>
              <w:t>(Decrease)</w:t>
            </w:r>
          </w:p>
        </w:tc>
      </w:tr>
      <w:tr>
        <w:trPr>
          <w:trHeight w:val="143"/>
        </w:trPr>
        <w:tc>
          <w:tcPr>
            <w:tcW w:w="7620" w:type="dxa"/>
            <w:vAlign w:val="bottom"/>
            <w:gridSpan w:val="2"/>
          </w:tcPr>
          <w:p>
            <w:pPr>
              <w:spacing w:after="0" w:line="143" w:lineRule="exact"/>
              <w:rPr>
                <w:sz w:val="20"/>
                <w:szCs w:val="20"/>
                <w:color w:val="auto"/>
              </w:rPr>
            </w:pPr>
            <w:r>
              <w:rPr>
                <w:rFonts w:ascii="Arial" w:cs="Arial" w:eastAsia="Arial" w:hAnsi="Arial"/>
                <w:sz w:val="14"/>
                <w:szCs w:val="14"/>
                <w:color w:val="auto"/>
              </w:rPr>
              <w:t>(in millions)</w:t>
            </w:r>
          </w:p>
        </w:tc>
        <w:tc>
          <w:tcPr>
            <w:tcW w:w="1220" w:type="dxa"/>
            <w:vAlign w:val="bottom"/>
          </w:tcPr>
          <w:p>
            <w:pPr>
              <w:jc w:val="right"/>
              <w:ind w:right="317"/>
              <w:spacing w:after="0" w:line="143" w:lineRule="exact"/>
              <w:rPr>
                <w:sz w:val="20"/>
                <w:szCs w:val="20"/>
                <w:color w:val="auto"/>
              </w:rPr>
            </w:pPr>
            <w:r>
              <w:rPr>
                <w:rFonts w:ascii="Arial" w:cs="Arial" w:eastAsia="Arial" w:hAnsi="Arial"/>
                <w:sz w:val="14"/>
                <w:szCs w:val="14"/>
                <w:color w:val="auto"/>
              </w:rPr>
              <w:t>2014</w:t>
            </w:r>
          </w:p>
        </w:tc>
        <w:tc>
          <w:tcPr>
            <w:tcW w:w="1060" w:type="dxa"/>
            <w:vAlign w:val="bottom"/>
          </w:tcPr>
          <w:p>
            <w:pPr>
              <w:jc w:val="right"/>
              <w:ind w:right="314"/>
              <w:spacing w:after="0" w:line="143" w:lineRule="exact"/>
              <w:rPr>
                <w:sz w:val="20"/>
                <w:szCs w:val="20"/>
                <w:color w:val="auto"/>
              </w:rPr>
            </w:pPr>
            <w:r>
              <w:rPr>
                <w:rFonts w:ascii="Arial" w:cs="Arial" w:eastAsia="Arial" w:hAnsi="Arial"/>
                <w:sz w:val="14"/>
                <w:szCs w:val="14"/>
                <w:color w:val="auto"/>
              </w:rPr>
              <w:t>2013</w:t>
            </w:r>
          </w:p>
        </w:tc>
        <w:tc>
          <w:tcPr>
            <w:tcW w:w="840" w:type="dxa"/>
            <w:vAlign w:val="bottom"/>
          </w:tcPr>
          <w:p>
            <w:pPr>
              <w:jc w:val="right"/>
              <w:ind w:right="297"/>
              <w:spacing w:after="0" w:line="143"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274"/>
              <w:spacing w:after="0" w:line="143" w:lineRule="exact"/>
              <w:rPr>
                <w:sz w:val="20"/>
                <w:szCs w:val="20"/>
                <w:color w:val="auto"/>
              </w:rPr>
            </w:pPr>
            <w:r>
              <w:rPr>
                <w:rFonts w:ascii="Arial" w:cs="Arial" w:eastAsia="Arial" w:hAnsi="Arial"/>
                <w:sz w:val="14"/>
                <w:szCs w:val="14"/>
                <w:color w:val="auto"/>
              </w:rPr>
              <w:t>%</w:t>
            </w:r>
          </w:p>
        </w:tc>
      </w:tr>
      <w:tr>
        <w:trPr>
          <w:trHeight w:val="210"/>
        </w:trPr>
        <w:tc>
          <w:tcPr>
            <w:tcW w:w="20" w:type="dxa"/>
            <w:vAlign w:val="bottom"/>
          </w:tcPr>
          <w:p>
            <w:pPr>
              <w:spacing w:after="0"/>
              <w:rPr>
                <w:sz w:val="18"/>
                <w:szCs w:val="18"/>
                <w:color w:val="auto"/>
              </w:rPr>
            </w:pPr>
          </w:p>
        </w:tc>
        <w:tc>
          <w:tcPr>
            <w:tcW w:w="76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220" w:type="dxa"/>
            <w:vAlign w:val="bottom"/>
            <w:tcBorders>
              <w:top w:val="single" w:sz="8" w:color="auto"/>
            </w:tcBorders>
            <w:shd w:val="clear" w:color="auto" w:fill="E5E5E5"/>
          </w:tcPr>
          <w:p>
            <w:pPr>
              <w:spacing w:after="0"/>
              <w:rPr>
                <w:sz w:val="18"/>
                <w:szCs w:val="18"/>
                <w:color w:val="auto"/>
              </w:rPr>
            </w:pPr>
          </w:p>
        </w:tc>
        <w:tc>
          <w:tcPr>
            <w:tcW w:w="10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Distribution</w:t>
            </w:r>
          </w:p>
        </w:tc>
        <w:tc>
          <w:tcPr>
            <w:tcW w:w="1220" w:type="dxa"/>
            <w:vAlign w:val="bottom"/>
          </w:tcPr>
          <w:p>
            <w:pPr>
              <w:jc w:val="right"/>
              <w:ind w:right="177"/>
              <w:spacing w:after="0"/>
              <w:rPr>
                <w:sz w:val="20"/>
                <w:szCs w:val="20"/>
                <w:color w:val="auto"/>
              </w:rPr>
            </w:pPr>
            <w:r>
              <w:rPr>
                <w:rFonts w:ascii="Arial" w:cs="Arial" w:eastAsia="Arial" w:hAnsi="Arial"/>
                <w:sz w:val="18"/>
                <w:szCs w:val="18"/>
                <w:color w:val="auto"/>
              </w:rPr>
              <w:t>$ 4,024</w:t>
            </w: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$ 3,679</w:t>
            </w:r>
          </w:p>
        </w:tc>
        <w:tc>
          <w:tcPr>
            <w:tcW w:w="840" w:type="dxa"/>
            <w:vAlign w:val="bottom"/>
          </w:tcPr>
          <w:p>
            <w:pPr>
              <w:jc w:val="right"/>
              <w:ind w:right="137"/>
              <w:spacing w:after="0"/>
              <w:rPr>
                <w:sz w:val="20"/>
                <w:szCs w:val="20"/>
                <w:color w:val="auto"/>
              </w:rPr>
            </w:pPr>
            <w:r>
              <w:rPr>
                <w:rFonts w:ascii="Arial" w:cs="Arial" w:eastAsia="Arial" w:hAnsi="Arial"/>
                <w:sz w:val="18"/>
                <w:szCs w:val="18"/>
                <w:color w:val="auto"/>
              </w:rPr>
              <w:t>$345</w:t>
            </w:r>
          </w:p>
        </w:tc>
        <w:tc>
          <w:tcPr>
            <w:tcW w:w="6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20" w:type="dxa"/>
            <w:vAlign w:val="bottom"/>
          </w:tcPr>
          <w:p>
            <w:pPr>
              <w:spacing w:after="0"/>
              <w:rPr>
                <w:sz w:val="18"/>
                <w:szCs w:val="18"/>
                <w:color w:val="auto"/>
              </w:rPr>
            </w:pPr>
          </w:p>
        </w:tc>
        <w:tc>
          <w:tcPr>
            <w:tcW w:w="76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w:t>
            </w:r>
          </w:p>
        </w:tc>
        <w:tc>
          <w:tcPr>
            <w:tcW w:w="122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2,637</w:t>
            </w:r>
          </w:p>
        </w:tc>
        <w:tc>
          <w:tcPr>
            <w:tcW w:w="10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2,629</w:t>
            </w:r>
          </w:p>
        </w:tc>
        <w:tc>
          <w:tcPr>
            <w:tcW w:w="84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8</w:t>
            </w:r>
          </w:p>
        </w:tc>
        <w:tc>
          <w:tcPr>
            <w:tcW w:w="6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76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Content licensing and other</w:t>
            </w:r>
          </w:p>
        </w:tc>
        <w:tc>
          <w:tcPr>
            <w:tcW w:w="122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575</w:t>
            </w:r>
          </w:p>
        </w:tc>
        <w:tc>
          <w:tcPr>
            <w:tcW w:w="10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569</w:t>
            </w:r>
          </w:p>
        </w:tc>
        <w:tc>
          <w:tcPr>
            <w:tcW w:w="8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6</w:t>
            </w: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0.9</w:t>
            </w:r>
          </w:p>
        </w:tc>
      </w:tr>
      <w:tr>
        <w:trPr>
          <w:trHeight w:val="210"/>
        </w:trPr>
        <w:tc>
          <w:tcPr>
            <w:tcW w:w="20" w:type="dxa"/>
            <w:vAlign w:val="bottom"/>
          </w:tcPr>
          <w:p>
            <w:pPr>
              <w:spacing w:after="0"/>
              <w:rPr>
                <w:sz w:val="18"/>
                <w:szCs w:val="18"/>
                <w:color w:val="auto"/>
              </w:rPr>
            </w:pPr>
          </w:p>
        </w:tc>
        <w:tc>
          <w:tcPr>
            <w:tcW w:w="76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1220" w:type="dxa"/>
            <w:vAlign w:val="bottom"/>
            <w:shd w:val="clear" w:color="auto" w:fill="E5E5E5"/>
          </w:tcPr>
          <w:p>
            <w:pPr>
              <w:jc w:val="right"/>
              <w:ind w:right="177"/>
              <w:spacing w:after="0"/>
              <w:rPr>
                <w:sz w:val="20"/>
                <w:szCs w:val="20"/>
                <w:color w:val="auto"/>
              </w:rPr>
            </w:pPr>
            <w:r>
              <w:rPr>
                <w:rFonts w:ascii="Arial" w:cs="Arial" w:eastAsia="Arial" w:hAnsi="Arial"/>
                <w:sz w:val="18"/>
                <w:szCs w:val="18"/>
                <w:b w:val="1"/>
                <w:bCs w:val="1"/>
                <w:color w:val="auto"/>
              </w:rPr>
              <w:t>7,236</w:t>
            </w:r>
          </w:p>
        </w:tc>
        <w:tc>
          <w:tcPr>
            <w:tcW w:w="1060" w:type="dxa"/>
            <w:vAlign w:val="bottom"/>
            <w:shd w:val="clear" w:color="auto" w:fill="E5E5E5"/>
          </w:tcPr>
          <w:p>
            <w:pPr>
              <w:jc w:val="right"/>
              <w:ind w:right="174"/>
              <w:spacing w:after="0"/>
              <w:rPr>
                <w:sz w:val="20"/>
                <w:szCs w:val="20"/>
                <w:color w:val="auto"/>
              </w:rPr>
            </w:pPr>
            <w:r>
              <w:rPr>
                <w:rFonts w:ascii="Arial" w:cs="Arial" w:eastAsia="Arial" w:hAnsi="Arial"/>
                <w:sz w:val="18"/>
                <w:szCs w:val="18"/>
                <w:b w:val="1"/>
                <w:bCs w:val="1"/>
                <w:color w:val="auto"/>
              </w:rPr>
              <w:t>6,877</w:t>
            </w:r>
          </w:p>
        </w:tc>
        <w:tc>
          <w:tcPr>
            <w:tcW w:w="840" w:type="dxa"/>
            <w:vAlign w:val="bottom"/>
            <w:shd w:val="clear" w:color="auto" w:fill="E5E5E5"/>
          </w:tcPr>
          <w:p>
            <w:pPr>
              <w:jc w:val="right"/>
              <w:ind w:right="137"/>
              <w:spacing w:after="0"/>
              <w:rPr>
                <w:sz w:val="20"/>
                <w:szCs w:val="20"/>
                <w:color w:val="auto"/>
              </w:rPr>
            </w:pPr>
            <w:r>
              <w:rPr>
                <w:rFonts w:ascii="Arial" w:cs="Arial" w:eastAsia="Arial" w:hAnsi="Arial"/>
                <w:sz w:val="18"/>
                <w:szCs w:val="18"/>
                <w:b w:val="1"/>
                <w:bCs w:val="1"/>
                <w:color w:val="auto"/>
              </w:rPr>
              <w:t>359</w:t>
            </w:r>
          </w:p>
        </w:tc>
        <w:tc>
          <w:tcPr>
            <w:tcW w:w="68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5.2</w:t>
            </w: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122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3,283</w:t>
            </w:r>
          </w:p>
        </w:tc>
        <w:tc>
          <w:tcPr>
            <w:tcW w:w="10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2,945</w:t>
            </w:r>
          </w:p>
        </w:tc>
        <w:tc>
          <w:tcPr>
            <w:tcW w:w="84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338</w:t>
            </w:r>
          </w:p>
        </w:tc>
        <w:tc>
          <w:tcPr>
            <w:tcW w:w="6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11.5</w:t>
            </w: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1220" w:type="dxa"/>
            <w:vAlign w:val="bottom"/>
          </w:tcPr>
          <w:p>
            <w:pPr>
              <w:jc w:val="right"/>
              <w:ind w:right="177"/>
              <w:spacing w:after="0"/>
              <w:rPr>
                <w:sz w:val="20"/>
                <w:szCs w:val="20"/>
                <w:color w:val="auto"/>
              </w:rPr>
            </w:pPr>
            <w:r>
              <w:rPr>
                <w:rFonts w:ascii="Arial" w:cs="Arial" w:eastAsia="Arial" w:hAnsi="Arial"/>
                <w:sz w:val="18"/>
                <w:szCs w:val="18"/>
                <w:color w:val="auto"/>
              </w:rPr>
              <w:t>914</w:t>
            </w: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985</w:t>
            </w:r>
          </w:p>
        </w:tc>
        <w:tc>
          <w:tcPr>
            <w:tcW w:w="840" w:type="dxa"/>
            <w:vAlign w:val="bottom"/>
          </w:tcPr>
          <w:p>
            <w:pPr>
              <w:jc w:val="right"/>
              <w:ind w:right="77"/>
              <w:spacing w:after="0"/>
              <w:rPr>
                <w:sz w:val="20"/>
                <w:szCs w:val="20"/>
                <w:color w:val="auto"/>
              </w:rPr>
            </w:pPr>
            <w:r>
              <w:rPr>
                <w:rFonts w:ascii="Arial" w:cs="Arial" w:eastAsia="Arial" w:hAnsi="Arial"/>
                <w:sz w:val="18"/>
                <w:szCs w:val="18"/>
                <w:color w:val="auto"/>
              </w:rPr>
              <w:t>(71)</w:t>
            </w:r>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(7.3)</w:t>
            </w:r>
          </w:p>
        </w:tc>
      </w:tr>
      <w:tr>
        <w:trPr>
          <w:trHeight w:val="216"/>
        </w:trPr>
        <w:tc>
          <w:tcPr>
            <w:tcW w:w="20" w:type="dxa"/>
            <w:vAlign w:val="bottom"/>
          </w:tcPr>
          <w:p>
            <w:pPr>
              <w:spacing w:after="0"/>
              <w:rPr>
                <w:sz w:val="18"/>
                <w:szCs w:val="18"/>
                <w:color w:val="auto"/>
              </w:rPr>
            </w:pPr>
          </w:p>
        </w:tc>
        <w:tc>
          <w:tcPr>
            <w:tcW w:w="760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122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color w:val="auto"/>
              </w:rPr>
              <w:t>362</w:t>
            </w:r>
          </w:p>
        </w:tc>
        <w:tc>
          <w:tcPr>
            <w:tcW w:w="106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375</w:t>
            </w:r>
          </w:p>
        </w:tc>
        <w:tc>
          <w:tcPr>
            <w:tcW w:w="84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(13)</w:t>
            </w:r>
          </w:p>
        </w:tc>
        <w:tc>
          <w:tcPr>
            <w:tcW w:w="6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(3.7)</w:t>
            </w:r>
          </w:p>
        </w:tc>
      </w:tr>
      <w:tr>
        <w:trPr>
          <w:trHeight w:val="210"/>
        </w:trPr>
        <w:tc>
          <w:tcPr>
            <w:tcW w:w="20" w:type="dxa"/>
            <w:vAlign w:val="bottom"/>
          </w:tcPr>
          <w:p>
            <w:pPr>
              <w:spacing w:after="0"/>
              <w:rPr>
                <w:sz w:val="18"/>
                <w:szCs w:val="18"/>
                <w:color w:val="auto"/>
              </w:rPr>
            </w:pPr>
          </w:p>
        </w:tc>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122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4,559</w:t>
            </w:r>
          </w:p>
        </w:tc>
        <w:tc>
          <w:tcPr>
            <w:tcW w:w="10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4,305</w:t>
            </w:r>
          </w:p>
        </w:tc>
        <w:tc>
          <w:tcPr>
            <w:tcW w:w="8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254</w:t>
            </w: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5.9</w:t>
            </w:r>
          </w:p>
        </w:tc>
      </w:tr>
      <w:tr>
        <w:trPr>
          <w:trHeight w:val="217"/>
        </w:trPr>
        <w:tc>
          <w:tcPr>
            <w:tcW w:w="20" w:type="dxa"/>
            <w:vAlign w:val="bottom"/>
          </w:tcPr>
          <w:p>
            <w:pPr>
              <w:spacing w:after="0"/>
              <w:rPr>
                <w:sz w:val="18"/>
                <w:szCs w:val="18"/>
                <w:color w:val="auto"/>
              </w:rPr>
            </w:pPr>
          </w:p>
        </w:tc>
        <w:tc>
          <w:tcPr>
            <w:tcW w:w="76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122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b w:val="1"/>
                <w:bCs w:val="1"/>
                <w:color w:val="auto"/>
              </w:rPr>
              <w:t>$ 2,677</w:t>
            </w:r>
          </w:p>
        </w:tc>
        <w:tc>
          <w:tcPr>
            <w:tcW w:w="106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b w:val="1"/>
                <w:bCs w:val="1"/>
                <w:color w:val="auto"/>
              </w:rPr>
              <w:t>$ 2,572</w:t>
            </w:r>
          </w:p>
        </w:tc>
        <w:tc>
          <w:tcPr>
            <w:tcW w:w="84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b w:val="1"/>
                <w:bCs w:val="1"/>
                <w:color w:val="auto"/>
              </w:rPr>
              <w:t>$105</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4.1%</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Segment—Revenue</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Cable Networks revenue increased slightly for the three months ended September 30, 2014 compared to the same period in 2013 primarily due to an increase in distribution revenue, which was partially offset by a decrease in advertising revenue. The increase in distribution revenue was primarily due to increases in the contractual rates charged under distribution agreements. The decrease in advertising revenue was primarily due to a continuing decline in the audience ratings at our networks, which was partially offset by higher volume and prices of advertising units sold. Cable Networks revenue for the three months ended September 30, 2014 was also impacted by the absence of the Style network and Fandango in the current year period.</w:t>
      </w:r>
    </w:p>
    <w:p>
      <w:pPr>
        <w:spacing w:after="0" w:line="2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Cable Networks revenue increased for the nine months ended September 30, 2014 compared to the same period in 2013 primarily due to an increase in distribution revenue. The increase in distribution revenue was primarily due to our broadcast of the 2014 Sochi Olympics in February 2014 and increases in the contractual rates charged under distribution agreements. Cable Networks revenue for the nine months ended September 30, 2014 was also impacted by the absence of the Style network and Fandango in the current year period. Excluding $257 million of revenue associated with the 2014 Sochi Olympics, Cable Networks revenue increased 1.5% for the nine months ended September 30, 2014 compared to the same period in 2013.</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three and nine months ended September 30, 2014, 13% and 12%, respectively, of our Cable Networks segment revenue was generated from our Cable Communications segment. For both the three and nine months ended September 30, 2013, 13% of our Cable Networks segment revenue was generated from our Cable Communications segment. These amounts are eliminated in our condensed consolidated financial statements but are included in the amounts presented above.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Segment—Operating Costs and Expenses</w:t>
      </w:r>
    </w:p>
    <w:p>
      <w:pPr>
        <w:spacing w:after="0" w:line="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Operating costs and expenses remained flat for the three months ended September 30, 2014 compared to the same period in 2013. Operating costs and expenses increased for the nine months ended September 30, 2014 compared to the same period in 2013 primarily due to an increase in programming and production costs, which was partially offset by decreases in other operating and administrative expenses and advertising, marketing and promotion expenses. The increase in programming and production costs was primarily due to costs associated with the 2014 Sochi Olympics, as well as our continued investment in programming, including sports programming rights costs. The decreases in other operating and administrative costs and advertising, marketing and promotion expenses were primarily due to the absence of the Style network and Fandango in the current year period. Other operating and administrative costs also decreased due to lower employee-related costs.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Broadcast Television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gridSpan w:val="3"/>
          </w:tcPr>
          <w:p>
            <w:pPr>
              <w:jc w:val="center"/>
              <w:ind w:right="214"/>
              <w:spacing w:after="0"/>
              <w:rPr>
                <w:sz w:val="20"/>
                <w:szCs w:val="20"/>
                <w:color w:val="auto"/>
              </w:rPr>
            </w:pPr>
            <w:r>
              <w:rPr>
                <w:rFonts w:ascii="Arial" w:cs="Arial" w:eastAsia="Arial" w:hAnsi="Arial"/>
                <w:sz w:val="14"/>
                <w:szCs w:val="14"/>
                <w:color w:val="auto"/>
                <w:w w:val="87"/>
              </w:rPr>
              <w:t>Three Months Ended</w:t>
            </w:r>
          </w:p>
        </w:tc>
        <w:tc>
          <w:tcPr>
            <w:tcW w:w="420" w:type="dxa"/>
            <w:vAlign w:val="bottom"/>
          </w:tcPr>
          <w:p>
            <w:pPr>
              <w:spacing w:after="0"/>
              <w:rPr>
                <w:sz w:val="14"/>
                <w:szCs w:val="14"/>
                <w:color w:val="auto"/>
              </w:rPr>
            </w:pPr>
          </w:p>
        </w:tc>
        <w:tc>
          <w:tcPr>
            <w:tcW w:w="1260" w:type="dxa"/>
            <w:vAlign w:val="bottom"/>
            <w:gridSpan w:val="2"/>
          </w:tcPr>
          <w:p>
            <w:pPr>
              <w:jc w:val="right"/>
              <w:ind w:right="47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73"/>
        </w:trPr>
        <w:tc>
          <w:tcPr>
            <w:tcW w:w="7540" w:type="dxa"/>
            <w:vAlign w:val="bottom"/>
            <w:gridSpan w:val="3"/>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left="238"/>
              <w:spacing w:after="0"/>
              <w:rPr>
                <w:sz w:val="20"/>
                <w:szCs w:val="20"/>
                <w:color w:val="auto"/>
              </w:rPr>
            </w:pPr>
            <w:r>
              <w:rPr>
                <w:rFonts w:ascii="Arial" w:cs="Arial" w:eastAsia="Arial" w:hAnsi="Arial"/>
                <w:sz w:val="14"/>
                <w:szCs w:val="14"/>
                <w:color w:val="auto"/>
                <w:w w:val="84"/>
              </w:rPr>
              <w:t>September 30</w:t>
            </w:r>
          </w:p>
        </w:tc>
        <w:tc>
          <w:tcPr>
            <w:tcW w:w="6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414"/>
              <w:spacing w:after="0"/>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54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jc w:val="right"/>
              <w:ind w:right="238"/>
              <w:spacing w:after="0" w:line="142" w:lineRule="exact"/>
              <w:rPr>
                <w:sz w:val="20"/>
                <w:szCs w:val="20"/>
                <w:color w:val="auto"/>
              </w:rPr>
            </w:pPr>
            <w:r>
              <w:rPr>
                <w:rFonts w:ascii="Arial" w:cs="Arial" w:eastAsia="Arial" w:hAnsi="Arial"/>
                <w:sz w:val="14"/>
                <w:szCs w:val="14"/>
                <w:color w:val="auto"/>
                <w:w w:val="89"/>
              </w:rPr>
              <w:t>2014</w:t>
            </w:r>
          </w:p>
        </w:tc>
        <w:tc>
          <w:tcPr>
            <w:tcW w:w="440" w:type="dxa"/>
            <w:vAlign w:val="bottom"/>
          </w:tcPr>
          <w:p>
            <w:pPr>
              <w:spacing w:after="0"/>
              <w:rPr>
                <w:sz w:val="12"/>
                <w:szCs w:val="12"/>
                <w:color w:val="auto"/>
              </w:rPr>
            </w:pPr>
          </w:p>
        </w:tc>
        <w:tc>
          <w:tcPr>
            <w:tcW w:w="620" w:type="dxa"/>
            <w:vAlign w:val="bottom"/>
          </w:tcPr>
          <w:p>
            <w:pPr>
              <w:jc w:val="right"/>
              <w:ind w:right="254"/>
              <w:spacing w:after="0" w:line="142" w:lineRule="exact"/>
              <w:rPr>
                <w:sz w:val="20"/>
                <w:szCs w:val="20"/>
                <w:color w:val="auto"/>
              </w:rPr>
            </w:pPr>
            <w:r>
              <w:rPr>
                <w:rFonts w:ascii="Arial" w:cs="Arial" w:eastAsia="Arial" w:hAnsi="Arial"/>
                <w:sz w:val="14"/>
                <w:szCs w:val="14"/>
                <w:color w:val="auto"/>
                <w:w w:val="83"/>
              </w:rPr>
              <w:t>2013</w:t>
            </w:r>
          </w:p>
        </w:tc>
        <w:tc>
          <w:tcPr>
            <w:tcW w:w="420" w:type="dxa"/>
            <w:vAlign w:val="bottom"/>
          </w:tcPr>
          <w:p>
            <w:pPr>
              <w:spacing w:after="0"/>
              <w:rPr>
                <w:sz w:val="12"/>
                <w:szCs w:val="12"/>
                <w:color w:val="auto"/>
              </w:rPr>
            </w:pPr>
          </w:p>
        </w:tc>
        <w:tc>
          <w:tcPr>
            <w:tcW w:w="480" w:type="dxa"/>
            <w:vAlign w:val="bottom"/>
          </w:tcPr>
          <w:p>
            <w:pPr>
              <w:jc w:val="right"/>
              <w:ind w:right="277"/>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31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420"/>
              <w:spacing w:after="0"/>
              <w:rPr>
                <w:sz w:val="20"/>
                <w:szCs w:val="20"/>
                <w:color w:val="auto"/>
              </w:rPr>
            </w:pPr>
            <w:r>
              <w:rPr>
                <w:rFonts w:ascii="Arial" w:cs="Arial" w:eastAsia="Arial" w:hAnsi="Arial"/>
                <w:sz w:val="18"/>
                <w:szCs w:val="18"/>
                <w:color w:val="auto"/>
              </w:rPr>
              <w:t>Advertising</w:t>
            </w:r>
          </w:p>
        </w:tc>
        <w:tc>
          <w:tcPr>
            <w:tcW w:w="1140" w:type="dxa"/>
            <w:vAlign w:val="bottom"/>
            <w:gridSpan w:val="2"/>
          </w:tcPr>
          <w:p>
            <w:pPr>
              <w:jc w:val="right"/>
              <w:ind w:right="118"/>
              <w:spacing w:after="0"/>
              <w:rPr>
                <w:sz w:val="20"/>
                <w:szCs w:val="20"/>
                <w:color w:val="auto"/>
              </w:rPr>
            </w:pPr>
            <w:r>
              <w:rPr>
                <w:rFonts w:ascii="Arial" w:cs="Arial" w:eastAsia="Arial" w:hAnsi="Arial"/>
                <w:sz w:val="18"/>
                <w:szCs w:val="18"/>
                <w:color w:val="auto"/>
              </w:rPr>
              <w:t>$ 1,153</w:t>
            </w:r>
          </w:p>
        </w:tc>
        <w:tc>
          <w:tcPr>
            <w:tcW w:w="1060" w:type="dxa"/>
            <w:vAlign w:val="bottom"/>
            <w:gridSpan w:val="2"/>
          </w:tcPr>
          <w:p>
            <w:pPr>
              <w:jc w:val="right"/>
              <w:ind w:right="114"/>
              <w:spacing w:after="0"/>
              <w:rPr>
                <w:sz w:val="20"/>
                <w:szCs w:val="20"/>
                <w:color w:val="auto"/>
              </w:rPr>
            </w:pPr>
            <w:r>
              <w:rPr>
                <w:rFonts w:ascii="Arial" w:cs="Arial" w:eastAsia="Arial" w:hAnsi="Arial"/>
                <w:sz w:val="18"/>
                <w:szCs w:val="18"/>
                <w:color w:val="auto"/>
              </w:rPr>
              <w:t>$ 1,104</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37"/>
              <w:spacing w:after="0"/>
              <w:rPr>
                <w:sz w:val="20"/>
                <w:szCs w:val="20"/>
                <w:color w:val="auto"/>
              </w:rPr>
            </w:pPr>
            <w:r>
              <w:rPr>
                <w:rFonts w:ascii="Arial" w:cs="Arial" w:eastAsia="Arial" w:hAnsi="Arial"/>
                <w:sz w:val="18"/>
                <w:szCs w:val="18"/>
                <w:color w:val="auto"/>
              </w:rPr>
              <w:t>49</w:t>
            </w: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Content licensing</w:t>
            </w:r>
          </w:p>
        </w:tc>
        <w:tc>
          <w:tcPr>
            <w:tcW w:w="5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8"/>
              <w:spacing w:after="0"/>
              <w:rPr>
                <w:sz w:val="20"/>
                <w:szCs w:val="20"/>
                <w:color w:val="auto"/>
              </w:rPr>
            </w:pPr>
            <w:r>
              <w:rPr>
                <w:rFonts w:ascii="Arial" w:cs="Arial" w:eastAsia="Arial" w:hAnsi="Arial"/>
                <w:sz w:val="18"/>
                <w:szCs w:val="18"/>
                <w:color w:val="auto"/>
              </w:rPr>
              <w:t>402</w:t>
            </w:r>
          </w:p>
        </w:tc>
        <w:tc>
          <w:tcPr>
            <w:tcW w:w="4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355</w:t>
            </w:r>
          </w:p>
        </w:tc>
        <w:tc>
          <w:tcPr>
            <w:tcW w:w="42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47</w:t>
            </w:r>
          </w:p>
        </w:tc>
        <w:tc>
          <w:tcPr>
            <w:tcW w:w="7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color w:val="auto"/>
              </w:rPr>
              <w:t>215</w:t>
            </w: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185</w:t>
            </w:r>
          </w:p>
        </w:tc>
        <w:tc>
          <w:tcPr>
            <w:tcW w:w="4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30</w:t>
            </w: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5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8"/>
              <w:spacing w:after="0"/>
              <w:rPr>
                <w:sz w:val="20"/>
                <w:szCs w:val="20"/>
                <w:color w:val="auto"/>
              </w:rPr>
            </w:pPr>
            <w:r>
              <w:rPr>
                <w:rFonts w:ascii="Arial" w:cs="Arial" w:eastAsia="Arial" w:hAnsi="Arial"/>
                <w:sz w:val="18"/>
                <w:szCs w:val="18"/>
                <w:b w:val="1"/>
                <w:bCs w:val="1"/>
                <w:color w:val="auto"/>
                <w:w w:val="88"/>
              </w:rPr>
              <w:t>1,770</w:t>
            </w:r>
          </w:p>
        </w:tc>
        <w:tc>
          <w:tcPr>
            <w:tcW w:w="4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4"/>
              <w:spacing w:after="0"/>
              <w:rPr>
                <w:sz w:val="20"/>
                <w:szCs w:val="20"/>
                <w:color w:val="auto"/>
              </w:rPr>
            </w:pPr>
            <w:r>
              <w:rPr>
                <w:rFonts w:ascii="Arial" w:cs="Arial" w:eastAsia="Arial" w:hAnsi="Arial"/>
                <w:sz w:val="18"/>
                <w:szCs w:val="18"/>
                <w:b w:val="1"/>
                <w:bCs w:val="1"/>
                <w:color w:val="auto"/>
                <w:w w:val="88"/>
              </w:rPr>
              <w:t>1,644</w:t>
            </w:r>
          </w:p>
        </w:tc>
        <w:tc>
          <w:tcPr>
            <w:tcW w:w="42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7"/>
              <w:spacing w:after="0"/>
              <w:rPr>
                <w:sz w:val="20"/>
                <w:szCs w:val="20"/>
                <w:color w:val="auto"/>
              </w:rPr>
            </w:pPr>
            <w:r>
              <w:rPr>
                <w:rFonts w:ascii="Arial" w:cs="Arial" w:eastAsia="Arial" w:hAnsi="Arial"/>
                <w:sz w:val="18"/>
                <w:szCs w:val="18"/>
                <w:b w:val="1"/>
                <w:bCs w:val="1"/>
                <w:color w:val="auto"/>
                <w:w w:val="79"/>
              </w:rPr>
              <w:t>126</w:t>
            </w:r>
          </w:p>
        </w:tc>
        <w:tc>
          <w:tcPr>
            <w:tcW w:w="78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5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8"/>
              <w:spacing w:after="0"/>
              <w:rPr>
                <w:sz w:val="20"/>
                <w:szCs w:val="20"/>
                <w:color w:val="auto"/>
              </w:rPr>
            </w:pPr>
            <w:r>
              <w:rPr>
                <w:rFonts w:ascii="Arial" w:cs="Arial" w:eastAsia="Arial" w:hAnsi="Arial"/>
                <w:sz w:val="18"/>
                <w:szCs w:val="18"/>
                <w:color w:val="auto"/>
                <w:w w:val="88"/>
              </w:rPr>
              <w:t>1,214</w:t>
            </w:r>
          </w:p>
        </w:tc>
        <w:tc>
          <w:tcPr>
            <w:tcW w:w="4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w w:val="88"/>
              </w:rPr>
              <w:t>1,194</w:t>
            </w:r>
          </w:p>
        </w:tc>
        <w:tc>
          <w:tcPr>
            <w:tcW w:w="42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20</w:t>
            </w:r>
          </w:p>
        </w:tc>
        <w:tc>
          <w:tcPr>
            <w:tcW w:w="7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420"/>
              <w:spacing w:after="0"/>
              <w:rPr>
                <w:sz w:val="20"/>
                <w:szCs w:val="20"/>
                <w:color w:val="auto"/>
              </w:rPr>
            </w:pPr>
            <w:r>
              <w:rPr>
                <w:rFonts w:ascii="Arial" w:cs="Arial" w:eastAsia="Arial" w:hAnsi="Arial"/>
                <w:sz w:val="18"/>
                <w:szCs w:val="18"/>
                <w:color w:val="auto"/>
              </w:rPr>
              <w:t>Other operating and administrative</w:t>
            </w:r>
          </w:p>
        </w:tc>
        <w:tc>
          <w:tcPr>
            <w:tcW w:w="520" w:type="dxa"/>
            <w:vAlign w:val="bottom"/>
          </w:tcPr>
          <w:p>
            <w:pPr>
              <w:spacing w:after="0"/>
              <w:rPr>
                <w:sz w:val="18"/>
                <w:szCs w:val="18"/>
                <w:color w:val="auto"/>
              </w:rPr>
            </w:pPr>
          </w:p>
        </w:tc>
        <w:tc>
          <w:tcPr>
            <w:tcW w:w="620" w:type="dxa"/>
            <w:vAlign w:val="bottom"/>
          </w:tcPr>
          <w:p>
            <w:pPr>
              <w:jc w:val="right"/>
              <w:ind w:right="118"/>
              <w:spacing w:after="0"/>
              <w:rPr>
                <w:sz w:val="20"/>
                <w:szCs w:val="20"/>
                <w:color w:val="auto"/>
              </w:rPr>
            </w:pPr>
            <w:r>
              <w:rPr>
                <w:rFonts w:ascii="Arial" w:cs="Arial" w:eastAsia="Arial" w:hAnsi="Arial"/>
                <w:sz w:val="18"/>
                <w:szCs w:val="18"/>
                <w:color w:val="auto"/>
              </w:rPr>
              <w:t>290</w:t>
            </w:r>
          </w:p>
        </w:tc>
        <w:tc>
          <w:tcPr>
            <w:tcW w:w="440" w:type="dxa"/>
            <w:vAlign w:val="bottom"/>
          </w:tcPr>
          <w:p>
            <w:pPr>
              <w:spacing w:after="0"/>
              <w:rPr>
                <w:sz w:val="18"/>
                <w:szCs w:val="18"/>
                <w:color w:val="auto"/>
              </w:rPr>
            </w:pPr>
          </w:p>
        </w:tc>
        <w:tc>
          <w:tcPr>
            <w:tcW w:w="620" w:type="dxa"/>
            <w:vAlign w:val="bottom"/>
          </w:tcPr>
          <w:p>
            <w:pPr>
              <w:jc w:val="right"/>
              <w:ind w:right="114"/>
              <w:spacing w:after="0"/>
              <w:rPr>
                <w:sz w:val="20"/>
                <w:szCs w:val="20"/>
                <w:color w:val="auto"/>
              </w:rPr>
            </w:pPr>
            <w:r>
              <w:rPr>
                <w:rFonts w:ascii="Arial" w:cs="Arial" w:eastAsia="Arial" w:hAnsi="Arial"/>
                <w:sz w:val="18"/>
                <w:szCs w:val="18"/>
                <w:color w:val="auto"/>
              </w:rPr>
              <w:t>295</w:t>
            </w:r>
          </w:p>
        </w:tc>
        <w:tc>
          <w:tcPr>
            <w:tcW w:w="420" w:type="dxa"/>
            <w:vAlign w:val="bottom"/>
          </w:tcPr>
          <w:p>
            <w:pPr>
              <w:spacing w:after="0"/>
              <w:rPr>
                <w:sz w:val="18"/>
                <w:szCs w:val="18"/>
                <w:color w:val="auto"/>
              </w:rPr>
            </w:pPr>
          </w:p>
        </w:tc>
        <w:tc>
          <w:tcPr>
            <w:tcW w:w="480" w:type="dxa"/>
            <w:vAlign w:val="bottom"/>
          </w:tcPr>
          <w:p>
            <w:pPr>
              <w:jc w:val="right"/>
              <w:ind w:right="77"/>
              <w:spacing w:after="0"/>
              <w:rPr>
                <w:sz w:val="20"/>
                <w:szCs w:val="20"/>
                <w:color w:val="auto"/>
              </w:rPr>
            </w:pPr>
            <w:r>
              <w:rPr>
                <w:rFonts w:ascii="Arial" w:cs="Arial" w:eastAsia="Arial" w:hAnsi="Arial"/>
                <w:sz w:val="18"/>
                <w:szCs w:val="18"/>
                <w:color w:val="auto"/>
              </w:rPr>
              <w:t>(5)</w:t>
            </w:r>
          </w:p>
        </w:tc>
        <w:tc>
          <w:tcPr>
            <w:tcW w:w="780" w:type="dxa"/>
            <w:vAlign w:val="bottom"/>
          </w:tcPr>
          <w:p>
            <w:pPr>
              <w:jc w:val="right"/>
              <w:ind w:right="9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auto"/>
            </w:tcBorders>
            <w:gridSpan w:val="2"/>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5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8"/>
              <w:spacing w:after="0"/>
              <w:rPr>
                <w:sz w:val="20"/>
                <w:szCs w:val="20"/>
                <w:color w:val="auto"/>
              </w:rPr>
            </w:pPr>
            <w:r>
              <w:rPr>
                <w:rFonts w:ascii="Arial" w:cs="Arial" w:eastAsia="Arial" w:hAnsi="Arial"/>
                <w:sz w:val="18"/>
                <w:szCs w:val="18"/>
                <w:color w:val="auto"/>
              </w:rPr>
              <w:t>124</w:t>
            </w:r>
          </w:p>
        </w:tc>
        <w:tc>
          <w:tcPr>
            <w:tcW w:w="4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121</w:t>
            </w:r>
          </w:p>
        </w:tc>
        <w:tc>
          <w:tcPr>
            <w:tcW w:w="4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3</w:t>
            </w:r>
          </w:p>
        </w:tc>
        <w:tc>
          <w:tcPr>
            <w:tcW w:w="7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operating costs and expenses</w:t>
            </w: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color w:val="auto"/>
                <w:w w:val="88"/>
              </w:rPr>
              <w:t>1,628</w:t>
            </w: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88"/>
              </w:rPr>
              <w:t>1,610</w:t>
            </w:r>
          </w:p>
        </w:tc>
        <w:tc>
          <w:tcPr>
            <w:tcW w:w="4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18</w:t>
            </w: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20" w:type="dxa"/>
            <w:vAlign w:val="bottom"/>
            <w:tcBorders>
              <w:bottom w:val="single" w:sz="8" w:color="auto"/>
            </w:tcBorders>
            <w:shd w:val="clear" w:color="auto" w:fill="E5E5E5"/>
          </w:tcPr>
          <w:p>
            <w:pPr>
              <w:ind w:left="40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E5E5E5"/>
          </w:tcPr>
          <w:p>
            <w:pPr>
              <w:jc w:val="right"/>
              <w:ind w:right="118"/>
              <w:spacing w:after="0"/>
              <w:rPr>
                <w:sz w:val="20"/>
                <w:szCs w:val="20"/>
                <w:color w:val="auto"/>
              </w:rPr>
            </w:pPr>
            <w:r>
              <w:rPr>
                <w:rFonts w:ascii="Arial" w:cs="Arial" w:eastAsia="Arial" w:hAnsi="Arial"/>
                <w:sz w:val="18"/>
                <w:szCs w:val="18"/>
                <w:b w:val="1"/>
                <w:bCs w:val="1"/>
                <w:color w:val="auto"/>
              </w:rPr>
              <w:t>142</w:t>
            </w:r>
          </w:p>
        </w:tc>
        <w:tc>
          <w:tcPr>
            <w:tcW w:w="440" w:type="dxa"/>
            <w:vAlign w:val="bottom"/>
            <w:tcBorders>
              <w:bottom w:val="single" w:sz="8" w:color="auto"/>
            </w:tcBorders>
            <w:shd w:val="clear" w:color="auto" w:fill="E5E5E5"/>
          </w:tcPr>
          <w:p>
            <w:pPr>
              <w:ind w:left="3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b w:val="1"/>
                <w:bCs w:val="1"/>
                <w:color w:val="auto"/>
              </w:rPr>
              <w:t>34</w:t>
            </w:r>
          </w:p>
        </w:tc>
        <w:tc>
          <w:tcPr>
            <w:tcW w:w="900" w:type="dxa"/>
            <w:vAlign w:val="bottom"/>
            <w:tcBorders>
              <w:bottom w:val="single" w:sz="8" w:color="auto"/>
            </w:tcBorders>
            <w:gridSpan w:val="2"/>
            <w:shd w:val="clear" w:color="auto" w:fill="E5E5E5"/>
          </w:tcPr>
          <w:p>
            <w:pPr>
              <w:jc w:val="right"/>
              <w:ind w:right="137"/>
              <w:spacing w:after="0"/>
              <w:rPr>
                <w:sz w:val="20"/>
                <w:szCs w:val="20"/>
                <w:color w:val="auto"/>
              </w:rPr>
            </w:pPr>
            <w:r>
              <w:rPr>
                <w:rFonts w:ascii="Arial" w:cs="Arial" w:eastAsia="Arial" w:hAnsi="Arial"/>
                <w:sz w:val="18"/>
                <w:szCs w:val="18"/>
                <w:b w:val="1"/>
                <w:bCs w:val="1"/>
                <w:color w:val="auto"/>
              </w:rPr>
              <w:t>$108</w:t>
            </w: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318.0%</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7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80" w:type="dxa"/>
            <w:vAlign w:val="bottom"/>
            <w:gridSpan w:val="3"/>
          </w:tcPr>
          <w:p>
            <w:pPr>
              <w:jc w:val="center"/>
              <w:ind w:right="494"/>
              <w:spacing w:after="0"/>
              <w:rPr>
                <w:sz w:val="20"/>
                <w:szCs w:val="20"/>
                <w:color w:val="auto"/>
              </w:rPr>
            </w:pPr>
            <w:r>
              <w:rPr>
                <w:rFonts w:ascii="Arial" w:cs="Arial" w:eastAsia="Arial" w:hAnsi="Arial"/>
                <w:sz w:val="14"/>
                <w:szCs w:val="14"/>
                <w:color w:val="auto"/>
                <w:w w:val="89"/>
              </w:rPr>
              <w:t>Nine Months Ended</w:t>
            </w:r>
          </w:p>
        </w:tc>
        <w:tc>
          <w:tcPr>
            <w:tcW w:w="420" w:type="dxa"/>
            <w:vAlign w:val="bottom"/>
          </w:tcPr>
          <w:p>
            <w:pPr>
              <w:spacing w:after="0"/>
              <w:rPr>
                <w:sz w:val="23"/>
                <w:szCs w:val="23"/>
                <w:color w:val="auto"/>
              </w:rPr>
            </w:pPr>
          </w:p>
        </w:tc>
        <w:tc>
          <w:tcPr>
            <w:tcW w:w="1260" w:type="dxa"/>
            <w:vAlign w:val="bottom"/>
            <w:gridSpan w:val="2"/>
          </w:tcPr>
          <w:p>
            <w:pPr>
              <w:jc w:val="right"/>
              <w:ind w:right="53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4"/>
              </w:rPr>
              <w:t>September 30</w:t>
            </w:r>
          </w:p>
        </w:tc>
        <w:tc>
          <w:tcPr>
            <w:tcW w:w="6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494"/>
              <w:spacing w:after="0"/>
              <w:rPr>
                <w:sz w:val="20"/>
                <w:szCs w:val="20"/>
                <w:color w:val="auto"/>
              </w:rPr>
            </w:pPr>
            <w:r>
              <w:rPr>
                <w:rFonts w:ascii="Arial" w:cs="Arial" w:eastAsia="Arial" w:hAnsi="Arial"/>
                <w:sz w:val="14"/>
                <w:szCs w:val="14"/>
                <w:color w:val="auto"/>
                <w:w w:val="95"/>
              </w:rPr>
              <w:t>(Decrease)</w:t>
            </w:r>
          </w:p>
        </w:tc>
        <w:tc>
          <w:tcPr>
            <w:tcW w:w="0" w:type="dxa"/>
            <w:vAlign w:val="bottom"/>
          </w:tcPr>
          <w:p>
            <w:pPr>
              <w:spacing w:after="0"/>
              <w:rPr>
                <w:sz w:val="1"/>
                <w:szCs w:val="1"/>
                <w:color w:val="auto"/>
              </w:rPr>
            </w:pPr>
          </w:p>
        </w:tc>
      </w:tr>
      <w:tr>
        <w:trPr>
          <w:trHeight w:val="142"/>
        </w:trPr>
        <w:tc>
          <w:tcPr>
            <w:tcW w:w="740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2"/>
                <w:szCs w:val="12"/>
                <w:color w:val="auto"/>
              </w:rPr>
            </w:pPr>
          </w:p>
        </w:tc>
        <w:tc>
          <w:tcPr>
            <w:tcW w:w="1140" w:type="dxa"/>
            <w:vAlign w:val="bottom"/>
            <w:gridSpan w:val="2"/>
          </w:tcPr>
          <w:p>
            <w:pPr>
              <w:ind w:left="400"/>
              <w:spacing w:after="0" w:line="142" w:lineRule="exact"/>
              <w:rPr>
                <w:sz w:val="20"/>
                <w:szCs w:val="20"/>
                <w:color w:val="auto"/>
              </w:rPr>
            </w:pPr>
            <w:r>
              <w:rPr>
                <w:rFonts w:ascii="Arial" w:cs="Arial" w:eastAsia="Arial" w:hAnsi="Arial"/>
                <w:sz w:val="14"/>
                <w:szCs w:val="14"/>
                <w:color w:val="auto"/>
              </w:rPr>
              <w:t>2014</w:t>
            </w:r>
          </w:p>
        </w:tc>
        <w:tc>
          <w:tcPr>
            <w:tcW w:w="1060" w:type="dxa"/>
            <w:vAlign w:val="bottom"/>
            <w:gridSpan w:val="2"/>
          </w:tcPr>
          <w:p>
            <w:pPr>
              <w:ind w:left="320"/>
              <w:spacing w:after="0" w:line="142" w:lineRule="exact"/>
              <w:rPr>
                <w:sz w:val="20"/>
                <w:szCs w:val="20"/>
                <w:color w:val="auto"/>
              </w:rPr>
            </w:pPr>
            <w:r>
              <w:rPr>
                <w:rFonts w:ascii="Arial" w:cs="Arial" w:eastAsia="Arial" w:hAnsi="Arial"/>
                <w:sz w:val="14"/>
                <w:szCs w:val="14"/>
                <w:color w:val="auto"/>
              </w:rPr>
              <w:t>2013</w:t>
            </w:r>
          </w:p>
        </w:tc>
        <w:tc>
          <w:tcPr>
            <w:tcW w:w="900" w:type="dxa"/>
            <w:vAlign w:val="bottom"/>
            <w:gridSpan w:val="2"/>
          </w:tcPr>
          <w:p>
            <w:pPr>
              <w:jc w:val="right"/>
              <w:ind w:right="357"/>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31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420"/>
              <w:spacing w:after="0"/>
              <w:rPr>
                <w:sz w:val="20"/>
                <w:szCs w:val="20"/>
                <w:color w:val="auto"/>
              </w:rPr>
            </w:pPr>
            <w:r>
              <w:rPr>
                <w:rFonts w:ascii="Arial" w:cs="Arial" w:eastAsia="Arial" w:hAnsi="Arial"/>
                <w:sz w:val="18"/>
                <w:szCs w:val="18"/>
                <w:color w:val="auto"/>
              </w:rPr>
              <w:t>Advertising</w:t>
            </w:r>
          </w:p>
        </w:tc>
        <w:tc>
          <w:tcPr>
            <w:tcW w:w="1140" w:type="dxa"/>
            <w:vAlign w:val="bottom"/>
            <w:gridSpan w:val="2"/>
          </w:tcPr>
          <w:p>
            <w:pPr>
              <w:jc w:val="right"/>
              <w:ind w:right="238"/>
              <w:spacing w:after="0"/>
              <w:rPr>
                <w:sz w:val="20"/>
                <w:szCs w:val="20"/>
                <w:color w:val="auto"/>
              </w:rPr>
            </w:pPr>
            <w:r>
              <w:rPr>
                <w:rFonts w:ascii="Arial" w:cs="Arial" w:eastAsia="Arial" w:hAnsi="Arial"/>
                <w:sz w:val="18"/>
                <w:szCs w:val="18"/>
                <w:color w:val="auto"/>
              </w:rPr>
              <w:t>$ 4,231</w:t>
            </w:r>
          </w:p>
        </w:tc>
        <w:tc>
          <w:tcPr>
            <w:tcW w:w="1060" w:type="dxa"/>
            <w:vAlign w:val="bottom"/>
            <w:gridSpan w:val="2"/>
          </w:tcPr>
          <w:p>
            <w:pPr>
              <w:jc w:val="right"/>
              <w:ind w:right="254"/>
              <w:spacing w:after="0"/>
              <w:rPr>
                <w:sz w:val="20"/>
                <w:szCs w:val="20"/>
                <w:color w:val="auto"/>
              </w:rPr>
            </w:pPr>
            <w:r>
              <w:rPr>
                <w:rFonts w:ascii="Arial" w:cs="Arial" w:eastAsia="Arial" w:hAnsi="Arial"/>
                <w:sz w:val="18"/>
                <w:szCs w:val="18"/>
                <w:color w:val="auto"/>
              </w:rPr>
              <w:t>$ 3,323</w:t>
            </w:r>
          </w:p>
        </w:tc>
        <w:tc>
          <w:tcPr>
            <w:tcW w:w="4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37"/>
              <w:spacing w:after="0"/>
              <w:rPr>
                <w:sz w:val="20"/>
                <w:szCs w:val="20"/>
                <w:color w:val="auto"/>
              </w:rPr>
            </w:pPr>
            <w:r>
              <w:rPr>
                <w:rFonts w:ascii="Arial" w:cs="Arial" w:eastAsia="Arial" w:hAnsi="Arial"/>
                <w:sz w:val="18"/>
                <w:szCs w:val="18"/>
                <w:color w:val="auto"/>
                <w:w w:val="79"/>
              </w:rPr>
              <w:t>908</w:t>
            </w:r>
          </w:p>
        </w:tc>
        <w:tc>
          <w:tcPr>
            <w:tcW w:w="78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Content licensing</w:t>
            </w:r>
          </w:p>
        </w:tc>
        <w:tc>
          <w:tcPr>
            <w:tcW w:w="1140" w:type="dxa"/>
            <w:vAlign w:val="bottom"/>
            <w:gridSpan w:val="2"/>
            <w:shd w:val="clear" w:color="auto" w:fill="E5E5E5"/>
          </w:tcPr>
          <w:p>
            <w:pPr>
              <w:jc w:val="right"/>
              <w:ind w:right="238"/>
              <w:spacing w:after="0"/>
              <w:rPr>
                <w:sz w:val="20"/>
                <w:szCs w:val="20"/>
                <w:color w:val="auto"/>
              </w:rPr>
            </w:pPr>
            <w:r>
              <w:rPr>
                <w:rFonts w:ascii="Arial" w:cs="Arial" w:eastAsia="Arial" w:hAnsi="Arial"/>
                <w:sz w:val="18"/>
                <w:szCs w:val="18"/>
                <w:color w:val="auto"/>
              </w:rPr>
              <w:t>1,242</w:t>
            </w:r>
          </w:p>
        </w:tc>
        <w:tc>
          <w:tcPr>
            <w:tcW w:w="1060" w:type="dxa"/>
            <w:vAlign w:val="bottom"/>
            <w:gridSpan w:val="2"/>
            <w:shd w:val="clear" w:color="auto" w:fill="E5E5E5"/>
          </w:tcPr>
          <w:p>
            <w:pPr>
              <w:jc w:val="right"/>
              <w:ind w:right="254"/>
              <w:spacing w:after="0"/>
              <w:rPr>
                <w:sz w:val="20"/>
                <w:szCs w:val="20"/>
                <w:color w:val="auto"/>
              </w:rPr>
            </w:pPr>
            <w:r>
              <w:rPr>
                <w:rFonts w:ascii="Arial" w:cs="Arial" w:eastAsia="Arial" w:hAnsi="Arial"/>
                <w:sz w:val="18"/>
                <w:szCs w:val="18"/>
                <w:color w:val="auto"/>
              </w:rPr>
              <w:t>1,048</w:t>
            </w:r>
          </w:p>
        </w:tc>
        <w:tc>
          <w:tcPr>
            <w:tcW w:w="42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w w:val="79"/>
              </w:rPr>
              <w:t>194</w:t>
            </w:r>
          </w:p>
        </w:tc>
        <w:tc>
          <w:tcPr>
            <w:tcW w:w="7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38"/>
              <w:spacing w:after="0"/>
              <w:rPr>
                <w:sz w:val="20"/>
                <w:szCs w:val="20"/>
                <w:color w:val="auto"/>
              </w:rPr>
            </w:pPr>
            <w:r>
              <w:rPr>
                <w:rFonts w:ascii="Arial" w:cs="Arial" w:eastAsia="Arial" w:hAnsi="Arial"/>
                <w:sz w:val="18"/>
                <w:szCs w:val="18"/>
                <w:color w:val="auto"/>
                <w:w w:val="93"/>
              </w:rPr>
              <w:t>734</w:t>
            </w: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w w:val="86"/>
              </w:rPr>
              <w:t>522</w:t>
            </w:r>
          </w:p>
        </w:tc>
        <w:tc>
          <w:tcPr>
            <w:tcW w:w="4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w w:val="79"/>
              </w:rPr>
              <w:t>212</w:t>
            </w: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1140" w:type="dxa"/>
            <w:vAlign w:val="bottom"/>
            <w:gridSpan w:val="2"/>
            <w:shd w:val="clear" w:color="auto" w:fill="E5E5E5"/>
          </w:tcPr>
          <w:p>
            <w:pPr>
              <w:jc w:val="right"/>
              <w:ind w:right="238"/>
              <w:spacing w:after="0"/>
              <w:rPr>
                <w:sz w:val="20"/>
                <w:szCs w:val="20"/>
                <w:color w:val="auto"/>
              </w:rPr>
            </w:pPr>
            <w:r>
              <w:rPr>
                <w:rFonts w:ascii="Arial" w:cs="Arial" w:eastAsia="Arial" w:hAnsi="Arial"/>
                <w:sz w:val="18"/>
                <w:szCs w:val="18"/>
                <w:b w:val="1"/>
                <w:bCs w:val="1"/>
                <w:color w:val="auto"/>
              </w:rPr>
              <w:t>6,207</w:t>
            </w:r>
          </w:p>
        </w:tc>
        <w:tc>
          <w:tcPr>
            <w:tcW w:w="1060" w:type="dxa"/>
            <w:vAlign w:val="bottom"/>
            <w:gridSpan w:val="2"/>
            <w:shd w:val="clear" w:color="auto" w:fill="E5E5E5"/>
          </w:tcPr>
          <w:p>
            <w:pPr>
              <w:jc w:val="right"/>
              <w:ind w:right="254"/>
              <w:spacing w:after="0"/>
              <w:rPr>
                <w:sz w:val="20"/>
                <w:szCs w:val="20"/>
                <w:color w:val="auto"/>
              </w:rPr>
            </w:pPr>
            <w:r>
              <w:rPr>
                <w:rFonts w:ascii="Arial" w:cs="Arial" w:eastAsia="Arial" w:hAnsi="Arial"/>
                <w:sz w:val="18"/>
                <w:szCs w:val="18"/>
                <w:b w:val="1"/>
                <w:bCs w:val="1"/>
                <w:color w:val="auto"/>
              </w:rPr>
              <w:t>4,893</w:t>
            </w:r>
          </w:p>
        </w:tc>
        <w:tc>
          <w:tcPr>
            <w:tcW w:w="900" w:type="dxa"/>
            <w:vAlign w:val="bottom"/>
            <w:gridSpan w:val="2"/>
            <w:shd w:val="clear" w:color="auto" w:fill="E5E5E5"/>
          </w:tcPr>
          <w:p>
            <w:pPr>
              <w:jc w:val="right"/>
              <w:ind w:right="137"/>
              <w:spacing w:after="0"/>
              <w:rPr>
                <w:sz w:val="20"/>
                <w:szCs w:val="20"/>
                <w:color w:val="auto"/>
              </w:rPr>
            </w:pPr>
            <w:r>
              <w:rPr>
                <w:rFonts w:ascii="Arial" w:cs="Arial" w:eastAsia="Arial" w:hAnsi="Arial"/>
                <w:sz w:val="18"/>
                <w:szCs w:val="18"/>
                <w:b w:val="1"/>
                <w:bCs w:val="1"/>
                <w:color w:val="auto"/>
              </w:rPr>
              <w:t>1,314</w:t>
            </w:r>
          </w:p>
        </w:tc>
        <w:tc>
          <w:tcPr>
            <w:tcW w:w="78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1140" w:type="dxa"/>
            <w:vAlign w:val="bottom"/>
            <w:gridSpan w:val="2"/>
            <w:shd w:val="clear" w:color="auto" w:fill="E5E5E5"/>
          </w:tcPr>
          <w:p>
            <w:pPr>
              <w:jc w:val="right"/>
              <w:ind w:right="238"/>
              <w:spacing w:after="0"/>
              <w:rPr>
                <w:sz w:val="20"/>
                <w:szCs w:val="20"/>
                <w:color w:val="auto"/>
              </w:rPr>
            </w:pPr>
            <w:r>
              <w:rPr>
                <w:rFonts w:ascii="Arial" w:cs="Arial" w:eastAsia="Arial" w:hAnsi="Arial"/>
                <w:sz w:val="18"/>
                <w:szCs w:val="18"/>
                <w:color w:val="auto"/>
              </w:rPr>
              <w:t>4,425</w:t>
            </w:r>
          </w:p>
        </w:tc>
        <w:tc>
          <w:tcPr>
            <w:tcW w:w="1060" w:type="dxa"/>
            <w:vAlign w:val="bottom"/>
            <w:gridSpan w:val="2"/>
            <w:shd w:val="clear" w:color="auto" w:fill="E5E5E5"/>
          </w:tcPr>
          <w:p>
            <w:pPr>
              <w:jc w:val="right"/>
              <w:ind w:right="254"/>
              <w:spacing w:after="0"/>
              <w:rPr>
                <w:sz w:val="20"/>
                <w:szCs w:val="20"/>
                <w:color w:val="auto"/>
              </w:rPr>
            </w:pPr>
            <w:r>
              <w:rPr>
                <w:rFonts w:ascii="Arial" w:cs="Arial" w:eastAsia="Arial" w:hAnsi="Arial"/>
                <w:sz w:val="18"/>
                <w:szCs w:val="18"/>
                <w:color w:val="auto"/>
              </w:rPr>
              <w:t>3,508</w:t>
            </w:r>
          </w:p>
        </w:tc>
        <w:tc>
          <w:tcPr>
            <w:tcW w:w="42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w w:val="79"/>
              </w:rPr>
              <w:t>917</w:t>
            </w:r>
          </w:p>
        </w:tc>
        <w:tc>
          <w:tcPr>
            <w:tcW w:w="7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420"/>
              <w:spacing w:after="0"/>
              <w:rPr>
                <w:sz w:val="20"/>
                <w:szCs w:val="20"/>
                <w:color w:val="auto"/>
              </w:rPr>
            </w:pPr>
            <w:r>
              <w:rPr>
                <w:rFonts w:ascii="Arial" w:cs="Arial" w:eastAsia="Arial" w:hAnsi="Arial"/>
                <w:sz w:val="18"/>
                <w:szCs w:val="18"/>
                <w:color w:val="auto"/>
              </w:rPr>
              <w:t>Other operating and administrative</w:t>
            </w:r>
          </w:p>
        </w:tc>
        <w:tc>
          <w:tcPr>
            <w:tcW w:w="520" w:type="dxa"/>
            <w:vAlign w:val="bottom"/>
          </w:tcPr>
          <w:p>
            <w:pPr>
              <w:spacing w:after="0"/>
              <w:rPr>
                <w:sz w:val="18"/>
                <w:szCs w:val="18"/>
                <w:color w:val="auto"/>
              </w:rPr>
            </w:pPr>
          </w:p>
        </w:tc>
        <w:tc>
          <w:tcPr>
            <w:tcW w:w="620" w:type="dxa"/>
            <w:vAlign w:val="bottom"/>
          </w:tcPr>
          <w:p>
            <w:pPr>
              <w:jc w:val="right"/>
              <w:ind w:right="238"/>
              <w:spacing w:after="0"/>
              <w:rPr>
                <w:sz w:val="20"/>
                <w:szCs w:val="20"/>
                <w:color w:val="auto"/>
              </w:rPr>
            </w:pPr>
            <w:r>
              <w:rPr>
                <w:rFonts w:ascii="Arial" w:cs="Arial" w:eastAsia="Arial" w:hAnsi="Arial"/>
                <w:sz w:val="18"/>
                <w:szCs w:val="18"/>
                <w:color w:val="auto"/>
                <w:w w:val="93"/>
              </w:rPr>
              <w:t>901</w:t>
            </w:r>
          </w:p>
        </w:tc>
        <w:tc>
          <w:tcPr>
            <w:tcW w:w="440" w:type="dxa"/>
            <w:vAlign w:val="bottom"/>
          </w:tcPr>
          <w:p>
            <w:pPr>
              <w:spacing w:after="0"/>
              <w:rPr>
                <w:sz w:val="18"/>
                <w:szCs w:val="18"/>
                <w:color w:val="auto"/>
              </w:rPr>
            </w:pPr>
          </w:p>
        </w:tc>
        <w:tc>
          <w:tcPr>
            <w:tcW w:w="620" w:type="dxa"/>
            <w:vAlign w:val="bottom"/>
          </w:tcPr>
          <w:p>
            <w:pPr>
              <w:jc w:val="right"/>
              <w:ind w:right="254"/>
              <w:spacing w:after="0"/>
              <w:rPr>
                <w:sz w:val="20"/>
                <w:szCs w:val="20"/>
                <w:color w:val="auto"/>
              </w:rPr>
            </w:pPr>
            <w:r>
              <w:rPr>
                <w:rFonts w:ascii="Arial" w:cs="Arial" w:eastAsia="Arial" w:hAnsi="Arial"/>
                <w:sz w:val="18"/>
                <w:szCs w:val="18"/>
                <w:color w:val="auto"/>
                <w:w w:val="86"/>
              </w:rPr>
              <w:t>879</w:t>
            </w:r>
          </w:p>
        </w:tc>
        <w:tc>
          <w:tcPr>
            <w:tcW w:w="420" w:type="dxa"/>
            <w:vAlign w:val="bottom"/>
          </w:tcPr>
          <w:p>
            <w:pPr>
              <w:spacing w:after="0"/>
              <w:rPr>
                <w:sz w:val="18"/>
                <w:szCs w:val="18"/>
                <w:color w:val="auto"/>
              </w:rPr>
            </w:pPr>
          </w:p>
        </w:tc>
        <w:tc>
          <w:tcPr>
            <w:tcW w:w="480" w:type="dxa"/>
            <w:vAlign w:val="bottom"/>
          </w:tcPr>
          <w:p>
            <w:pPr>
              <w:jc w:val="right"/>
              <w:ind w:right="137"/>
              <w:spacing w:after="0"/>
              <w:rPr>
                <w:sz w:val="20"/>
                <w:szCs w:val="20"/>
                <w:color w:val="auto"/>
              </w:rPr>
            </w:pPr>
            <w:r>
              <w:rPr>
                <w:rFonts w:ascii="Arial" w:cs="Arial" w:eastAsia="Arial" w:hAnsi="Arial"/>
                <w:sz w:val="18"/>
                <w:szCs w:val="18"/>
                <w:color w:val="auto"/>
              </w:rPr>
              <w:t>22</w:t>
            </w: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auto"/>
            </w:tcBorders>
            <w:gridSpan w:val="2"/>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5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238"/>
              <w:spacing w:after="0"/>
              <w:rPr>
                <w:sz w:val="20"/>
                <w:szCs w:val="20"/>
                <w:color w:val="auto"/>
              </w:rPr>
            </w:pPr>
            <w:r>
              <w:rPr>
                <w:rFonts w:ascii="Arial" w:cs="Arial" w:eastAsia="Arial" w:hAnsi="Arial"/>
                <w:sz w:val="18"/>
                <w:szCs w:val="18"/>
                <w:color w:val="auto"/>
                <w:w w:val="93"/>
              </w:rPr>
              <w:t>377</w:t>
            </w:r>
          </w:p>
        </w:tc>
        <w:tc>
          <w:tcPr>
            <w:tcW w:w="4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w w:val="86"/>
              </w:rPr>
              <w:t>301</w:t>
            </w:r>
          </w:p>
        </w:tc>
        <w:tc>
          <w:tcPr>
            <w:tcW w:w="4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76</w:t>
            </w:r>
          </w:p>
        </w:tc>
        <w:tc>
          <w:tcPr>
            <w:tcW w:w="7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operating costs and expenses</w:t>
            </w:r>
          </w:p>
        </w:tc>
        <w:tc>
          <w:tcPr>
            <w:tcW w:w="1140" w:type="dxa"/>
            <w:vAlign w:val="bottom"/>
            <w:tcBorders>
              <w:bottom w:val="single" w:sz="8" w:color="auto"/>
            </w:tcBorders>
            <w:gridSpan w:val="2"/>
          </w:tcPr>
          <w:p>
            <w:pPr>
              <w:jc w:val="right"/>
              <w:ind w:right="238"/>
              <w:spacing w:after="0"/>
              <w:rPr>
                <w:sz w:val="20"/>
                <w:szCs w:val="20"/>
                <w:color w:val="auto"/>
              </w:rPr>
            </w:pPr>
            <w:r>
              <w:rPr>
                <w:rFonts w:ascii="Arial" w:cs="Arial" w:eastAsia="Arial" w:hAnsi="Arial"/>
                <w:sz w:val="18"/>
                <w:szCs w:val="18"/>
                <w:color w:val="auto"/>
              </w:rPr>
              <w:t>5,703</w:t>
            </w:r>
          </w:p>
        </w:tc>
        <w:tc>
          <w:tcPr>
            <w:tcW w:w="1060" w:type="dxa"/>
            <w:vAlign w:val="bottom"/>
            <w:tcBorders>
              <w:bottom w:val="single" w:sz="8" w:color="auto"/>
            </w:tcBorders>
            <w:gridSpan w:val="2"/>
          </w:tcPr>
          <w:p>
            <w:pPr>
              <w:jc w:val="right"/>
              <w:ind w:right="254"/>
              <w:spacing w:after="0"/>
              <w:rPr>
                <w:sz w:val="20"/>
                <w:szCs w:val="20"/>
                <w:color w:val="auto"/>
              </w:rPr>
            </w:pPr>
            <w:r>
              <w:rPr>
                <w:rFonts w:ascii="Arial" w:cs="Arial" w:eastAsia="Arial" w:hAnsi="Arial"/>
                <w:sz w:val="18"/>
                <w:szCs w:val="18"/>
                <w:color w:val="auto"/>
              </w:rPr>
              <w:t>4,688</w:t>
            </w:r>
          </w:p>
        </w:tc>
        <w:tc>
          <w:tcPr>
            <w:tcW w:w="900" w:type="dxa"/>
            <w:vAlign w:val="bottom"/>
            <w:tcBorders>
              <w:bottom w:val="single" w:sz="8" w:color="auto"/>
            </w:tcBorders>
            <w:gridSpan w:val="2"/>
          </w:tcPr>
          <w:p>
            <w:pPr>
              <w:jc w:val="right"/>
              <w:ind w:right="137"/>
              <w:spacing w:after="0"/>
              <w:rPr>
                <w:sz w:val="20"/>
                <w:szCs w:val="20"/>
                <w:color w:val="auto"/>
              </w:rPr>
            </w:pPr>
            <w:r>
              <w:rPr>
                <w:rFonts w:ascii="Arial" w:cs="Arial" w:eastAsia="Arial" w:hAnsi="Arial"/>
                <w:sz w:val="18"/>
                <w:szCs w:val="18"/>
                <w:color w:val="auto"/>
              </w:rPr>
              <w:t>1,015</w:t>
            </w: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2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238"/>
              <w:spacing w:after="0"/>
              <w:rPr>
                <w:sz w:val="20"/>
                <w:szCs w:val="20"/>
                <w:color w:val="auto"/>
              </w:rPr>
            </w:pPr>
            <w:r>
              <w:rPr>
                <w:rFonts w:ascii="Arial" w:cs="Arial" w:eastAsia="Arial" w:hAnsi="Arial"/>
                <w:sz w:val="18"/>
                <w:szCs w:val="18"/>
                <w:b w:val="1"/>
                <w:bCs w:val="1"/>
                <w:color w:val="auto"/>
                <w:w w:val="93"/>
              </w:rPr>
              <w:t>504</w:t>
            </w:r>
          </w:p>
        </w:tc>
        <w:tc>
          <w:tcPr>
            <w:tcW w:w="44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b w:val="1"/>
                <w:bCs w:val="1"/>
                <w:color w:val="auto"/>
                <w:w w:val="86"/>
              </w:rPr>
              <w:t>205</w:t>
            </w:r>
          </w:p>
        </w:tc>
        <w:tc>
          <w:tcPr>
            <w:tcW w:w="420" w:type="dxa"/>
            <w:vAlign w:val="bottom"/>
            <w:tcBorders>
              <w:bottom w:val="single" w:sz="8" w:color="auto"/>
            </w:tcBorders>
            <w:shd w:val="clear" w:color="auto" w:fill="E5E5E5"/>
          </w:tcPr>
          <w:p>
            <w:pPr>
              <w:jc w:val="right"/>
              <w:ind w:right="75"/>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b w:val="1"/>
                <w:bCs w:val="1"/>
                <w:color w:val="auto"/>
                <w:w w:val="79"/>
              </w:rPr>
              <w:t>299</w:t>
            </w: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145.6%</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Segment—Revenue</w:t>
      </w:r>
    </w:p>
    <w:p>
      <w:pPr>
        <w:spacing w:after="0" w:line="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Broadcast Television revenue increased for the three and nine months ended September 30, 2014 compared to the same periods in 2013 primarily due to increases in advertising revenue, content licensing revenue and other revenue. The increases in advertising revenue in both periods were primarily due to increases in audience ratings and higher volume and prices of advertising units sold. The increase in content licensing revenue for the three months ended September 30, 2014 was primarily due to the timing of content provided under our licensing agreements. The increase in content licensing revenue for the nine months ended September 30, 2014 was primarily due to new content licensing agreements. The increases in other revenue in both periods were primarily due to fees recognized under our retransmission consent agreements. The increases in advertising revenue and other revenue for the nine months ended September 30, 2014 were associated with our broadcast of the 2014 Sochi Olympics in February 2014. Excluding $846 million of revenue associated with the 2014 Sochi Olympics, Broadcast Television revenue increased 9.6% for the nine months ended September 30, 2014 compared to the same period in 2013 primarily due to higher advertising revenue related to an increase in audience ratings and higher volume and prices of advertising units sold.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Segment—Operating Costs and Expenses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and expenses increased for the three months ended September 30, 2014 compared to the same period in 2013 primarily due to an increase in programming and production costs associated with the timing of when certain shows in our primetime schedule were aired, as well as our continued investment in original programming.</w:t>
      </w:r>
    </w:p>
    <w:p>
      <w:pPr>
        <w:spacing w:after="0" w:line="4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Operating costs and expenses increased for the nine months ended September 30, 2014 compared to the same period in 2013 primarily due to an increase in programming and production costs associated with our broadcast of the 2014 Sochi Olympics, as well as our continued investment in original programming.</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Filmed Entertainment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3"/>
          </w:tcPr>
          <w:p>
            <w:pPr>
              <w:jc w:val="center"/>
              <w:ind w:right="294"/>
              <w:spacing w:after="0"/>
              <w:rPr>
                <w:sz w:val="20"/>
                <w:szCs w:val="20"/>
                <w:color w:val="auto"/>
              </w:rPr>
            </w:pPr>
            <w:r>
              <w:rPr>
                <w:rFonts w:ascii="Arial" w:cs="Arial" w:eastAsia="Arial" w:hAnsi="Arial"/>
                <w:sz w:val="14"/>
                <w:szCs w:val="14"/>
                <w:color w:val="auto"/>
                <w:w w:val="87"/>
              </w:rPr>
              <w:t>Three Months Ended</w:t>
            </w:r>
          </w:p>
        </w:tc>
        <w:tc>
          <w:tcPr>
            <w:tcW w:w="1680" w:type="dxa"/>
            <w:vAlign w:val="bottom"/>
            <w:gridSpan w:val="2"/>
          </w:tcPr>
          <w:p>
            <w:pPr>
              <w:jc w:val="center"/>
              <w:spacing w:after="0"/>
              <w:rPr>
                <w:sz w:val="20"/>
                <w:szCs w:val="20"/>
                <w:color w:val="auto"/>
              </w:rPr>
            </w:pPr>
            <w:r>
              <w:rPr>
                <w:rFonts w:ascii="Arial" w:cs="Arial" w:eastAsia="Arial" w:hAnsi="Arial"/>
                <w:sz w:val="14"/>
                <w:szCs w:val="14"/>
                <w:color w:val="auto"/>
                <w:w w:val="83"/>
              </w:rPr>
              <w:t>Increase/</w:t>
            </w:r>
          </w:p>
        </w:tc>
        <w:tc>
          <w:tcPr>
            <w:tcW w:w="0" w:type="dxa"/>
            <w:vAlign w:val="bottom"/>
          </w:tcPr>
          <w:p>
            <w:pPr>
              <w:spacing w:after="0"/>
              <w:rPr>
                <w:sz w:val="1"/>
                <w:szCs w:val="1"/>
                <w:color w:val="auto"/>
              </w:rPr>
            </w:pPr>
          </w:p>
        </w:tc>
      </w:tr>
      <w:tr>
        <w:trPr>
          <w:trHeight w:val="173"/>
        </w:trPr>
        <w:tc>
          <w:tcPr>
            <w:tcW w:w="74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left="197"/>
              <w:spacing w:after="0"/>
              <w:rPr>
                <w:sz w:val="20"/>
                <w:szCs w:val="20"/>
                <w:color w:val="auto"/>
              </w:rPr>
            </w:pPr>
            <w:r>
              <w:rPr>
                <w:rFonts w:ascii="Arial" w:cs="Arial" w:eastAsia="Arial" w:hAnsi="Arial"/>
                <w:sz w:val="14"/>
                <w:szCs w:val="14"/>
                <w:color w:val="auto"/>
                <w:w w:val="84"/>
              </w:rPr>
              <w:t>September 30</w:t>
            </w:r>
          </w:p>
        </w:tc>
        <w:tc>
          <w:tcPr>
            <w:tcW w:w="6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3"/>
              </w:rPr>
              <w:t>(Decrease)</w:t>
            </w:r>
          </w:p>
        </w:tc>
        <w:tc>
          <w:tcPr>
            <w:tcW w:w="0" w:type="dxa"/>
            <w:vAlign w:val="bottom"/>
          </w:tcPr>
          <w:p>
            <w:pPr>
              <w:spacing w:after="0"/>
              <w:rPr>
                <w:sz w:val="1"/>
                <w:szCs w:val="1"/>
                <w:color w:val="auto"/>
              </w:rPr>
            </w:pPr>
          </w:p>
        </w:tc>
      </w:tr>
      <w:tr>
        <w:trPr>
          <w:trHeight w:val="142"/>
        </w:trPr>
        <w:tc>
          <w:tcPr>
            <w:tcW w:w="748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color w:val="auto"/>
                <w:w w:val="83"/>
              </w:rPr>
              <w:t>2014</w:t>
            </w:r>
          </w:p>
        </w:tc>
        <w:tc>
          <w:tcPr>
            <w:tcW w:w="3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2013</w:t>
            </w:r>
          </w:p>
        </w:tc>
        <w:tc>
          <w:tcPr>
            <w:tcW w:w="88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4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7"/>
              <w:spacing w:after="0"/>
              <w:rPr>
                <w:sz w:val="20"/>
                <w:szCs w:val="20"/>
                <w:color w:val="auto"/>
              </w:rPr>
            </w:pPr>
            <w:r>
              <w:rPr>
                <w:rFonts w:ascii="Arial" w:cs="Arial" w:eastAsia="Arial" w:hAnsi="Arial"/>
                <w:sz w:val="18"/>
                <w:szCs w:val="18"/>
                <w:color w:val="auto"/>
              </w:rPr>
              <w:t>265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4"/>
              <w:spacing w:after="0"/>
              <w:rPr>
                <w:sz w:val="20"/>
                <w:szCs w:val="20"/>
                <w:color w:val="auto"/>
              </w:rPr>
            </w:pPr>
            <w:r>
              <w:rPr>
                <w:rFonts w:ascii="Arial" w:cs="Arial" w:eastAsia="Arial" w:hAnsi="Arial"/>
                <w:sz w:val="18"/>
                <w:szCs w:val="18"/>
                <w:color w:val="auto"/>
              </w:rPr>
              <w:t>559</w:t>
            </w:r>
          </w:p>
        </w:tc>
        <w:tc>
          <w:tcPr>
            <w:tcW w:w="880" w:type="dxa"/>
            <w:vAlign w:val="bottom"/>
          </w:tcPr>
          <w:p>
            <w:pPr>
              <w:jc w:val="right"/>
              <w:ind w:right="77"/>
              <w:spacing w:after="0"/>
              <w:rPr>
                <w:sz w:val="20"/>
                <w:szCs w:val="20"/>
                <w:color w:val="auto"/>
              </w:rPr>
            </w:pPr>
            <w:r>
              <w:rPr>
                <w:rFonts w:ascii="Arial" w:cs="Arial" w:eastAsia="Arial" w:hAnsi="Arial"/>
                <w:sz w:val="18"/>
                <w:szCs w:val="18"/>
                <w:color w:val="auto"/>
              </w:rPr>
              <w:t>$(294)</w:t>
            </w:r>
          </w:p>
        </w:tc>
        <w:tc>
          <w:tcPr>
            <w:tcW w:w="800" w:type="dxa"/>
            <w:vAlign w:val="bottom"/>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74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439</w:t>
            </w: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379</w:t>
            </w:r>
          </w:p>
        </w:tc>
        <w:tc>
          <w:tcPr>
            <w:tcW w:w="88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60</w:t>
            </w:r>
          </w:p>
        </w:tc>
        <w:tc>
          <w:tcPr>
            <w:tcW w:w="80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jc w:val="right"/>
              <w:ind w:right="177"/>
              <w:spacing w:after="0"/>
              <w:rPr>
                <w:sz w:val="20"/>
                <w:szCs w:val="20"/>
                <w:color w:val="auto"/>
              </w:rPr>
            </w:pPr>
            <w:r>
              <w:rPr>
                <w:rFonts w:ascii="Arial" w:cs="Arial" w:eastAsia="Arial" w:hAnsi="Arial"/>
                <w:sz w:val="18"/>
                <w:szCs w:val="18"/>
                <w:color w:val="auto"/>
              </w:rPr>
              <w:t>321</w:t>
            </w:r>
          </w:p>
        </w:tc>
        <w:tc>
          <w:tcPr>
            <w:tcW w:w="380" w:type="dxa"/>
            <w:vAlign w:val="bottom"/>
          </w:tcPr>
          <w:p>
            <w:pPr>
              <w:spacing w:after="0"/>
              <w:rPr>
                <w:sz w:val="18"/>
                <w:szCs w:val="18"/>
                <w:color w:val="auto"/>
              </w:rPr>
            </w:pPr>
          </w:p>
        </w:tc>
        <w:tc>
          <w:tcPr>
            <w:tcW w:w="660" w:type="dxa"/>
            <w:vAlign w:val="bottom"/>
          </w:tcPr>
          <w:p>
            <w:pPr>
              <w:jc w:val="right"/>
              <w:ind w:right="174"/>
              <w:spacing w:after="0"/>
              <w:rPr>
                <w:sz w:val="20"/>
                <w:szCs w:val="20"/>
                <w:color w:val="auto"/>
              </w:rPr>
            </w:pPr>
            <w:r>
              <w:rPr>
                <w:rFonts w:ascii="Arial" w:cs="Arial" w:eastAsia="Arial" w:hAnsi="Arial"/>
                <w:sz w:val="18"/>
                <w:szCs w:val="18"/>
                <w:color w:val="auto"/>
              </w:rPr>
              <w:t>359</w:t>
            </w:r>
          </w:p>
        </w:tc>
        <w:tc>
          <w:tcPr>
            <w:tcW w:w="880" w:type="dxa"/>
            <w:vAlign w:val="bottom"/>
          </w:tcPr>
          <w:p>
            <w:pPr>
              <w:jc w:val="right"/>
              <w:ind w:right="77"/>
              <w:spacing w:after="0"/>
              <w:rPr>
                <w:sz w:val="20"/>
                <w:szCs w:val="20"/>
                <w:color w:val="auto"/>
              </w:rPr>
            </w:pPr>
            <w:r>
              <w:rPr>
                <w:rFonts w:ascii="Arial" w:cs="Arial" w:eastAsia="Arial" w:hAnsi="Arial"/>
                <w:sz w:val="18"/>
                <w:szCs w:val="18"/>
                <w:color w:val="auto"/>
              </w:rPr>
              <w:t>(38)</w:t>
            </w:r>
          </w:p>
        </w:tc>
        <w:tc>
          <w:tcPr>
            <w:tcW w:w="800" w:type="dxa"/>
            <w:vAlign w:val="bottom"/>
          </w:tcPr>
          <w:p>
            <w:pPr>
              <w:jc w:val="right"/>
              <w:ind w:right="134"/>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748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color w:val="auto"/>
              </w:rPr>
              <w:t>161</w:t>
            </w:r>
          </w:p>
        </w:tc>
        <w:tc>
          <w:tcPr>
            <w:tcW w:w="3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103</w:t>
            </w:r>
          </w:p>
        </w:tc>
        <w:tc>
          <w:tcPr>
            <w:tcW w:w="88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58</w:t>
            </w:r>
          </w:p>
        </w:tc>
        <w:tc>
          <w:tcPr>
            <w:tcW w:w="80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0"/>
        </w:trPr>
        <w:tc>
          <w:tcPr>
            <w:tcW w:w="748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jc w:val="right"/>
              <w:ind w:right="177"/>
              <w:spacing w:after="0"/>
              <w:rPr>
                <w:sz w:val="20"/>
                <w:szCs w:val="20"/>
                <w:color w:val="auto"/>
              </w:rPr>
            </w:pPr>
            <w:r>
              <w:rPr>
                <w:rFonts w:ascii="Arial" w:cs="Arial" w:eastAsia="Arial" w:hAnsi="Arial"/>
                <w:sz w:val="18"/>
                <w:szCs w:val="18"/>
                <w:b w:val="1"/>
                <w:bCs w:val="1"/>
                <w:color w:val="auto"/>
                <w:w w:val="88"/>
              </w:rPr>
              <w:t>1,186</w:t>
            </w:r>
          </w:p>
        </w:tc>
        <w:tc>
          <w:tcPr>
            <w:tcW w:w="380" w:type="dxa"/>
            <w:vAlign w:val="bottom"/>
          </w:tcPr>
          <w:p>
            <w:pPr>
              <w:spacing w:after="0"/>
              <w:rPr>
                <w:sz w:val="18"/>
                <w:szCs w:val="18"/>
                <w:color w:val="auto"/>
              </w:rPr>
            </w:pPr>
          </w:p>
        </w:tc>
        <w:tc>
          <w:tcPr>
            <w:tcW w:w="660" w:type="dxa"/>
            <w:vAlign w:val="bottom"/>
          </w:tcPr>
          <w:p>
            <w:pPr>
              <w:jc w:val="right"/>
              <w:ind w:right="174"/>
              <w:spacing w:after="0"/>
              <w:rPr>
                <w:sz w:val="20"/>
                <w:szCs w:val="20"/>
                <w:color w:val="auto"/>
              </w:rPr>
            </w:pPr>
            <w:r>
              <w:rPr>
                <w:rFonts w:ascii="Arial" w:cs="Arial" w:eastAsia="Arial" w:hAnsi="Arial"/>
                <w:sz w:val="18"/>
                <w:szCs w:val="18"/>
                <w:b w:val="1"/>
                <w:bCs w:val="1"/>
                <w:color w:val="auto"/>
                <w:w w:val="84"/>
              </w:rPr>
              <w:t>1,400</w:t>
            </w:r>
          </w:p>
        </w:tc>
        <w:tc>
          <w:tcPr>
            <w:tcW w:w="880" w:type="dxa"/>
            <w:vAlign w:val="bottom"/>
          </w:tcPr>
          <w:p>
            <w:pPr>
              <w:jc w:val="right"/>
              <w:ind w:right="77"/>
              <w:spacing w:after="0"/>
              <w:rPr>
                <w:sz w:val="20"/>
                <w:szCs w:val="20"/>
                <w:color w:val="auto"/>
              </w:rPr>
            </w:pPr>
            <w:r>
              <w:rPr>
                <w:rFonts w:ascii="Arial" w:cs="Arial" w:eastAsia="Arial" w:hAnsi="Arial"/>
                <w:sz w:val="18"/>
                <w:szCs w:val="18"/>
                <w:b w:val="1"/>
                <w:bCs w:val="1"/>
                <w:color w:val="auto"/>
              </w:rPr>
              <w:t>(214)</w:t>
            </w:r>
          </w:p>
        </w:tc>
        <w:tc>
          <w:tcPr>
            <w:tcW w:w="800" w:type="dxa"/>
            <w:vAlign w:val="bottom"/>
          </w:tcPr>
          <w:p>
            <w:pPr>
              <w:jc w:val="right"/>
              <w:ind w:right="134"/>
              <w:spacing w:after="0"/>
              <w:rPr>
                <w:sz w:val="20"/>
                <w:szCs w:val="20"/>
                <w:color w:val="auto"/>
              </w:rPr>
            </w:pPr>
            <w:r>
              <w:rPr>
                <w:rFonts w:ascii="Arial" w:cs="Arial" w:eastAsia="Arial" w:hAnsi="Arial"/>
                <w:sz w:val="18"/>
                <w:szCs w:val="18"/>
                <w:b w:val="1"/>
                <w:bCs w:val="1"/>
                <w:color w:val="auto"/>
              </w:rPr>
              <w:t>(15.2)</w:t>
            </w:r>
          </w:p>
        </w:tc>
        <w:tc>
          <w:tcPr>
            <w:tcW w:w="0" w:type="dxa"/>
            <w:vAlign w:val="bottom"/>
          </w:tcPr>
          <w:p>
            <w:pPr>
              <w:spacing w:after="0"/>
              <w:rPr>
                <w:sz w:val="1"/>
                <w:szCs w:val="1"/>
                <w:color w:val="auto"/>
              </w:rPr>
            </w:pPr>
          </w:p>
        </w:tc>
      </w:tr>
      <w:tr>
        <w:trPr>
          <w:trHeight w:val="216"/>
        </w:trPr>
        <w:tc>
          <w:tcPr>
            <w:tcW w:w="74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costs and expenses</w:t>
            </w:r>
          </w:p>
        </w:tc>
        <w:tc>
          <w:tcPr>
            <w:tcW w:w="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Programming and production</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jc w:val="right"/>
              <w:ind w:right="177"/>
              <w:spacing w:after="0"/>
              <w:rPr>
                <w:sz w:val="20"/>
                <w:szCs w:val="20"/>
                <w:color w:val="auto"/>
              </w:rPr>
            </w:pPr>
            <w:r>
              <w:rPr>
                <w:rFonts w:ascii="Arial" w:cs="Arial" w:eastAsia="Arial" w:hAnsi="Arial"/>
                <w:sz w:val="18"/>
                <w:szCs w:val="18"/>
                <w:color w:val="auto"/>
              </w:rPr>
              <w:t>541</w:t>
            </w:r>
          </w:p>
        </w:tc>
        <w:tc>
          <w:tcPr>
            <w:tcW w:w="380" w:type="dxa"/>
            <w:vAlign w:val="bottom"/>
          </w:tcPr>
          <w:p>
            <w:pPr>
              <w:spacing w:after="0"/>
              <w:rPr>
                <w:sz w:val="18"/>
                <w:szCs w:val="18"/>
                <w:color w:val="auto"/>
              </w:rPr>
            </w:pPr>
          </w:p>
        </w:tc>
        <w:tc>
          <w:tcPr>
            <w:tcW w:w="660" w:type="dxa"/>
            <w:vAlign w:val="bottom"/>
          </w:tcPr>
          <w:p>
            <w:pPr>
              <w:jc w:val="right"/>
              <w:ind w:right="174"/>
              <w:spacing w:after="0"/>
              <w:rPr>
                <w:sz w:val="20"/>
                <w:szCs w:val="20"/>
                <w:color w:val="auto"/>
              </w:rPr>
            </w:pPr>
            <w:r>
              <w:rPr>
                <w:rFonts w:ascii="Arial" w:cs="Arial" w:eastAsia="Arial" w:hAnsi="Arial"/>
                <w:sz w:val="18"/>
                <w:szCs w:val="18"/>
                <w:color w:val="auto"/>
              </w:rPr>
              <w:t>720</w:t>
            </w:r>
          </w:p>
        </w:tc>
        <w:tc>
          <w:tcPr>
            <w:tcW w:w="880" w:type="dxa"/>
            <w:vAlign w:val="bottom"/>
          </w:tcPr>
          <w:p>
            <w:pPr>
              <w:jc w:val="right"/>
              <w:ind w:right="77"/>
              <w:spacing w:after="0"/>
              <w:rPr>
                <w:sz w:val="20"/>
                <w:szCs w:val="20"/>
                <w:color w:val="auto"/>
              </w:rPr>
            </w:pPr>
            <w:r>
              <w:rPr>
                <w:rFonts w:ascii="Arial" w:cs="Arial" w:eastAsia="Arial" w:hAnsi="Arial"/>
                <w:sz w:val="18"/>
                <w:szCs w:val="18"/>
                <w:color w:val="auto"/>
              </w:rPr>
              <w:t>(179)</w:t>
            </w:r>
          </w:p>
        </w:tc>
        <w:tc>
          <w:tcPr>
            <w:tcW w:w="800" w:type="dxa"/>
            <w:vAlign w:val="bottom"/>
          </w:tcPr>
          <w:p>
            <w:pPr>
              <w:jc w:val="right"/>
              <w:ind w:right="134"/>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74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Other operating and administrative</w:t>
            </w:r>
          </w:p>
        </w:tc>
        <w:tc>
          <w:tcPr>
            <w:tcW w:w="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223</w:t>
            </w: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188</w:t>
            </w:r>
          </w:p>
        </w:tc>
        <w:tc>
          <w:tcPr>
            <w:tcW w:w="88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35</w:t>
            </w:r>
          </w:p>
        </w:tc>
        <w:tc>
          <w:tcPr>
            <w:tcW w:w="80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74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Advertising, marketing and promotion</w:t>
            </w: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271</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303</w:t>
            </w: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(32)</w:t>
            </w:r>
          </w:p>
        </w:tc>
        <w:tc>
          <w:tcPr>
            <w:tcW w:w="8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0"/>
        </w:trPr>
        <w:tc>
          <w:tcPr>
            <w:tcW w:w="7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color w:val="auto"/>
                <w:w w:val="88"/>
              </w:rPr>
              <w:t>1,035</w:t>
            </w:r>
          </w:p>
        </w:tc>
        <w:tc>
          <w:tcPr>
            <w:tcW w:w="3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w w:val="84"/>
              </w:rPr>
              <w:t>1,211</w:t>
            </w:r>
          </w:p>
        </w:tc>
        <w:tc>
          <w:tcPr>
            <w:tcW w:w="88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(176)</w:t>
            </w:r>
          </w:p>
        </w:tc>
        <w:tc>
          <w:tcPr>
            <w:tcW w:w="80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7"/>
        </w:trPr>
        <w:tc>
          <w:tcPr>
            <w:tcW w:w="7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b w:val="1"/>
                <w:bCs w:val="1"/>
                <w:color w:val="auto"/>
              </w:rPr>
              <w:t>151</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189</w:t>
            </w: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 (38)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w:t>
            </w:r>
          </w:p>
        </w:tc>
        <w:tc>
          <w:tcPr>
            <w:tcW w:w="0" w:type="dxa"/>
            <w:vAlign w:val="bottom"/>
          </w:tcPr>
          <w:p>
            <w:pPr>
              <w:spacing w:after="0"/>
              <w:rPr>
                <w:sz w:val="1"/>
                <w:szCs w:val="1"/>
                <w:color w:val="auto"/>
              </w:rPr>
            </w:pPr>
          </w:p>
        </w:tc>
      </w:tr>
      <w:tr>
        <w:trPr>
          <w:trHeight w:val="205"/>
        </w:trPr>
        <w:tc>
          <w:tcPr>
            <w:tcW w:w="7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gridSpan w:val="3"/>
          </w:tcPr>
          <w:p>
            <w:pPr>
              <w:jc w:val="center"/>
              <w:ind w:right="274"/>
              <w:spacing w:after="0"/>
              <w:rPr>
                <w:sz w:val="20"/>
                <w:szCs w:val="20"/>
                <w:color w:val="auto"/>
              </w:rPr>
            </w:pPr>
            <w:r>
              <w:rPr>
                <w:rFonts w:ascii="Arial" w:cs="Arial" w:eastAsia="Arial" w:hAnsi="Arial"/>
                <w:sz w:val="14"/>
                <w:szCs w:val="14"/>
                <w:color w:val="auto"/>
                <w:w w:val="87"/>
              </w:rPr>
              <w:t>Nine Months Ended</w:t>
            </w:r>
          </w:p>
        </w:tc>
        <w:tc>
          <w:tcPr>
            <w:tcW w:w="1680" w:type="dxa"/>
            <w:vAlign w:val="bottom"/>
            <w:gridSpan w:val="2"/>
          </w:tcPr>
          <w:p>
            <w:pPr>
              <w:jc w:val="center"/>
              <w:spacing w:after="0"/>
              <w:rPr>
                <w:sz w:val="20"/>
                <w:szCs w:val="20"/>
                <w:color w:val="auto"/>
              </w:rPr>
            </w:pPr>
            <w:r>
              <w:rPr>
                <w:rFonts w:ascii="Arial" w:cs="Arial" w:eastAsia="Arial" w:hAnsi="Arial"/>
                <w:sz w:val="14"/>
                <w:szCs w:val="14"/>
                <w:color w:val="auto"/>
                <w:w w:val="83"/>
              </w:rPr>
              <w:t>Increase/</w:t>
            </w:r>
          </w:p>
        </w:tc>
        <w:tc>
          <w:tcPr>
            <w:tcW w:w="0" w:type="dxa"/>
            <w:vAlign w:val="bottom"/>
          </w:tcPr>
          <w:p>
            <w:pPr>
              <w:spacing w:after="0"/>
              <w:rPr>
                <w:sz w:val="1"/>
                <w:szCs w:val="1"/>
                <w:color w:val="auto"/>
              </w:rPr>
            </w:pPr>
          </w:p>
        </w:tc>
      </w:tr>
      <w:tr>
        <w:trPr>
          <w:trHeight w:val="159"/>
        </w:trPr>
        <w:tc>
          <w:tcPr>
            <w:tcW w:w="74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center"/>
              <w:ind w:left="217"/>
              <w:spacing w:after="0" w:line="159" w:lineRule="exact"/>
              <w:rPr>
                <w:sz w:val="20"/>
                <w:szCs w:val="20"/>
                <w:color w:val="auto"/>
              </w:rPr>
            </w:pPr>
            <w:r>
              <w:rPr>
                <w:rFonts w:ascii="Arial" w:cs="Arial" w:eastAsia="Arial" w:hAnsi="Arial"/>
                <w:sz w:val="14"/>
                <w:szCs w:val="14"/>
                <w:color w:val="auto"/>
                <w:w w:val="86"/>
              </w:rPr>
              <w:t>September 30</w:t>
            </w:r>
          </w:p>
        </w:tc>
        <w:tc>
          <w:tcPr>
            <w:tcW w:w="6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3"/>
              </w:rPr>
              <w:t>(Decrease)</w:t>
            </w:r>
          </w:p>
        </w:tc>
        <w:tc>
          <w:tcPr>
            <w:tcW w:w="0" w:type="dxa"/>
            <w:vAlign w:val="bottom"/>
          </w:tcPr>
          <w:p>
            <w:pPr>
              <w:spacing w:after="0"/>
              <w:rPr>
                <w:sz w:val="1"/>
                <w:szCs w:val="1"/>
                <w:color w:val="auto"/>
              </w:rPr>
            </w:pPr>
          </w:p>
        </w:tc>
      </w:tr>
      <w:tr>
        <w:trPr>
          <w:trHeight w:val="142"/>
        </w:trPr>
        <w:tc>
          <w:tcPr>
            <w:tcW w:w="748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color w:val="auto"/>
                <w:w w:val="89"/>
              </w:rPr>
              <w:t>2014</w:t>
            </w:r>
          </w:p>
        </w:tc>
        <w:tc>
          <w:tcPr>
            <w:tcW w:w="3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2013</w:t>
            </w:r>
          </w:p>
        </w:tc>
        <w:tc>
          <w:tcPr>
            <w:tcW w:w="88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4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7"/>
              <w:spacing w:after="0"/>
              <w:rPr>
                <w:sz w:val="20"/>
                <w:szCs w:val="20"/>
                <w:color w:val="auto"/>
              </w:rPr>
            </w:pPr>
            <w:r>
              <w:rPr>
                <w:rFonts w:ascii="Arial" w:cs="Arial" w:eastAsia="Arial" w:hAnsi="Arial"/>
                <w:sz w:val="18"/>
                <w:szCs w:val="18"/>
                <w:color w:val="auto"/>
              </w:rPr>
              <w:t>836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4"/>
              <w:spacing w:after="0"/>
              <w:rPr>
                <w:sz w:val="20"/>
                <w:szCs w:val="20"/>
                <w:color w:val="auto"/>
              </w:rPr>
            </w:pPr>
            <w:r>
              <w:rPr>
                <w:rFonts w:ascii="Arial" w:cs="Arial" w:eastAsia="Arial" w:hAnsi="Arial"/>
                <w:sz w:val="18"/>
                <w:szCs w:val="18"/>
                <w:color w:val="auto"/>
                <w:w w:val="84"/>
              </w:rPr>
              <w:t>1,425</w:t>
            </w:r>
          </w:p>
        </w:tc>
        <w:tc>
          <w:tcPr>
            <w:tcW w:w="880" w:type="dxa"/>
            <w:vAlign w:val="bottom"/>
          </w:tcPr>
          <w:p>
            <w:pPr>
              <w:jc w:val="right"/>
              <w:ind w:right="77"/>
              <w:spacing w:after="0"/>
              <w:rPr>
                <w:sz w:val="20"/>
                <w:szCs w:val="20"/>
                <w:color w:val="auto"/>
              </w:rPr>
            </w:pPr>
            <w:r>
              <w:rPr>
                <w:rFonts w:ascii="Arial" w:cs="Arial" w:eastAsia="Arial" w:hAnsi="Arial"/>
                <w:sz w:val="18"/>
                <w:szCs w:val="18"/>
                <w:color w:val="auto"/>
              </w:rPr>
              <w:t>$(589)</w:t>
            </w:r>
          </w:p>
        </w:tc>
        <w:tc>
          <w:tcPr>
            <w:tcW w:w="800" w:type="dxa"/>
            <w:vAlign w:val="bottom"/>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74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w w:val="88"/>
              </w:rPr>
              <w:t>1,366</w:t>
            </w: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w w:val="84"/>
              </w:rPr>
              <w:t>1,223</w:t>
            </w:r>
          </w:p>
        </w:tc>
        <w:tc>
          <w:tcPr>
            <w:tcW w:w="88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143</w:t>
            </w:r>
          </w:p>
        </w:tc>
        <w:tc>
          <w:tcPr>
            <w:tcW w:w="80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jc w:val="right"/>
              <w:ind w:right="177"/>
              <w:spacing w:after="0"/>
              <w:rPr>
                <w:sz w:val="20"/>
                <w:szCs w:val="20"/>
                <w:color w:val="auto"/>
              </w:rPr>
            </w:pPr>
            <w:r>
              <w:rPr>
                <w:rFonts w:ascii="Arial" w:cs="Arial" w:eastAsia="Arial" w:hAnsi="Arial"/>
                <w:sz w:val="18"/>
                <w:szCs w:val="18"/>
                <w:color w:val="auto"/>
                <w:w w:val="88"/>
              </w:rPr>
              <w:t>1,036</w:t>
            </w:r>
          </w:p>
        </w:tc>
        <w:tc>
          <w:tcPr>
            <w:tcW w:w="380" w:type="dxa"/>
            <w:vAlign w:val="bottom"/>
          </w:tcPr>
          <w:p>
            <w:pPr>
              <w:spacing w:after="0"/>
              <w:rPr>
                <w:sz w:val="18"/>
                <w:szCs w:val="18"/>
                <w:color w:val="auto"/>
              </w:rPr>
            </w:pPr>
          </w:p>
        </w:tc>
        <w:tc>
          <w:tcPr>
            <w:tcW w:w="660" w:type="dxa"/>
            <w:vAlign w:val="bottom"/>
          </w:tcPr>
          <w:p>
            <w:pPr>
              <w:jc w:val="right"/>
              <w:ind w:right="174"/>
              <w:spacing w:after="0"/>
              <w:rPr>
                <w:sz w:val="20"/>
                <w:szCs w:val="20"/>
                <w:color w:val="auto"/>
              </w:rPr>
            </w:pPr>
            <w:r>
              <w:rPr>
                <w:rFonts w:ascii="Arial" w:cs="Arial" w:eastAsia="Arial" w:hAnsi="Arial"/>
                <w:sz w:val="18"/>
                <w:szCs w:val="18"/>
                <w:color w:val="auto"/>
                <w:w w:val="84"/>
              </w:rPr>
              <w:t>1,069</w:t>
            </w:r>
          </w:p>
        </w:tc>
        <w:tc>
          <w:tcPr>
            <w:tcW w:w="880" w:type="dxa"/>
            <w:vAlign w:val="bottom"/>
          </w:tcPr>
          <w:p>
            <w:pPr>
              <w:jc w:val="right"/>
              <w:ind w:right="77"/>
              <w:spacing w:after="0"/>
              <w:rPr>
                <w:sz w:val="20"/>
                <w:szCs w:val="20"/>
                <w:color w:val="auto"/>
              </w:rPr>
            </w:pPr>
            <w:r>
              <w:rPr>
                <w:rFonts w:ascii="Arial" w:cs="Arial" w:eastAsia="Arial" w:hAnsi="Arial"/>
                <w:sz w:val="18"/>
                <w:szCs w:val="18"/>
                <w:color w:val="auto"/>
              </w:rPr>
              <w:t>(33)</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748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color w:val="auto"/>
              </w:rPr>
              <w:t>475</w:t>
            </w:r>
          </w:p>
        </w:tc>
        <w:tc>
          <w:tcPr>
            <w:tcW w:w="3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287</w:t>
            </w:r>
          </w:p>
        </w:tc>
        <w:tc>
          <w:tcPr>
            <w:tcW w:w="88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188</w:t>
            </w:r>
          </w:p>
        </w:tc>
        <w:tc>
          <w:tcPr>
            <w:tcW w:w="80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0"/>
        </w:trPr>
        <w:tc>
          <w:tcPr>
            <w:tcW w:w="748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jc w:val="right"/>
              <w:ind w:right="177"/>
              <w:spacing w:after="0"/>
              <w:rPr>
                <w:sz w:val="20"/>
                <w:szCs w:val="20"/>
                <w:color w:val="auto"/>
              </w:rPr>
            </w:pPr>
            <w:r>
              <w:rPr>
                <w:rFonts w:ascii="Arial" w:cs="Arial" w:eastAsia="Arial" w:hAnsi="Arial"/>
                <w:sz w:val="18"/>
                <w:szCs w:val="18"/>
                <w:b w:val="1"/>
                <w:bCs w:val="1"/>
                <w:color w:val="auto"/>
                <w:w w:val="88"/>
              </w:rPr>
              <w:t>3,713</w:t>
            </w:r>
          </w:p>
        </w:tc>
        <w:tc>
          <w:tcPr>
            <w:tcW w:w="380" w:type="dxa"/>
            <w:vAlign w:val="bottom"/>
          </w:tcPr>
          <w:p>
            <w:pPr>
              <w:spacing w:after="0"/>
              <w:rPr>
                <w:sz w:val="18"/>
                <w:szCs w:val="18"/>
                <w:color w:val="auto"/>
              </w:rPr>
            </w:pPr>
          </w:p>
        </w:tc>
        <w:tc>
          <w:tcPr>
            <w:tcW w:w="660" w:type="dxa"/>
            <w:vAlign w:val="bottom"/>
          </w:tcPr>
          <w:p>
            <w:pPr>
              <w:jc w:val="right"/>
              <w:ind w:right="174"/>
              <w:spacing w:after="0"/>
              <w:rPr>
                <w:sz w:val="20"/>
                <w:szCs w:val="20"/>
                <w:color w:val="auto"/>
              </w:rPr>
            </w:pPr>
            <w:r>
              <w:rPr>
                <w:rFonts w:ascii="Arial" w:cs="Arial" w:eastAsia="Arial" w:hAnsi="Arial"/>
                <w:sz w:val="18"/>
                <w:szCs w:val="18"/>
                <w:b w:val="1"/>
                <w:bCs w:val="1"/>
                <w:color w:val="auto"/>
                <w:w w:val="84"/>
              </w:rPr>
              <w:t>4,004</w:t>
            </w:r>
          </w:p>
        </w:tc>
        <w:tc>
          <w:tcPr>
            <w:tcW w:w="880" w:type="dxa"/>
            <w:vAlign w:val="bottom"/>
          </w:tcPr>
          <w:p>
            <w:pPr>
              <w:jc w:val="right"/>
              <w:ind w:right="77"/>
              <w:spacing w:after="0"/>
              <w:rPr>
                <w:sz w:val="20"/>
                <w:szCs w:val="20"/>
                <w:color w:val="auto"/>
              </w:rPr>
            </w:pPr>
            <w:r>
              <w:rPr>
                <w:rFonts w:ascii="Arial" w:cs="Arial" w:eastAsia="Arial" w:hAnsi="Arial"/>
                <w:sz w:val="18"/>
                <w:szCs w:val="18"/>
                <w:b w:val="1"/>
                <w:bCs w:val="1"/>
                <w:color w:val="auto"/>
              </w:rPr>
              <w:t>(291)</w:t>
            </w:r>
          </w:p>
        </w:tc>
        <w:tc>
          <w:tcPr>
            <w:tcW w:w="800" w:type="dxa"/>
            <w:vAlign w:val="bottom"/>
          </w:tcPr>
          <w:p>
            <w:pPr>
              <w:jc w:val="right"/>
              <w:ind w:right="114"/>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216"/>
        </w:trPr>
        <w:tc>
          <w:tcPr>
            <w:tcW w:w="74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costs and expenses</w:t>
            </w:r>
          </w:p>
        </w:tc>
        <w:tc>
          <w:tcPr>
            <w:tcW w:w="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Programming and production</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jc w:val="right"/>
              <w:ind w:right="177"/>
              <w:spacing w:after="0"/>
              <w:rPr>
                <w:sz w:val="20"/>
                <w:szCs w:val="20"/>
                <w:color w:val="auto"/>
              </w:rPr>
            </w:pPr>
            <w:r>
              <w:rPr>
                <w:rFonts w:ascii="Arial" w:cs="Arial" w:eastAsia="Arial" w:hAnsi="Arial"/>
                <w:sz w:val="18"/>
                <w:szCs w:val="18"/>
                <w:color w:val="auto"/>
                <w:w w:val="88"/>
              </w:rPr>
              <w:t>1,692</w:t>
            </w:r>
          </w:p>
        </w:tc>
        <w:tc>
          <w:tcPr>
            <w:tcW w:w="380" w:type="dxa"/>
            <w:vAlign w:val="bottom"/>
          </w:tcPr>
          <w:p>
            <w:pPr>
              <w:spacing w:after="0"/>
              <w:rPr>
                <w:sz w:val="18"/>
                <w:szCs w:val="18"/>
                <w:color w:val="auto"/>
              </w:rPr>
            </w:pPr>
          </w:p>
        </w:tc>
        <w:tc>
          <w:tcPr>
            <w:tcW w:w="660" w:type="dxa"/>
            <w:vAlign w:val="bottom"/>
          </w:tcPr>
          <w:p>
            <w:pPr>
              <w:jc w:val="right"/>
              <w:ind w:right="174"/>
              <w:spacing w:after="0"/>
              <w:rPr>
                <w:sz w:val="20"/>
                <w:szCs w:val="20"/>
                <w:color w:val="auto"/>
              </w:rPr>
            </w:pPr>
            <w:r>
              <w:rPr>
                <w:rFonts w:ascii="Arial" w:cs="Arial" w:eastAsia="Arial" w:hAnsi="Arial"/>
                <w:sz w:val="18"/>
                <w:szCs w:val="18"/>
                <w:color w:val="auto"/>
                <w:w w:val="84"/>
              </w:rPr>
              <w:t>2,235</w:t>
            </w:r>
          </w:p>
        </w:tc>
        <w:tc>
          <w:tcPr>
            <w:tcW w:w="880" w:type="dxa"/>
            <w:vAlign w:val="bottom"/>
          </w:tcPr>
          <w:p>
            <w:pPr>
              <w:jc w:val="right"/>
              <w:ind w:right="77"/>
              <w:spacing w:after="0"/>
              <w:rPr>
                <w:sz w:val="20"/>
                <w:szCs w:val="20"/>
                <w:color w:val="auto"/>
              </w:rPr>
            </w:pPr>
            <w:r>
              <w:rPr>
                <w:rFonts w:ascii="Arial" w:cs="Arial" w:eastAsia="Arial" w:hAnsi="Arial"/>
                <w:sz w:val="18"/>
                <w:szCs w:val="18"/>
                <w:color w:val="auto"/>
              </w:rPr>
              <w:t>(543)</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74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Other operating and administrative</w:t>
            </w:r>
          </w:p>
        </w:tc>
        <w:tc>
          <w:tcPr>
            <w:tcW w:w="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620</w:t>
            </w: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519</w:t>
            </w:r>
          </w:p>
        </w:tc>
        <w:tc>
          <w:tcPr>
            <w:tcW w:w="88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101</w:t>
            </w:r>
          </w:p>
        </w:tc>
        <w:tc>
          <w:tcPr>
            <w:tcW w:w="80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74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Advertising, marketing and promotion</w:t>
            </w: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767</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959</w:t>
            </w: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(192)</w:t>
            </w:r>
          </w:p>
        </w:tc>
        <w:tc>
          <w:tcPr>
            <w:tcW w:w="8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0"/>
        </w:trPr>
        <w:tc>
          <w:tcPr>
            <w:tcW w:w="7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color w:val="auto"/>
                <w:w w:val="88"/>
              </w:rPr>
              <w:t>3,079</w:t>
            </w:r>
          </w:p>
        </w:tc>
        <w:tc>
          <w:tcPr>
            <w:tcW w:w="3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w w:val="84"/>
              </w:rPr>
              <w:t>3,713</w:t>
            </w:r>
          </w:p>
        </w:tc>
        <w:tc>
          <w:tcPr>
            <w:tcW w:w="88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(634)</w:t>
            </w:r>
          </w:p>
        </w:tc>
        <w:tc>
          <w:tcPr>
            <w:tcW w:w="80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7"/>
        </w:trPr>
        <w:tc>
          <w:tcPr>
            <w:tcW w:w="7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b w:val="1"/>
                <w:bCs w:val="1"/>
                <w:color w:val="auto"/>
              </w:rPr>
              <w:t>634</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291</w:t>
            </w: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$ 343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117.7%</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Segment—Revenue</w:t>
      </w:r>
    </w:p>
    <w:p>
      <w:pPr>
        <w:spacing w:after="0" w:line="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Filmed Entertainment revenue decreased for the three and nine months ended September 30, 2014 compared to the same periods in 2013 primarily due to decreases in theatrical revenue, which were partially offset by increases in other revenue and content licensing revenue. The decrease in theatrical revenue for the three months ended September 30, 2014 was primarily due to the strong performance of </w:t>
      </w:r>
      <w:r>
        <w:rPr>
          <w:rFonts w:ascii="Arial" w:cs="Arial" w:eastAsia="Arial" w:hAnsi="Arial"/>
          <w:sz w:val="16"/>
          <w:szCs w:val="16"/>
          <w:i w:val="1"/>
          <w:iCs w:val="1"/>
          <w:color w:val="auto"/>
        </w:rPr>
        <w:t>Despicable Me 2</w:t>
      </w:r>
      <w:r>
        <w:rPr>
          <w:rFonts w:ascii="Arial" w:cs="Arial" w:eastAsia="Arial" w:hAnsi="Arial"/>
          <w:sz w:val="16"/>
          <w:szCs w:val="16"/>
          <w:color w:val="auto"/>
        </w:rPr>
        <w:t xml:space="preserve"> in the prior year period, which was partially offset by the performance of our current period releases, including </w:t>
      </w:r>
      <w:r>
        <w:rPr>
          <w:rFonts w:ascii="Arial" w:cs="Arial" w:eastAsia="Arial" w:hAnsi="Arial"/>
          <w:sz w:val="16"/>
          <w:szCs w:val="16"/>
          <w:i w:val="1"/>
          <w:iCs w:val="1"/>
          <w:color w:val="auto"/>
        </w:rPr>
        <w:t>Lucy</w:t>
      </w:r>
      <w:r>
        <w:rPr>
          <w:rFonts w:ascii="Arial" w:cs="Arial" w:eastAsia="Arial" w:hAnsi="Arial"/>
          <w:sz w:val="16"/>
          <w:szCs w:val="16"/>
          <w:color w:val="auto"/>
        </w:rPr>
        <w:t xml:space="preserve">. The decrease in theatrical revenue for the nine months ended September 30, 2014 was primarily due to the strong performance of our prior year period releases, including </w:t>
      </w:r>
      <w:r>
        <w:rPr>
          <w:rFonts w:ascii="Arial" w:cs="Arial" w:eastAsia="Arial" w:hAnsi="Arial"/>
          <w:sz w:val="16"/>
          <w:szCs w:val="16"/>
          <w:i w:val="1"/>
          <w:iCs w:val="1"/>
          <w:color w:val="auto"/>
        </w:rPr>
        <w:t>Despicable Me 2</w:t>
      </w:r>
      <w:r>
        <w:rPr>
          <w:rFonts w:ascii="Arial" w:cs="Arial" w:eastAsia="Arial" w:hAnsi="Arial"/>
          <w:sz w:val="16"/>
          <w:szCs w:val="16"/>
          <w:color w:val="auto"/>
        </w:rPr>
        <w:t xml:space="preserve">, </w:t>
      </w:r>
      <w:r>
        <w:rPr>
          <w:rFonts w:ascii="Arial" w:cs="Arial" w:eastAsia="Arial" w:hAnsi="Arial"/>
          <w:sz w:val="16"/>
          <w:szCs w:val="16"/>
          <w:i w:val="1"/>
          <w:iCs w:val="1"/>
          <w:color w:val="auto"/>
        </w:rPr>
        <w:t>Fast and Furious 6</w:t>
      </w:r>
      <w:r>
        <w:rPr>
          <w:rFonts w:ascii="Arial" w:cs="Arial" w:eastAsia="Arial" w:hAnsi="Arial"/>
          <w:sz w:val="16"/>
          <w:szCs w:val="16"/>
          <w:color w:val="auto"/>
        </w:rPr>
        <w:t xml:space="preserve"> and </w:t>
      </w:r>
      <w:r>
        <w:rPr>
          <w:rFonts w:ascii="Arial" w:cs="Arial" w:eastAsia="Arial" w:hAnsi="Arial"/>
          <w:sz w:val="16"/>
          <w:szCs w:val="16"/>
          <w:i w:val="1"/>
          <w:iCs w:val="1"/>
          <w:color w:val="auto"/>
        </w:rPr>
        <w:t>Les Miserables,</w:t>
      </w:r>
      <w:r>
        <w:rPr>
          <w:rFonts w:ascii="Arial" w:cs="Arial" w:eastAsia="Arial" w:hAnsi="Arial"/>
          <w:sz w:val="16"/>
          <w:szCs w:val="16"/>
          <w:color w:val="auto"/>
        </w:rPr>
        <w:t xml:space="preserve"> which were partially offset by the performance of current period releases, including </w:t>
      </w:r>
      <w:r>
        <w:rPr>
          <w:rFonts w:ascii="Arial" w:cs="Arial" w:eastAsia="Arial" w:hAnsi="Arial"/>
          <w:sz w:val="16"/>
          <w:szCs w:val="16"/>
          <w:i w:val="1"/>
          <w:iCs w:val="1"/>
          <w:color w:val="auto"/>
        </w:rPr>
        <w:t>Lucy</w:t>
      </w:r>
      <w:r>
        <w:rPr>
          <w:rFonts w:ascii="Arial" w:cs="Arial" w:eastAsia="Arial" w:hAnsi="Arial"/>
          <w:sz w:val="16"/>
          <w:szCs w:val="16"/>
          <w:color w:val="auto"/>
        </w:rPr>
        <w:t xml:space="preserve"> and </w:t>
      </w:r>
      <w:r>
        <w:rPr>
          <w:rFonts w:ascii="Arial" w:cs="Arial" w:eastAsia="Arial" w:hAnsi="Arial"/>
          <w:sz w:val="16"/>
          <w:szCs w:val="16"/>
          <w:i w:val="1"/>
          <w:iCs w:val="1"/>
          <w:color w:val="auto"/>
        </w:rPr>
        <w:t>Neighbors</w:t>
      </w:r>
      <w:r>
        <w:rPr>
          <w:rFonts w:ascii="Arial" w:cs="Arial" w:eastAsia="Arial" w:hAnsi="Arial"/>
          <w:sz w:val="16"/>
          <w:szCs w:val="16"/>
          <w:color w:val="auto"/>
        </w:rPr>
        <w:t>. The increases in other revenue in both periods were primarily due to the inclusion in 2014 of Fandango, which was previously presented in our Cable Networks segment. The increases in content licensing revenue in both periods were primarily due to the timing of licensing agreements related to our film library.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Segment—Operating Costs and Expenses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Operating costs and expenses decreased for the three and nine months ended September 30, 2014 compared to the same periods in 2013 primarily due to lower amortization of film cost and decreases in advertising, marketing and promotion expenses, which were primarily due to a smaller film slate in the current year periods compared to the same periods in 2013. Operating costs and expenses for the three and nine months ended September 30, 2014 included $7 million and $25 million, respectively, of expense associated with fair value adjustments to capitalized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film production costs. Operating costs and expenses for the three and nine months ended September 30, 2013 included $36 million and $150 million, respectively, of expense associated with fair value adjustments to capitalized film production costs.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60" w:type="dxa"/>
            <w:vAlign w:val="bottom"/>
            <w:gridSpan w:val="3"/>
          </w:tcPr>
          <w:p>
            <w:pPr>
              <w:jc w:val="right"/>
              <w:ind w:right="397"/>
              <w:spacing w:after="0"/>
              <w:rPr>
                <w:sz w:val="20"/>
                <w:szCs w:val="20"/>
                <w:color w:val="auto"/>
              </w:rPr>
            </w:pPr>
            <w:r>
              <w:rPr>
                <w:rFonts w:ascii="Arial" w:cs="Arial" w:eastAsia="Arial" w:hAnsi="Arial"/>
                <w:sz w:val="14"/>
                <w:szCs w:val="14"/>
                <w:color w:val="auto"/>
                <w:w w:val="96"/>
              </w:rPr>
              <w:t>Three Months Ended</w:t>
            </w:r>
          </w:p>
        </w:tc>
        <w:tc>
          <w:tcPr>
            <w:tcW w:w="360" w:type="dxa"/>
            <w:vAlign w:val="bottom"/>
          </w:tcPr>
          <w:p>
            <w:pPr>
              <w:spacing w:after="0"/>
              <w:rPr>
                <w:sz w:val="14"/>
                <w:szCs w:val="14"/>
                <w:color w:val="auto"/>
              </w:rPr>
            </w:pPr>
          </w:p>
        </w:tc>
        <w:tc>
          <w:tcPr>
            <w:tcW w:w="1160" w:type="dxa"/>
            <w:vAlign w:val="bottom"/>
            <w:gridSpan w:val="2"/>
          </w:tcPr>
          <w:p>
            <w:pPr>
              <w:jc w:val="center"/>
              <w:ind w:right="237"/>
              <w:spacing w:after="0"/>
              <w:rPr>
                <w:sz w:val="20"/>
                <w:szCs w:val="20"/>
                <w:color w:val="auto"/>
              </w:rPr>
            </w:pPr>
            <w:r>
              <w:rPr>
                <w:rFonts w:ascii="Arial" w:cs="Arial" w:eastAsia="Arial" w:hAnsi="Arial"/>
                <w:sz w:val="14"/>
                <w:szCs w:val="14"/>
                <w:color w:val="auto"/>
                <w:w w:val="83"/>
              </w:rPr>
              <w:t>Increase/</w:t>
            </w:r>
          </w:p>
        </w:tc>
        <w:tc>
          <w:tcPr>
            <w:tcW w:w="0" w:type="dxa"/>
            <w:vAlign w:val="bottom"/>
          </w:tcPr>
          <w:p>
            <w:pPr>
              <w:spacing w:after="0"/>
              <w:rPr>
                <w:sz w:val="1"/>
                <w:szCs w:val="1"/>
                <w:color w:val="auto"/>
              </w:rPr>
            </w:pPr>
          </w:p>
        </w:tc>
      </w:tr>
      <w:tr>
        <w:trPr>
          <w:trHeight w:val="159"/>
        </w:trPr>
        <w:tc>
          <w:tcPr>
            <w:tcW w:w="76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597"/>
              <w:spacing w:after="0" w:line="159" w:lineRule="exact"/>
              <w:rPr>
                <w:sz w:val="20"/>
                <w:szCs w:val="20"/>
                <w:color w:val="auto"/>
              </w:rPr>
            </w:pPr>
            <w:r>
              <w:rPr>
                <w:rFonts w:ascii="Arial" w:cs="Arial" w:eastAsia="Arial" w:hAnsi="Arial"/>
                <w:sz w:val="14"/>
                <w:szCs w:val="14"/>
                <w:color w:val="auto"/>
              </w:rPr>
              <w:t>September 30</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257"/>
              <w:spacing w:after="0" w:line="159" w:lineRule="exact"/>
              <w:rPr>
                <w:sz w:val="20"/>
                <w:szCs w:val="20"/>
                <w:color w:val="auto"/>
              </w:rPr>
            </w:pPr>
            <w:r>
              <w:rPr>
                <w:rFonts w:ascii="Arial" w:cs="Arial" w:eastAsia="Arial" w:hAnsi="Arial"/>
                <w:sz w:val="14"/>
                <w:szCs w:val="14"/>
                <w:color w:val="auto"/>
                <w:w w:val="83"/>
              </w:rPr>
              <w:t>(Decrease)</w:t>
            </w:r>
          </w:p>
        </w:tc>
        <w:tc>
          <w:tcPr>
            <w:tcW w:w="0" w:type="dxa"/>
            <w:vAlign w:val="bottom"/>
          </w:tcPr>
          <w:p>
            <w:pPr>
              <w:spacing w:after="0"/>
              <w:rPr>
                <w:sz w:val="1"/>
                <w:szCs w:val="1"/>
                <w:color w:val="auto"/>
              </w:rPr>
            </w:pPr>
          </w:p>
        </w:tc>
      </w:tr>
      <w:tr>
        <w:trPr>
          <w:trHeight w:val="142"/>
        </w:trPr>
        <w:tc>
          <w:tcPr>
            <w:tcW w:w="7640" w:type="dxa"/>
            <w:vAlign w:val="bottom"/>
            <w:tcBorders>
              <w:bottom w:val="single" w:sz="8" w:color="auto"/>
            </w:tcBorders>
            <w:gridSpan w:val="2"/>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02"/>
              <w:spacing w:after="0" w:line="142" w:lineRule="exact"/>
              <w:rPr>
                <w:sz w:val="20"/>
                <w:szCs w:val="20"/>
                <w:color w:val="auto"/>
              </w:rPr>
            </w:pPr>
            <w:r>
              <w:rPr>
                <w:rFonts w:ascii="Arial" w:cs="Arial" w:eastAsia="Arial" w:hAnsi="Arial"/>
                <w:sz w:val="14"/>
                <w:szCs w:val="14"/>
                <w:color w:val="auto"/>
                <w:w w:val="96"/>
              </w:rPr>
              <w:t>2014</w:t>
            </w: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color w:val="auto"/>
                <w:w w:val="96"/>
              </w:rPr>
              <w:t>2013</w:t>
            </w:r>
          </w:p>
        </w:tc>
        <w:tc>
          <w:tcPr>
            <w:tcW w:w="3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244"/>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64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62"/>
              <w:spacing w:after="0"/>
              <w:rPr>
                <w:sz w:val="20"/>
                <w:szCs w:val="20"/>
                <w:color w:val="auto"/>
              </w:rPr>
            </w:pPr>
            <w:r>
              <w:rPr>
                <w:rFonts w:ascii="Arial" w:cs="Arial" w:eastAsia="Arial" w:hAnsi="Arial"/>
                <w:sz w:val="18"/>
                <w:szCs w:val="18"/>
                <w:color w:val="auto"/>
              </w:rPr>
              <w:t>786</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661</w:t>
            </w:r>
          </w:p>
        </w:tc>
        <w:tc>
          <w:tcPr>
            <w:tcW w:w="800" w:type="dxa"/>
            <w:vAlign w:val="bottom"/>
            <w:gridSpan w:val="2"/>
            <w:shd w:val="clear" w:color="auto" w:fill="E5E5E5"/>
          </w:tcPr>
          <w:p>
            <w:pPr>
              <w:jc w:val="right"/>
              <w:ind w:right="104"/>
              <w:spacing w:after="0"/>
              <w:rPr>
                <w:sz w:val="20"/>
                <w:szCs w:val="20"/>
                <w:color w:val="auto"/>
              </w:rPr>
            </w:pPr>
            <w:r>
              <w:rPr>
                <w:rFonts w:ascii="Arial" w:cs="Arial" w:eastAsia="Arial" w:hAnsi="Arial"/>
                <w:sz w:val="18"/>
                <w:szCs w:val="18"/>
                <w:color w:val="auto"/>
              </w:rPr>
              <w:t>$125</w:t>
            </w: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Operating costs and expenses</w:t>
            </w: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62"/>
              <w:spacing w:after="0"/>
              <w:rPr>
                <w:sz w:val="20"/>
                <w:szCs w:val="20"/>
                <w:color w:val="auto"/>
              </w:rPr>
            </w:pPr>
            <w:r>
              <w:rPr>
                <w:rFonts w:ascii="Arial" w:cs="Arial" w:eastAsia="Arial" w:hAnsi="Arial"/>
                <w:sz w:val="18"/>
                <w:szCs w:val="18"/>
                <w:color w:val="auto"/>
              </w:rPr>
              <w:t>384</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318</w:t>
            </w:r>
          </w:p>
        </w:tc>
        <w:tc>
          <w:tcPr>
            <w:tcW w:w="3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04"/>
              <w:spacing w:after="0"/>
              <w:rPr>
                <w:sz w:val="20"/>
                <w:szCs w:val="20"/>
                <w:color w:val="auto"/>
              </w:rPr>
            </w:pPr>
            <w:r>
              <w:rPr>
                <w:rFonts w:ascii="Arial" w:cs="Arial" w:eastAsia="Arial" w:hAnsi="Arial"/>
                <w:sz w:val="18"/>
                <w:szCs w:val="18"/>
                <w:color w:val="auto"/>
              </w:rPr>
              <w:t>66</w:t>
            </w:r>
          </w:p>
        </w:tc>
        <w:tc>
          <w:tcPr>
            <w:tcW w:w="7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7"/>
        </w:trPr>
        <w:tc>
          <w:tcPr>
            <w:tcW w:w="76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62"/>
              <w:spacing w:after="0"/>
              <w:rPr>
                <w:sz w:val="20"/>
                <w:szCs w:val="20"/>
                <w:color w:val="auto"/>
              </w:rPr>
            </w:pPr>
            <w:r>
              <w:rPr>
                <w:rFonts w:ascii="Arial" w:cs="Arial" w:eastAsia="Arial" w:hAnsi="Arial"/>
                <w:sz w:val="18"/>
                <w:szCs w:val="18"/>
                <w:b w:val="1"/>
                <w:bCs w:val="1"/>
                <w:color w:val="auto"/>
              </w:rPr>
              <w:t>402</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343</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E5E5E5"/>
          </w:tcPr>
          <w:p>
            <w:pPr>
              <w:jc w:val="right"/>
              <w:ind w:right="104"/>
              <w:spacing w:after="0"/>
              <w:rPr>
                <w:sz w:val="20"/>
                <w:szCs w:val="20"/>
                <w:color w:val="auto"/>
              </w:rPr>
            </w:pPr>
            <w:r>
              <w:rPr>
                <w:rFonts w:ascii="Arial" w:cs="Arial" w:eastAsia="Arial" w:hAnsi="Arial"/>
                <w:sz w:val="18"/>
                <w:szCs w:val="18"/>
                <w:b w:val="1"/>
                <w:bCs w:val="1"/>
                <w:color w:val="auto"/>
              </w:rPr>
              <w:t>59</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16.9%</w:t>
            </w:r>
          </w:p>
        </w:tc>
        <w:tc>
          <w:tcPr>
            <w:tcW w:w="0" w:type="dxa"/>
            <w:vAlign w:val="bottom"/>
          </w:tcPr>
          <w:p>
            <w:pPr>
              <w:spacing w:after="0"/>
              <w:rPr>
                <w:sz w:val="1"/>
                <w:szCs w:val="1"/>
                <w:color w:val="auto"/>
              </w:rPr>
            </w:pPr>
          </w:p>
        </w:tc>
      </w:tr>
      <w:tr>
        <w:trPr>
          <w:trHeight w:val="273"/>
        </w:trPr>
        <w:tc>
          <w:tcPr>
            <w:tcW w:w="7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60" w:type="dxa"/>
            <w:vAlign w:val="bottom"/>
            <w:gridSpan w:val="3"/>
          </w:tcPr>
          <w:p>
            <w:pPr>
              <w:jc w:val="right"/>
              <w:ind w:right="457"/>
              <w:spacing w:after="0"/>
              <w:rPr>
                <w:sz w:val="20"/>
                <w:szCs w:val="20"/>
                <w:color w:val="auto"/>
              </w:rPr>
            </w:pPr>
            <w:r>
              <w:rPr>
                <w:rFonts w:ascii="Arial" w:cs="Arial" w:eastAsia="Arial" w:hAnsi="Arial"/>
                <w:sz w:val="14"/>
                <w:szCs w:val="14"/>
                <w:color w:val="auto"/>
                <w:w w:val="97"/>
              </w:rPr>
              <w:t>Nine Months Ended</w:t>
            </w:r>
          </w:p>
        </w:tc>
        <w:tc>
          <w:tcPr>
            <w:tcW w:w="360" w:type="dxa"/>
            <w:vAlign w:val="bottom"/>
          </w:tcPr>
          <w:p>
            <w:pPr>
              <w:spacing w:after="0"/>
              <w:rPr>
                <w:sz w:val="23"/>
                <w:szCs w:val="23"/>
                <w:color w:val="auto"/>
              </w:rPr>
            </w:pPr>
          </w:p>
        </w:tc>
        <w:tc>
          <w:tcPr>
            <w:tcW w:w="1160" w:type="dxa"/>
            <w:vAlign w:val="bottom"/>
            <w:gridSpan w:val="2"/>
          </w:tcPr>
          <w:p>
            <w:pPr>
              <w:jc w:val="center"/>
              <w:ind w:right="257"/>
              <w:spacing w:after="0"/>
              <w:rPr>
                <w:sz w:val="20"/>
                <w:szCs w:val="20"/>
                <w:color w:val="auto"/>
              </w:rPr>
            </w:pPr>
            <w:r>
              <w:rPr>
                <w:rFonts w:ascii="Arial" w:cs="Arial" w:eastAsia="Arial" w:hAnsi="Arial"/>
                <w:sz w:val="14"/>
                <w:szCs w:val="14"/>
                <w:color w:val="auto"/>
                <w:w w:val="86"/>
              </w:rPr>
              <w:t>Increase/</w:t>
            </w:r>
          </w:p>
        </w:tc>
        <w:tc>
          <w:tcPr>
            <w:tcW w:w="0" w:type="dxa"/>
            <w:vAlign w:val="bottom"/>
          </w:tcPr>
          <w:p>
            <w:pPr>
              <w:spacing w:after="0"/>
              <w:rPr>
                <w:sz w:val="1"/>
                <w:szCs w:val="1"/>
                <w:color w:val="auto"/>
              </w:rPr>
            </w:pPr>
          </w:p>
        </w:tc>
      </w:tr>
      <w:tr>
        <w:trPr>
          <w:trHeight w:val="159"/>
        </w:trPr>
        <w:tc>
          <w:tcPr>
            <w:tcW w:w="76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257"/>
              <w:spacing w:after="0" w:line="159" w:lineRule="exact"/>
              <w:rPr>
                <w:sz w:val="20"/>
                <w:szCs w:val="20"/>
                <w:color w:val="auto"/>
              </w:rPr>
            </w:pPr>
            <w:r>
              <w:rPr>
                <w:rFonts w:ascii="Arial" w:cs="Arial" w:eastAsia="Arial" w:hAnsi="Arial"/>
                <w:sz w:val="14"/>
                <w:szCs w:val="14"/>
                <w:color w:val="auto"/>
                <w:w w:val="83"/>
              </w:rPr>
              <w:t>(Decrease)</w:t>
            </w:r>
          </w:p>
        </w:tc>
        <w:tc>
          <w:tcPr>
            <w:tcW w:w="0" w:type="dxa"/>
            <w:vAlign w:val="bottom"/>
          </w:tcPr>
          <w:p>
            <w:pPr>
              <w:spacing w:after="0"/>
              <w:rPr>
                <w:sz w:val="1"/>
                <w:szCs w:val="1"/>
                <w:color w:val="auto"/>
              </w:rPr>
            </w:pPr>
          </w:p>
        </w:tc>
      </w:tr>
      <w:tr>
        <w:trPr>
          <w:trHeight w:val="142"/>
        </w:trPr>
        <w:tc>
          <w:tcPr>
            <w:tcW w:w="76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42"/>
              <w:spacing w:after="0" w:line="142" w:lineRule="exact"/>
              <w:rPr>
                <w:sz w:val="20"/>
                <w:szCs w:val="20"/>
                <w:color w:val="auto"/>
              </w:rPr>
            </w:pPr>
            <w:r>
              <w:rPr>
                <w:rFonts w:ascii="Arial" w:cs="Arial" w:eastAsia="Arial" w:hAnsi="Arial"/>
                <w:sz w:val="14"/>
                <w:szCs w:val="14"/>
                <w:color w:val="auto"/>
                <w:w w:val="83"/>
              </w:rPr>
              <w:t>2014</w:t>
            </w: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color w:val="auto"/>
                <w:w w:val="83"/>
              </w:rPr>
              <w:t>2013</w:t>
            </w:r>
          </w:p>
        </w:tc>
        <w:tc>
          <w:tcPr>
            <w:tcW w:w="3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264"/>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64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202"/>
              <w:spacing w:after="0"/>
              <w:rPr>
                <w:sz w:val="20"/>
                <w:szCs w:val="20"/>
                <w:color w:val="auto"/>
              </w:rPr>
            </w:pPr>
            <w:r>
              <w:rPr>
                <w:rFonts w:ascii="Arial" w:cs="Arial" w:eastAsia="Arial" w:hAnsi="Arial"/>
                <w:sz w:val="18"/>
                <w:szCs w:val="18"/>
                <w:color w:val="auto"/>
                <w:w w:val="88"/>
              </w:rPr>
              <w:t>1,888</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w w:val="88"/>
              </w:rPr>
              <w:t>1,669</w:t>
            </w:r>
          </w:p>
        </w:tc>
        <w:tc>
          <w:tcPr>
            <w:tcW w:w="800" w:type="dxa"/>
            <w:vAlign w:val="bottom"/>
            <w:gridSpan w:val="2"/>
            <w:shd w:val="clear" w:color="auto" w:fill="E5E5E5"/>
          </w:tcPr>
          <w:p>
            <w:pPr>
              <w:jc w:val="right"/>
              <w:ind w:right="104"/>
              <w:spacing w:after="0"/>
              <w:rPr>
                <w:sz w:val="20"/>
                <w:szCs w:val="20"/>
                <w:color w:val="auto"/>
              </w:rPr>
            </w:pPr>
            <w:r>
              <w:rPr>
                <w:rFonts w:ascii="Arial" w:cs="Arial" w:eastAsia="Arial" w:hAnsi="Arial"/>
                <w:sz w:val="18"/>
                <w:szCs w:val="18"/>
                <w:color w:val="auto"/>
              </w:rPr>
              <w:t>$219</w:t>
            </w: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Operating costs and expenses</w:t>
            </w: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02"/>
              <w:spacing w:after="0"/>
              <w:rPr>
                <w:sz w:val="20"/>
                <w:szCs w:val="20"/>
                <w:color w:val="auto"/>
              </w:rPr>
            </w:pPr>
            <w:r>
              <w:rPr>
                <w:rFonts w:ascii="Arial" w:cs="Arial" w:eastAsia="Arial" w:hAnsi="Arial"/>
                <w:sz w:val="18"/>
                <w:szCs w:val="18"/>
                <w:color w:val="auto"/>
                <w:w w:val="88"/>
              </w:rPr>
              <w:t>1,072</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922</w:t>
            </w:r>
          </w:p>
        </w:tc>
        <w:tc>
          <w:tcPr>
            <w:tcW w:w="3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04"/>
              <w:spacing w:after="0"/>
              <w:rPr>
                <w:sz w:val="20"/>
                <w:szCs w:val="20"/>
                <w:color w:val="auto"/>
              </w:rPr>
            </w:pPr>
            <w:r>
              <w:rPr>
                <w:rFonts w:ascii="Arial" w:cs="Arial" w:eastAsia="Arial" w:hAnsi="Arial"/>
                <w:sz w:val="18"/>
                <w:szCs w:val="18"/>
                <w:color w:val="auto"/>
                <w:w w:val="79"/>
              </w:rPr>
              <w:t>150</w:t>
            </w:r>
          </w:p>
        </w:tc>
        <w:tc>
          <w:tcPr>
            <w:tcW w:w="7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7"/>
        </w:trPr>
        <w:tc>
          <w:tcPr>
            <w:tcW w:w="76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202"/>
              <w:spacing w:after="0"/>
              <w:rPr>
                <w:sz w:val="20"/>
                <w:szCs w:val="20"/>
                <w:color w:val="auto"/>
              </w:rPr>
            </w:pPr>
            <w:r>
              <w:rPr>
                <w:rFonts w:ascii="Arial" w:cs="Arial" w:eastAsia="Arial" w:hAnsi="Arial"/>
                <w:sz w:val="18"/>
                <w:szCs w:val="18"/>
                <w:b w:val="1"/>
                <w:bCs w:val="1"/>
                <w:color w:val="auto"/>
              </w:rPr>
              <w:t>816</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b w:val="1"/>
                <w:bCs w:val="1"/>
                <w:color w:val="auto"/>
              </w:rPr>
              <w:t>747</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E5E5E5"/>
          </w:tcPr>
          <w:p>
            <w:pPr>
              <w:jc w:val="right"/>
              <w:ind w:right="104"/>
              <w:spacing w:after="0"/>
              <w:rPr>
                <w:sz w:val="20"/>
                <w:szCs w:val="20"/>
                <w:color w:val="auto"/>
              </w:rPr>
            </w:pPr>
            <w:r>
              <w:rPr>
                <w:rFonts w:ascii="Arial" w:cs="Arial" w:eastAsia="Arial" w:hAnsi="Arial"/>
                <w:sz w:val="18"/>
                <w:szCs w:val="18"/>
                <w:b w:val="1"/>
                <w:bCs w:val="1"/>
                <w:color w:val="auto"/>
              </w:rPr>
              <w:t>69</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Segment—Revenue</w:t>
      </w:r>
    </w:p>
    <w:p>
      <w:pPr>
        <w:spacing w:after="0" w:line="74"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 xml:space="preserve">Theme Parks revenue increased for the three and nine months ended September 30, 2014 compared to the same periods in 2013 primarily due to higher guest attendance and increases in per capita spending as a result of new attractions, such as Orlando’s </w:t>
      </w:r>
      <w:r>
        <w:rPr>
          <w:rFonts w:ascii="Arial" w:cs="Arial" w:eastAsia="Arial" w:hAnsi="Arial"/>
          <w:sz w:val="16"/>
          <w:szCs w:val="16"/>
          <w:i w:val="1"/>
          <w:iCs w:val="1"/>
          <w:color w:val="auto"/>
        </w:rPr>
        <w:t>The Wizarding World of Harry Potter</w:t>
      </w:r>
      <w:r>
        <w:rPr>
          <w:rFonts w:ascii="Arial" w:cs="Arial" w:eastAsia="Arial" w:hAnsi="Arial"/>
          <w:sz w:val="16"/>
          <w:szCs w:val="16"/>
          <w:color w:val="auto"/>
        </w:rPr>
        <w:t xml:space="preserve"> ™—</w:t>
      </w:r>
      <w:r>
        <w:rPr>
          <w:rFonts w:ascii="Arial" w:cs="Arial" w:eastAsia="Arial" w:hAnsi="Arial"/>
          <w:sz w:val="16"/>
          <w:szCs w:val="16"/>
          <w:i w:val="1"/>
          <w:iCs w:val="1"/>
          <w:color w:val="auto"/>
        </w:rPr>
        <w:t>Diagon Alley</w:t>
      </w:r>
      <w:r>
        <w:rPr>
          <w:rFonts w:ascii="Arial" w:cs="Arial" w:eastAsia="Arial" w:hAnsi="Arial"/>
          <w:sz w:val="16"/>
          <w:szCs w:val="16"/>
          <w:color w:val="auto"/>
        </w:rPr>
        <w:t xml:space="preserve"> ™.</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Segment—Operating Costs and Expenses</w:t>
      </w:r>
    </w:p>
    <w:p>
      <w:pPr>
        <w:spacing w:after="0" w:line="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 xml:space="preserve">Operating costs and expenses increased for the three and nine months ended September 30, 2014 compared to the same periods in 2013 primarily due to costs associated with new attractions, such as Orlando’s </w:t>
      </w:r>
      <w:r>
        <w:rPr>
          <w:rFonts w:ascii="Arial" w:cs="Arial" w:eastAsia="Arial" w:hAnsi="Arial"/>
          <w:sz w:val="16"/>
          <w:szCs w:val="16"/>
          <w:i w:val="1"/>
          <w:iCs w:val="1"/>
          <w:color w:val="auto"/>
        </w:rPr>
        <w:t>The Wizarding World of Harry Potter</w:t>
      </w:r>
      <w:r>
        <w:rPr>
          <w:rFonts w:ascii="Arial" w:cs="Arial" w:eastAsia="Arial" w:hAnsi="Arial"/>
          <w:sz w:val="16"/>
          <w:szCs w:val="16"/>
          <w:color w:val="auto"/>
        </w:rPr>
        <w:t xml:space="preserve"> ™—</w:t>
      </w:r>
      <w:r>
        <w:rPr>
          <w:rFonts w:ascii="Arial" w:cs="Arial" w:eastAsia="Arial" w:hAnsi="Arial"/>
          <w:sz w:val="16"/>
          <w:szCs w:val="16"/>
          <w:i w:val="1"/>
          <w:iCs w:val="1"/>
          <w:color w:val="auto"/>
        </w:rPr>
        <w:t>Diagon Alley</w:t>
      </w:r>
      <w:r>
        <w:rPr>
          <w:rFonts w:ascii="Arial" w:cs="Arial" w:eastAsia="Arial" w:hAnsi="Arial"/>
          <w:sz w:val="16"/>
          <w:szCs w:val="16"/>
          <w:color w:val="auto"/>
        </w:rPr>
        <w:t xml:space="preserve"> ™, and increases in per capita spending.</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Headquarters, Other and Eliminations</w:t>
      </w:r>
    </w:p>
    <w:p>
      <w:pPr>
        <w:spacing w:after="0" w:line="82"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The change in operating income (loss) before depreciation and amortization for headquarters, other and eliminations for the three months ended September 30, 2014 compared to the same period in 2013 was primarily due to lower expenses as a result of severance costs recorded in the prior year period.</w:t>
      </w:r>
    </w:p>
    <w:p>
      <w:pPr>
        <w:spacing w:after="0" w:line="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change in operating income (loss) before depreciation and amortization for headquarters, other and eliminations for the nine months ended September 30, 2014 compared to the same period in 2013 was primarily due to higher employee-related costs, including severance costs, compared to the prior year period.</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 Results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80" w:type="dxa"/>
            <w:vAlign w:val="bottom"/>
            <w:gridSpan w:val="4"/>
          </w:tcPr>
          <w:p>
            <w:pPr>
              <w:jc w:val="right"/>
              <w:ind w:right="475"/>
              <w:spacing w:after="0"/>
              <w:rPr>
                <w:sz w:val="20"/>
                <w:szCs w:val="20"/>
                <w:color w:val="auto"/>
              </w:rPr>
            </w:pPr>
            <w:r>
              <w:rPr>
                <w:rFonts w:ascii="Arial" w:cs="Arial" w:eastAsia="Arial" w:hAnsi="Arial"/>
                <w:sz w:val="14"/>
                <w:szCs w:val="14"/>
                <w:color w:val="auto"/>
                <w:w w:val="99"/>
              </w:rPr>
              <w:t>Three Months Ended</w:t>
            </w:r>
          </w:p>
        </w:tc>
        <w:tc>
          <w:tcPr>
            <w:tcW w:w="1740" w:type="dxa"/>
            <w:vAlign w:val="bottom"/>
            <w:gridSpan w:val="2"/>
          </w:tcPr>
          <w:p>
            <w:pPr>
              <w:jc w:val="right"/>
              <w:ind w:right="537"/>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47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September 30</w:t>
            </w:r>
          </w:p>
        </w:tc>
        <w:tc>
          <w:tcPr>
            <w:tcW w:w="7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ind w:left="580"/>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4780" w:type="dxa"/>
            <w:vAlign w:val="bottom"/>
            <w:tcBorders>
              <w:bottom w:val="single" w:sz="8" w:color="auto"/>
            </w:tcBorders>
            <w:vMerge w:val="continue"/>
          </w:tcPr>
          <w:p>
            <w:pPr>
              <w:spacing w:after="0"/>
              <w:rPr>
                <w:sz w:val="12"/>
                <w:szCs w:val="12"/>
                <w:color w:val="auto"/>
              </w:rPr>
            </w:pPr>
          </w:p>
        </w:tc>
        <w:tc>
          <w:tcPr>
            <w:tcW w:w="2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42"/>
              <w:spacing w:after="0" w:line="142" w:lineRule="exact"/>
              <w:rPr>
                <w:sz w:val="20"/>
                <w:szCs w:val="20"/>
                <w:color w:val="auto"/>
              </w:rPr>
            </w:pPr>
            <w:r>
              <w:rPr>
                <w:rFonts w:ascii="Arial" w:cs="Arial" w:eastAsia="Arial" w:hAnsi="Arial"/>
                <w:sz w:val="14"/>
                <w:szCs w:val="14"/>
                <w:color w:val="auto"/>
                <w:w w:val="89"/>
              </w:rPr>
              <w:t>2014</w:t>
            </w: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color w:val="auto"/>
                <w:w w:val="89"/>
              </w:rPr>
              <w:t>2013</w:t>
            </w:r>
          </w:p>
        </w:tc>
        <w:tc>
          <w:tcPr>
            <w:tcW w:w="880" w:type="dxa"/>
            <w:vAlign w:val="bottom"/>
            <w:tcBorders>
              <w:bottom w:val="single" w:sz="8" w:color="auto"/>
            </w:tcBorders>
          </w:tcPr>
          <w:p>
            <w:pPr>
              <w:jc w:val="right"/>
              <w:ind w:right="262"/>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17"/>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7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3020" w:type="dxa"/>
            <w:vAlign w:val="bottom"/>
            <w:gridSpan w:val="3"/>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02"/>
              <w:spacing w:after="0"/>
              <w:rPr>
                <w:sz w:val="20"/>
                <w:szCs w:val="20"/>
                <w:color w:val="auto"/>
              </w:rPr>
            </w:pPr>
            <w:r>
              <w:rPr>
                <w:rFonts w:ascii="Arial" w:cs="Arial" w:eastAsia="Arial" w:hAnsi="Arial"/>
                <w:sz w:val="18"/>
                <w:szCs w:val="18"/>
                <w:color w:val="auto"/>
              </w:rPr>
              <w:t>174</w:t>
            </w:r>
          </w:p>
        </w:tc>
        <w:tc>
          <w:tcPr>
            <w:tcW w:w="340" w:type="dxa"/>
            <w:vAlign w:val="bottom"/>
            <w:shd w:val="clear" w:color="auto" w:fill="E5E5E5"/>
          </w:tcPr>
          <w:p>
            <w:pPr>
              <w:spacing w:after="0"/>
              <w:rPr>
                <w:sz w:val="18"/>
                <w:szCs w:val="18"/>
                <w:color w:val="auto"/>
              </w:rPr>
            </w:pPr>
          </w:p>
        </w:tc>
        <w:tc>
          <w:tcPr>
            <w:tcW w:w="10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133</w:t>
            </w:r>
          </w:p>
        </w:tc>
        <w:tc>
          <w:tcPr>
            <w:tcW w:w="880" w:type="dxa"/>
            <w:vAlign w:val="bottom"/>
            <w:shd w:val="clear" w:color="auto" w:fill="E5E5E5"/>
          </w:tcPr>
          <w:p>
            <w:pPr>
              <w:jc w:val="right"/>
              <w:ind w:right="122"/>
              <w:spacing w:after="0"/>
              <w:rPr>
                <w:sz w:val="20"/>
                <w:szCs w:val="20"/>
                <w:color w:val="auto"/>
              </w:rPr>
            </w:pPr>
            <w:r>
              <w:rPr>
                <w:rFonts w:ascii="Arial" w:cs="Arial" w:eastAsia="Arial" w:hAnsi="Arial"/>
                <w:sz w:val="18"/>
                <w:szCs w:val="18"/>
                <w:color w:val="auto"/>
              </w:rPr>
              <w:t>$ 41</w:t>
            </w:r>
          </w:p>
        </w:tc>
        <w:tc>
          <w:tcPr>
            <w:tcW w:w="86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2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02"/>
              <w:spacing w:after="0"/>
              <w:rPr>
                <w:sz w:val="20"/>
                <w:szCs w:val="20"/>
                <w:color w:val="auto"/>
              </w:rPr>
            </w:pPr>
            <w:r>
              <w:rPr>
                <w:rFonts w:ascii="Arial" w:cs="Arial" w:eastAsia="Arial" w:hAnsi="Arial"/>
                <w:sz w:val="18"/>
                <w:szCs w:val="18"/>
                <w:color w:val="auto"/>
              </w:rPr>
              <w:t>371</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311</w:t>
            </w:r>
          </w:p>
        </w:tc>
        <w:tc>
          <w:tcPr>
            <w:tcW w:w="880" w:type="dxa"/>
            <w:vAlign w:val="bottom"/>
            <w:tcBorders>
              <w:bottom w:val="single" w:sz="8" w:color="auto"/>
            </w:tcBorders>
          </w:tcPr>
          <w:p>
            <w:pPr>
              <w:jc w:val="right"/>
              <w:ind w:right="122"/>
              <w:spacing w:after="0"/>
              <w:rPr>
                <w:sz w:val="20"/>
                <w:szCs w:val="20"/>
                <w:color w:val="auto"/>
              </w:rPr>
            </w:pPr>
            <w:r>
              <w:rPr>
                <w:rFonts w:ascii="Arial" w:cs="Arial" w:eastAsia="Arial" w:hAnsi="Arial"/>
                <w:sz w:val="18"/>
                <w:szCs w:val="18"/>
                <w:color w:val="auto"/>
              </w:rPr>
              <w:t>60</w:t>
            </w:r>
          </w:p>
        </w:tc>
        <w:tc>
          <w:tcPr>
            <w:tcW w:w="86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7"/>
        </w:trPr>
        <w:tc>
          <w:tcPr>
            <w:tcW w:w="47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loss before depreciation and amortization</w:t>
            </w:r>
          </w:p>
        </w:tc>
        <w:tc>
          <w:tcPr>
            <w:tcW w:w="3020" w:type="dxa"/>
            <w:vAlign w:val="bottom"/>
            <w:tcBorders>
              <w:bottom w:val="single" w:sz="8" w:color="auto"/>
            </w:tcBorders>
            <w:gridSpan w:val="3"/>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42"/>
              <w:spacing w:after="0"/>
              <w:rPr>
                <w:sz w:val="20"/>
                <w:szCs w:val="20"/>
                <w:color w:val="auto"/>
              </w:rPr>
            </w:pPr>
            <w:r>
              <w:rPr>
                <w:rFonts w:ascii="Arial" w:cs="Arial" w:eastAsia="Arial" w:hAnsi="Arial"/>
                <w:sz w:val="18"/>
                <w:szCs w:val="18"/>
                <w:b w:val="1"/>
                <w:bCs w:val="1"/>
                <w:color w:val="auto"/>
              </w:rPr>
              <w:t>(197)</w:t>
            </w:r>
          </w:p>
        </w:tc>
        <w:tc>
          <w:tcPr>
            <w:tcW w:w="340" w:type="dxa"/>
            <w:vAlign w:val="bottom"/>
            <w:tcBorders>
              <w:bottom w:val="single" w:sz="8" w:color="auto"/>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b w:val="1"/>
                <w:bCs w:val="1"/>
                <w:color w:val="auto"/>
              </w:rPr>
              <w:t>(178)</w:t>
            </w:r>
          </w:p>
        </w:tc>
        <w:tc>
          <w:tcPr>
            <w:tcW w:w="880" w:type="dxa"/>
            <w:vAlign w:val="bottom"/>
            <w:tcBorders>
              <w:bottom w:val="single" w:sz="8" w:color="auto"/>
            </w:tcBorders>
            <w:shd w:val="clear" w:color="auto" w:fill="E5E5E5"/>
          </w:tcPr>
          <w:p>
            <w:pPr>
              <w:jc w:val="right"/>
              <w:ind w:right="62"/>
              <w:spacing w:after="0"/>
              <w:rPr>
                <w:sz w:val="20"/>
                <w:szCs w:val="20"/>
                <w:color w:val="auto"/>
              </w:rPr>
            </w:pPr>
            <w:r>
              <w:rPr>
                <w:rFonts w:ascii="Arial" w:cs="Arial" w:eastAsia="Arial" w:hAnsi="Arial"/>
                <w:sz w:val="18"/>
                <w:szCs w:val="18"/>
                <w:b w:val="1"/>
                <w:bCs w:val="1"/>
                <w:color w:val="auto"/>
              </w:rPr>
              <w:t>$(19)</w:t>
            </w:r>
          </w:p>
        </w:tc>
        <w:tc>
          <w:tcPr>
            <w:tcW w:w="86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(11.3)%</w:t>
            </w:r>
          </w:p>
        </w:tc>
        <w:tc>
          <w:tcPr>
            <w:tcW w:w="0" w:type="dxa"/>
            <w:vAlign w:val="bottom"/>
          </w:tcPr>
          <w:p>
            <w:pPr>
              <w:spacing w:after="0"/>
              <w:rPr>
                <w:sz w:val="1"/>
                <w:szCs w:val="1"/>
                <w:color w:val="auto"/>
              </w:rPr>
            </w:pPr>
          </w:p>
        </w:tc>
      </w:tr>
      <w:tr>
        <w:trPr>
          <w:trHeight w:val="273"/>
        </w:trPr>
        <w:tc>
          <w:tcPr>
            <w:tcW w:w="47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80" w:type="dxa"/>
            <w:vAlign w:val="bottom"/>
            <w:gridSpan w:val="4"/>
          </w:tcPr>
          <w:p>
            <w:pPr>
              <w:jc w:val="right"/>
              <w:ind w:right="595"/>
              <w:spacing w:after="0"/>
              <w:rPr>
                <w:sz w:val="20"/>
                <w:szCs w:val="20"/>
                <w:color w:val="auto"/>
              </w:rPr>
            </w:pPr>
            <w:r>
              <w:rPr>
                <w:rFonts w:ascii="Arial" w:cs="Arial" w:eastAsia="Arial" w:hAnsi="Arial"/>
                <w:sz w:val="14"/>
                <w:szCs w:val="14"/>
                <w:color w:val="auto"/>
                <w:w w:val="95"/>
              </w:rPr>
              <w:t>Nine Months Ended</w:t>
            </w:r>
          </w:p>
        </w:tc>
        <w:tc>
          <w:tcPr>
            <w:tcW w:w="1740" w:type="dxa"/>
            <w:vAlign w:val="bottom"/>
            <w:gridSpan w:val="2"/>
          </w:tcPr>
          <w:p>
            <w:pPr>
              <w:ind w:left="580"/>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47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right"/>
              <w:ind w:right="537"/>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4780" w:type="dxa"/>
            <w:vAlign w:val="bottom"/>
            <w:tcBorders>
              <w:bottom w:val="single" w:sz="8" w:color="auto"/>
            </w:tcBorders>
            <w:vMerge w:val="continue"/>
          </w:tcPr>
          <w:p>
            <w:pPr>
              <w:spacing w:after="0"/>
              <w:rPr>
                <w:sz w:val="12"/>
                <w:szCs w:val="12"/>
                <w:color w:val="auto"/>
              </w:rPr>
            </w:pPr>
          </w:p>
        </w:tc>
        <w:tc>
          <w:tcPr>
            <w:tcW w:w="23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right"/>
              <w:ind w:right="442"/>
              <w:spacing w:after="0" w:line="142" w:lineRule="exact"/>
              <w:rPr>
                <w:sz w:val="20"/>
                <w:szCs w:val="20"/>
                <w:color w:val="auto"/>
              </w:rPr>
            </w:pPr>
            <w:r>
              <w:rPr>
                <w:rFonts w:ascii="Arial" w:cs="Arial" w:eastAsia="Arial" w:hAnsi="Arial"/>
                <w:sz w:val="14"/>
                <w:szCs w:val="14"/>
                <w:color w:val="auto"/>
              </w:rPr>
              <w:t>2014</w:t>
            </w: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435"/>
              <w:spacing w:after="0" w:line="142" w:lineRule="exact"/>
              <w:rPr>
                <w:sz w:val="20"/>
                <w:szCs w:val="20"/>
                <w:color w:val="auto"/>
              </w:rPr>
            </w:pPr>
            <w:r>
              <w:rPr>
                <w:rFonts w:ascii="Arial" w:cs="Arial" w:eastAsia="Arial" w:hAnsi="Arial"/>
                <w:sz w:val="14"/>
                <w:szCs w:val="14"/>
                <w:color w:val="auto"/>
                <w:w w:val="89"/>
              </w:rPr>
              <w:t>2013</w:t>
            </w:r>
          </w:p>
        </w:tc>
        <w:tc>
          <w:tcPr>
            <w:tcW w:w="880" w:type="dxa"/>
            <w:vAlign w:val="bottom"/>
            <w:tcBorders>
              <w:bottom w:val="single" w:sz="8" w:color="auto"/>
            </w:tcBorders>
          </w:tcPr>
          <w:p>
            <w:pPr>
              <w:jc w:val="right"/>
              <w:ind w:right="322"/>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17"/>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7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3020" w:type="dxa"/>
            <w:vAlign w:val="bottom"/>
            <w:gridSpan w:val="3"/>
            <w:shd w:val="clear" w:color="auto" w:fill="E5E5E5"/>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302"/>
              <w:spacing w:after="0"/>
              <w:rPr>
                <w:sz w:val="20"/>
                <w:szCs w:val="20"/>
                <w:color w:val="auto"/>
              </w:rPr>
            </w:pPr>
            <w:r>
              <w:rPr>
                <w:rFonts w:ascii="Arial" w:cs="Arial" w:eastAsia="Arial" w:hAnsi="Arial"/>
                <w:sz w:val="18"/>
                <w:szCs w:val="18"/>
                <w:color w:val="auto"/>
              </w:rPr>
              <w:t>520</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431</w:t>
            </w:r>
          </w:p>
        </w:tc>
        <w:tc>
          <w:tcPr>
            <w:tcW w:w="880" w:type="dxa"/>
            <w:vAlign w:val="bottom"/>
            <w:shd w:val="clear" w:color="auto" w:fill="E5E5E5"/>
          </w:tcPr>
          <w:p>
            <w:pPr>
              <w:jc w:val="right"/>
              <w:ind w:right="142"/>
              <w:spacing w:after="0"/>
              <w:rPr>
                <w:sz w:val="20"/>
                <w:szCs w:val="20"/>
                <w:color w:val="auto"/>
              </w:rPr>
            </w:pPr>
            <w:r>
              <w:rPr>
                <w:rFonts w:ascii="Arial" w:cs="Arial" w:eastAsia="Arial" w:hAnsi="Arial"/>
                <w:sz w:val="18"/>
                <w:szCs w:val="18"/>
                <w:color w:val="auto"/>
              </w:rPr>
              <w:t>$  89</w:t>
            </w:r>
          </w:p>
        </w:tc>
        <w:tc>
          <w:tcPr>
            <w:tcW w:w="86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3740" w:type="dxa"/>
            <w:vAlign w:val="bottom"/>
            <w:tcBorders>
              <w:bottom w:val="single" w:sz="8" w:color="auto"/>
            </w:tcBorders>
            <w:gridSpan w:val="4"/>
          </w:tcPr>
          <w:p>
            <w:pPr>
              <w:jc w:val="right"/>
              <w:ind w:right="302"/>
              <w:spacing w:after="0"/>
              <w:rPr>
                <w:sz w:val="20"/>
                <w:szCs w:val="20"/>
                <w:color w:val="auto"/>
              </w:rPr>
            </w:pPr>
            <w:r>
              <w:rPr>
                <w:rFonts w:ascii="Arial" w:cs="Arial" w:eastAsia="Arial" w:hAnsi="Arial"/>
                <w:sz w:val="18"/>
                <w:szCs w:val="18"/>
                <w:color w:val="auto"/>
              </w:rPr>
              <w:t>1,052</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color w:val="auto"/>
              </w:rPr>
              <w:t>811</w:t>
            </w: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8"/>
                <w:szCs w:val="18"/>
                <w:color w:val="auto"/>
              </w:rPr>
              <w:t>241</w:t>
            </w:r>
          </w:p>
        </w:tc>
        <w:tc>
          <w:tcPr>
            <w:tcW w:w="86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7"/>
        </w:trPr>
        <w:tc>
          <w:tcPr>
            <w:tcW w:w="47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loss before depreciation and amortization</w:t>
            </w:r>
          </w:p>
        </w:tc>
        <w:tc>
          <w:tcPr>
            <w:tcW w:w="3020" w:type="dxa"/>
            <w:vAlign w:val="bottom"/>
            <w:tcBorders>
              <w:bottom w:val="single" w:sz="8" w:color="auto"/>
            </w:tcBorders>
            <w:gridSpan w:val="3"/>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242"/>
              <w:spacing w:after="0"/>
              <w:rPr>
                <w:sz w:val="20"/>
                <w:szCs w:val="20"/>
                <w:color w:val="auto"/>
              </w:rPr>
            </w:pPr>
            <w:r>
              <w:rPr>
                <w:rFonts w:ascii="Arial" w:cs="Arial" w:eastAsia="Arial" w:hAnsi="Arial"/>
                <w:sz w:val="18"/>
                <w:szCs w:val="18"/>
                <w:b w:val="1"/>
                <w:bCs w:val="1"/>
                <w:color w:val="auto"/>
                <w:w w:val="90"/>
              </w:rPr>
              <w:t>(532)</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35"/>
              <w:spacing w:after="0"/>
              <w:rPr>
                <w:sz w:val="20"/>
                <w:szCs w:val="20"/>
                <w:color w:val="auto"/>
              </w:rPr>
            </w:pPr>
            <w:r>
              <w:rPr>
                <w:rFonts w:ascii="Arial" w:cs="Arial" w:eastAsia="Arial" w:hAnsi="Arial"/>
                <w:sz w:val="18"/>
                <w:szCs w:val="18"/>
                <w:b w:val="1"/>
                <w:bCs w:val="1"/>
                <w:color w:val="auto"/>
                <w:w w:val="90"/>
              </w:rPr>
              <w:t>(380)</w:t>
            </w:r>
          </w:p>
        </w:tc>
        <w:tc>
          <w:tcPr>
            <w:tcW w:w="880" w:type="dxa"/>
            <w:vAlign w:val="bottom"/>
            <w:tcBorders>
              <w:bottom w:val="single" w:sz="8" w:color="auto"/>
            </w:tcBorders>
            <w:shd w:val="clear" w:color="auto" w:fill="E5E5E5"/>
          </w:tcPr>
          <w:p>
            <w:pPr>
              <w:jc w:val="right"/>
              <w:ind w:right="82"/>
              <w:spacing w:after="0"/>
              <w:rPr>
                <w:sz w:val="20"/>
                <w:szCs w:val="20"/>
                <w:color w:val="auto"/>
              </w:rPr>
            </w:pPr>
            <w:r>
              <w:rPr>
                <w:rFonts w:ascii="Arial" w:cs="Arial" w:eastAsia="Arial" w:hAnsi="Arial"/>
                <w:sz w:val="18"/>
                <w:szCs w:val="18"/>
                <w:b w:val="1"/>
                <w:bCs w:val="1"/>
                <w:color w:val="auto"/>
              </w:rPr>
              <w:t>$(152)</w:t>
            </w:r>
          </w:p>
        </w:tc>
        <w:tc>
          <w:tcPr>
            <w:tcW w:w="86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(40.2)%</w:t>
            </w:r>
          </w:p>
        </w:tc>
        <w:tc>
          <w:tcPr>
            <w:tcW w:w="0" w:type="dxa"/>
            <w:vAlign w:val="bottom"/>
          </w:tcPr>
          <w:p>
            <w:pPr>
              <w:spacing w:after="0"/>
              <w:rPr>
                <w:sz w:val="1"/>
                <w:szCs w:val="1"/>
                <w:color w:val="auto"/>
              </w:rPr>
            </w:pPr>
          </w:p>
        </w:tc>
      </w:tr>
      <w:tr>
        <w:trPr>
          <w:trHeight w:val="363"/>
        </w:trPr>
        <w:tc>
          <w:tcPr>
            <w:tcW w:w="4780" w:type="dxa"/>
            <w:vAlign w:val="bottom"/>
          </w:tcPr>
          <w:p>
            <w:pPr>
              <w:spacing w:after="0"/>
              <w:rPr>
                <w:sz w:val="24"/>
                <w:szCs w:val="24"/>
                <w:color w:val="auto"/>
              </w:rPr>
            </w:pPr>
          </w:p>
        </w:tc>
        <w:tc>
          <w:tcPr>
            <w:tcW w:w="2300" w:type="dxa"/>
            <w:vAlign w:val="bottom"/>
          </w:tcPr>
          <w:p>
            <w:pPr>
              <w:jc w:val="right"/>
              <w:ind w:right="117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Other—Revenue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revenue primarily relates to Comcast-Spectacor, which owns the Philadelphia Flyers and the Wells Fargo Center arena in Philadelphia and operates arena management-related businesses.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revenue increased for the three and nine months ended September 30, 2014 compared to the same periods in 2013 primarily due to increases in revenue from food services for sporting events associated with a new contract entered into by our Comcast-Spectacor business, as well as increases in revenue associated with newly acquired businesses.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Other—Operating Costs and Expenses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Corporate and Other operating costs and expenses primarily include overhead, personnel costs, the costs of corporate initiatives and branding, and operating costs and expenses associated with Comcast-Spectacor.</w:t>
      </w:r>
    </w:p>
    <w:p>
      <w:pPr>
        <w:spacing w:after="0" w:line="37"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Corporate and Other operating costs and expenses increased for the three months ended September 30, 2014 compared to the same period in 2013 primarily due to $77 million of transaction-related costs associated with the Time Warner Cable merger and divestiture transactions, as well as an increase in costs associated with the new food services contract entered into by our Comcast-Spectacor business. The increase was partially offset by $74 million of expense recorded in the prior year period associated with the final settlement of the terminated qualified pension plan that provided benefits to former AT&amp;T Broadband employees.</w:t>
      </w:r>
    </w:p>
    <w:p>
      <w:pPr>
        <w:spacing w:after="0" w:line="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Corporate and Other operating costs and expenses increased for the nine months ended September 30, 2014 compared to the same period in 2013 primarily due to company-wide branding initiatives, including initiatives associated with the 2014 Sochi Olympics, $138 million of transaction-related costs associated with the Time Warner Cable merger and divestiture transactions, and an increase in labor costs in our Comcast-Spectacor business.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 Net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gridSpan w:val="3"/>
          </w:tcPr>
          <w:p>
            <w:pPr>
              <w:jc w:val="right"/>
              <w:ind w:right="436"/>
              <w:spacing w:after="0"/>
              <w:rPr>
                <w:sz w:val="20"/>
                <w:szCs w:val="20"/>
                <w:color w:val="auto"/>
              </w:rPr>
            </w:pPr>
            <w:r>
              <w:rPr>
                <w:rFonts w:ascii="Arial" w:cs="Arial" w:eastAsia="Arial" w:hAnsi="Arial"/>
                <w:sz w:val="14"/>
                <w:szCs w:val="14"/>
                <w:color w:val="auto"/>
                <w:w w:val="96"/>
              </w:rPr>
              <w:t>Three Months Ended</w:t>
            </w:r>
          </w:p>
        </w:tc>
        <w:tc>
          <w:tcPr>
            <w:tcW w:w="1880" w:type="dxa"/>
            <w:vAlign w:val="bottom"/>
            <w:gridSpan w:val="2"/>
          </w:tcPr>
          <w:p>
            <w:pPr>
              <w:jc w:val="right"/>
              <w:ind w:right="296"/>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72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2"/>
          </w:tcPr>
          <w:p>
            <w:pPr>
              <w:jc w:val="right"/>
              <w:ind w:right="476"/>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722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60"/>
              <w:spacing w:after="0" w:line="142" w:lineRule="exact"/>
              <w:rPr>
                <w:sz w:val="20"/>
                <w:szCs w:val="20"/>
                <w:color w:val="auto"/>
              </w:rPr>
            </w:pPr>
            <w:r>
              <w:rPr>
                <w:rFonts w:ascii="Arial" w:cs="Arial" w:eastAsia="Arial" w:hAnsi="Arial"/>
                <w:sz w:val="14"/>
                <w:szCs w:val="14"/>
                <w:color w:val="auto"/>
                <w:w w:val="89"/>
              </w:rPr>
              <w:t>2014</w:t>
            </w: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color w:val="auto"/>
                <w:w w:val="89"/>
              </w:rPr>
              <w:t>2013</w:t>
            </w:r>
          </w:p>
        </w:tc>
        <w:tc>
          <w:tcPr>
            <w:tcW w:w="980" w:type="dxa"/>
            <w:vAlign w:val="bottom"/>
            <w:tcBorders>
              <w:bottom w:val="single" w:sz="8" w:color="auto"/>
            </w:tcBorders>
          </w:tcPr>
          <w:p>
            <w:pPr>
              <w:jc w:val="right"/>
              <w:ind w:right="260"/>
              <w:spacing w:after="0" w:line="142" w:lineRule="exact"/>
              <w:rPr>
                <w:sz w:val="20"/>
                <w:szCs w:val="20"/>
                <w:color w:val="auto"/>
              </w:rPr>
            </w:pPr>
            <w:r>
              <w:rPr>
                <w:rFonts w:ascii="Arial" w:cs="Arial" w:eastAsia="Arial" w:hAnsi="Arial"/>
                <w:sz w:val="14"/>
                <w:szCs w:val="14"/>
                <w:color w:val="auto"/>
              </w:rPr>
              <w:t>2014</w:t>
            </w:r>
          </w:p>
        </w:tc>
        <w:tc>
          <w:tcPr>
            <w:tcW w:w="90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10"/>
        </w:trPr>
        <w:tc>
          <w:tcPr>
            <w:tcW w:w="7220" w:type="dxa"/>
            <w:vAlign w:val="bottom"/>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60"/>
              <w:spacing w:after="0"/>
              <w:rPr>
                <w:sz w:val="20"/>
                <w:szCs w:val="20"/>
                <w:color w:val="auto"/>
              </w:rPr>
            </w:pPr>
            <w:r>
              <w:rPr>
                <w:rFonts w:ascii="Arial" w:cs="Arial" w:eastAsia="Arial" w:hAnsi="Arial"/>
                <w:sz w:val="18"/>
                <w:szCs w:val="18"/>
                <w:color w:val="auto"/>
              </w:rPr>
              <w:t>(663)</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(639)</w:t>
            </w:r>
          </w:p>
        </w:tc>
        <w:tc>
          <w:tcPr>
            <w:tcW w:w="980" w:type="dxa"/>
            <w:vAlign w:val="bottom"/>
            <w:shd w:val="clear" w:color="auto" w:fill="E5E5E5"/>
          </w:tcPr>
          <w:p>
            <w:pPr>
              <w:jc w:val="right"/>
              <w:ind w:right="60"/>
              <w:spacing w:after="0"/>
              <w:rPr>
                <w:sz w:val="20"/>
                <w:szCs w:val="20"/>
                <w:color w:val="auto"/>
              </w:rPr>
            </w:pPr>
            <w:r>
              <w:rPr>
                <w:rFonts w:ascii="Arial" w:cs="Arial" w:eastAsia="Arial" w:hAnsi="Arial"/>
                <w:sz w:val="18"/>
                <w:szCs w:val="18"/>
                <w:color w:val="auto"/>
              </w:rPr>
              <w:t>$(1,953)</w:t>
            </w:r>
          </w:p>
        </w:tc>
        <w:tc>
          <w:tcPr>
            <w:tcW w:w="900" w:type="dxa"/>
            <w:vAlign w:val="bottom"/>
            <w:shd w:val="clear" w:color="auto" w:fill="E5E5E5"/>
          </w:tcPr>
          <w:p>
            <w:pPr>
              <w:jc w:val="right"/>
              <w:ind w:right="76"/>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Investment income (loss), net</w:t>
            </w:r>
          </w:p>
        </w:tc>
        <w:tc>
          <w:tcPr>
            <w:tcW w:w="520" w:type="dxa"/>
            <w:vAlign w:val="bottom"/>
          </w:tcPr>
          <w:p>
            <w:pPr>
              <w:spacing w:after="0"/>
              <w:rPr>
                <w:sz w:val="18"/>
                <w:szCs w:val="18"/>
                <w:color w:val="auto"/>
              </w:rPr>
            </w:pPr>
          </w:p>
        </w:tc>
        <w:tc>
          <w:tcPr>
            <w:tcW w:w="740" w:type="dxa"/>
            <w:vAlign w:val="bottom"/>
          </w:tcPr>
          <w:p>
            <w:pPr>
              <w:jc w:val="right"/>
              <w:ind w:right="22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720" w:type="dxa"/>
            <w:vAlign w:val="bottom"/>
          </w:tcPr>
          <w:p>
            <w:pPr>
              <w:jc w:val="right"/>
              <w:ind w:right="216"/>
              <w:spacing w:after="0"/>
              <w:rPr>
                <w:sz w:val="20"/>
                <w:szCs w:val="20"/>
                <w:color w:val="auto"/>
              </w:rPr>
            </w:pPr>
            <w:r>
              <w:rPr>
                <w:rFonts w:ascii="Arial" w:cs="Arial" w:eastAsia="Arial" w:hAnsi="Arial"/>
                <w:sz w:val="18"/>
                <w:szCs w:val="18"/>
                <w:color w:val="auto"/>
              </w:rPr>
              <w:t>464</w:t>
            </w:r>
          </w:p>
        </w:tc>
        <w:tc>
          <w:tcPr>
            <w:tcW w:w="980" w:type="dxa"/>
            <w:vAlign w:val="bottom"/>
          </w:tcPr>
          <w:p>
            <w:pPr>
              <w:jc w:val="right"/>
              <w:ind w:right="120"/>
              <w:spacing w:after="0"/>
              <w:rPr>
                <w:sz w:val="20"/>
                <w:szCs w:val="20"/>
                <w:color w:val="auto"/>
              </w:rPr>
            </w:pPr>
            <w:r>
              <w:rPr>
                <w:rFonts w:ascii="Arial" w:cs="Arial" w:eastAsia="Arial" w:hAnsi="Arial"/>
                <w:sz w:val="18"/>
                <w:szCs w:val="18"/>
                <w:color w:val="auto"/>
              </w:rPr>
              <w:t>254</w:t>
            </w:r>
          </w:p>
        </w:tc>
        <w:tc>
          <w:tcPr>
            <w:tcW w:w="900" w:type="dxa"/>
            <w:vAlign w:val="bottom"/>
          </w:tcPr>
          <w:p>
            <w:pPr>
              <w:jc w:val="right"/>
              <w:ind w:right="136"/>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7220" w:type="dxa"/>
            <w:vAlign w:val="bottom"/>
            <w:shd w:val="clear" w:color="auto" w:fill="E5E5E5"/>
          </w:tcPr>
          <w:p>
            <w:pPr>
              <w:spacing w:after="0"/>
              <w:rPr>
                <w:sz w:val="20"/>
                <w:szCs w:val="20"/>
                <w:color w:val="auto"/>
              </w:rPr>
            </w:pPr>
            <w:r>
              <w:rPr>
                <w:rFonts w:ascii="Arial" w:cs="Arial" w:eastAsia="Arial" w:hAnsi="Arial"/>
                <w:sz w:val="18"/>
                <w:szCs w:val="18"/>
                <w:color w:val="auto"/>
              </w:rPr>
              <w:t>Equity in net income (losses) of investees, net</w:t>
            </w: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220"/>
              <w:spacing w:after="0"/>
              <w:rPr>
                <w:sz w:val="20"/>
                <w:szCs w:val="20"/>
                <w:color w:val="auto"/>
              </w:rPr>
            </w:pPr>
            <w:r>
              <w:rPr>
                <w:rFonts w:ascii="Arial" w:cs="Arial" w:eastAsia="Arial" w:hAnsi="Arial"/>
                <w:sz w:val="18"/>
                <w:szCs w:val="18"/>
                <w:color w:val="auto"/>
              </w:rPr>
              <w:t>33</w:t>
            </w: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(130)</w:t>
            </w:r>
          </w:p>
        </w:tc>
        <w:tc>
          <w:tcPr>
            <w:tcW w:w="980" w:type="dxa"/>
            <w:vAlign w:val="bottom"/>
            <w:shd w:val="clear" w:color="auto" w:fill="E5E5E5"/>
          </w:tcPr>
          <w:p>
            <w:pPr>
              <w:jc w:val="right"/>
              <w:ind w:right="120"/>
              <w:spacing w:after="0"/>
              <w:rPr>
                <w:sz w:val="20"/>
                <w:szCs w:val="20"/>
                <w:color w:val="auto"/>
              </w:rPr>
            </w:pPr>
            <w:r>
              <w:rPr>
                <w:rFonts w:ascii="Arial" w:cs="Arial" w:eastAsia="Arial" w:hAnsi="Arial"/>
                <w:sz w:val="18"/>
                <w:szCs w:val="18"/>
                <w:color w:val="auto"/>
              </w:rPr>
              <w:t>87</w:t>
            </w:r>
          </w:p>
        </w:tc>
        <w:tc>
          <w:tcPr>
            <w:tcW w:w="900" w:type="dxa"/>
            <w:vAlign w:val="bottom"/>
            <w:shd w:val="clear" w:color="auto" w:fill="E5E5E5"/>
          </w:tcPr>
          <w:p>
            <w:pPr>
              <w:jc w:val="right"/>
              <w:ind w:right="76"/>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net</w:t>
            </w: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color w:val="auto"/>
              </w:rPr>
              <w:t>(96)</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(310)</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color w:val="auto"/>
              </w:rPr>
              <w:t>(150)</w:t>
            </w: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7"/>
        </w:trPr>
        <w:tc>
          <w:tcPr>
            <w:tcW w:w="7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(705)</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b w:val="1"/>
                <w:bCs w:val="1"/>
                <w:color w:val="auto"/>
              </w:rPr>
              <w:t>(615)</w:t>
            </w:r>
          </w:p>
        </w:tc>
        <w:tc>
          <w:tcPr>
            <w:tcW w:w="980" w:type="dxa"/>
            <w:vAlign w:val="bottom"/>
            <w:tcBorders>
              <w:bottom w:val="single" w:sz="8" w:color="auto"/>
            </w:tcBorders>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$(1,762)</w:t>
            </w:r>
          </w:p>
        </w:tc>
        <w:tc>
          <w:tcPr>
            <w:tcW w:w="900" w:type="dxa"/>
            <w:vAlign w:val="bottom"/>
            <w:tcBorders>
              <w:bottom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b w:val="1"/>
                <w:bCs w:val="1"/>
                <w:color w:val="auto"/>
              </w:rPr>
              <w:t>$(1,755)</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changes in investment income (loss), net for the three and nine months ended September 30, 2014 compared to the same periods in 2013 were primarily due to the $443 million gain related to the sale of our investment in Clearwire Corporation recorded in the prior year periods. The components of investment income (loss), net for the three and nine months ended September 30, 2014 and 2013 are presented in a table in Note 6 to Comcast’s condensed consolidated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(Loss) of Investees, Net</w:t>
      </w:r>
    </w:p>
    <w:p>
      <w:pPr>
        <w:spacing w:after="0" w:line="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changes in equity in net income (loss) of investees, net for the three and nine months ended September 30, 2014 compared to the same periods in 2013 were primarily due to the $135 million of equity losses recorded in the prior year periods attributable to our investment in Hulu, LLC.</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changes in other income (expense), net for the three and nine months ended September 30, 2014 compared to the same periods in 2013 were primarily due to an impairment of $236 million of our equity method investment in, and loans to, a regional sports network based in Houston, Texas, which was recorded in the prior year periods. The remaining change in other income (expense), net for the nine months ended September 30, 2014 compared to the same period in 2013 was primarily due to a $108 million gain recognized in the prior year period related to our sale of wireless communications spectrum licenses and a $27 million favorable settlement of a contingency recognized in the current year period related to the AT&amp;T Broadband transaction.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Income Tax Expense</w:t>
      </w:r>
    </w:p>
    <w:p>
      <w:pPr>
        <w:spacing w:after="0" w:line="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Income tax expense for the three and nine months ended September 30, 2014 and 2013 reflects an effective income tax rate that differs from the federal statutory rate primarily due to adjustments associated with the accruals for uncertain tax positions. During the three months ended September 30, 2014, we reduced our accruals for uncertain tax positions and the related accrued interest on these tax positions that resulted in a decrease of $724 million in income tax expense, which excludes the benefits of uncertain tax positions for which we have been indemnified. See Note 10 for additional information on the changes in our accruals for uncertain tax positions and related interest on these tax positions. We expect our 2014 annual effective tax rate to be in the range of 31% to 33%, absent changes in tax laws or further changes in uncertain tax positions.</w:t>
      </w:r>
    </w:p>
    <w:p>
      <w:pPr>
        <w:spacing w:after="0" w:line="123" w:lineRule="exact"/>
        <w:rPr>
          <w:sz w:val="20"/>
          <w:szCs w:val="20"/>
          <w:color w:val="auto"/>
        </w:rPr>
      </w:pPr>
    </w:p>
    <w:p>
      <w:pPr>
        <w:ind w:right="60"/>
        <w:spacing w:after="0" w:line="261" w:lineRule="auto"/>
        <w:rPr>
          <w:sz w:val="20"/>
          <w:szCs w:val="20"/>
          <w:color w:val="auto"/>
        </w:rPr>
      </w:pPr>
      <w:r>
        <w:rPr>
          <w:rFonts w:ascii="Arial" w:cs="Arial" w:eastAsia="Arial" w:hAnsi="Arial"/>
          <w:sz w:val="22"/>
          <w:szCs w:val="22"/>
          <w:b w:val="1"/>
          <w:bCs w:val="1"/>
          <w:color w:val="auto"/>
        </w:rPr>
        <w:t>Consolidated Net (Income) Loss Attributable to Noncontrolling Interests and Redeemable Subsidiary Preferred Stock</w:t>
      </w:r>
    </w:p>
    <w:p>
      <w:pPr>
        <w:spacing w:after="0" w:line="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net (income) loss attributable to noncontrolling interests and redeemable subsidiary preferred stock for the nine months ended September 30, 2014 compared to the same period in 2013 was primarily due to our acquisition of General Electric Company’s remaining 49% common equity interest in NBCUniversal Holdings in March 2013.</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 We anticipate that we will continue to use a substantial portion of our cash flows to meet our debt repayment obligations, to fund our capital expenditures, to invest in business opportunities and to return capital to shareholders.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140" w:type="dxa"/>
            <w:vAlign w:val="bottom"/>
            <w:gridSpan w:val="3"/>
          </w:tcPr>
          <w:p>
            <w:pPr>
              <w:jc w:val="right"/>
              <w:ind w:right="334"/>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92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140" w:type="dxa"/>
            <w:vAlign w:val="bottom"/>
            <w:tcBorders>
              <w:bottom w:val="single" w:sz="8" w:color="auto"/>
            </w:tcBorders>
            <w:gridSpan w:val="3"/>
          </w:tcPr>
          <w:p>
            <w:pPr>
              <w:jc w:val="right"/>
              <w:ind w:right="494"/>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9280" w:type="dxa"/>
            <w:vAlign w:val="bottom"/>
            <w:tcBorders>
              <w:bottom w:val="single" w:sz="8" w:color="auto"/>
            </w:tcBorders>
            <w:vMerge w:val="continue"/>
          </w:tcPr>
          <w:p>
            <w:pPr>
              <w:spacing w:after="0"/>
              <w:rPr>
                <w:sz w:val="12"/>
                <w:szCs w:val="12"/>
                <w:color w:val="auto"/>
              </w:rPr>
            </w:pPr>
          </w:p>
        </w:tc>
        <w:tc>
          <w:tcPr>
            <w:tcW w:w="122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color w:val="auto"/>
              </w:rPr>
              <w:t>2014</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color w:val="auto"/>
                <w:w w:val="96"/>
              </w:rPr>
              <w:t>2013</w:t>
            </w:r>
          </w:p>
        </w:tc>
        <w:tc>
          <w:tcPr>
            <w:tcW w:w="0" w:type="dxa"/>
            <w:vAlign w:val="bottom"/>
          </w:tcPr>
          <w:p>
            <w:pPr>
              <w:spacing w:after="0"/>
              <w:rPr>
                <w:sz w:val="1"/>
                <w:szCs w:val="1"/>
                <w:color w:val="auto"/>
              </w:rPr>
            </w:pPr>
          </w:p>
        </w:tc>
      </w:tr>
      <w:tr>
        <w:trPr>
          <w:trHeight w:val="210"/>
        </w:trPr>
        <w:tc>
          <w:tcPr>
            <w:tcW w:w="92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122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$ 11,117</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9,916</w:t>
            </w:r>
          </w:p>
        </w:tc>
        <w:tc>
          <w:tcPr>
            <w:tcW w:w="0" w:type="dxa"/>
            <w:vAlign w:val="bottom"/>
          </w:tcPr>
          <w:p>
            <w:pPr>
              <w:spacing w:after="0"/>
              <w:rPr>
                <w:sz w:val="1"/>
                <w:szCs w:val="1"/>
                <w:color w:val="auto"/>
              </w:rPr>
            </w:pPr>
          </w:p>
        </w:tc>
      </w:tr>
      <w:tr>
        <w:trPr>
          <w:trHeight w:val="216"/>
        </w:trPr>
        <w:tc>
          <w:tcPr>
            <w:tcW w:w="9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122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5,929</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5,873</w:t>
            </w:r>
          </w:p>
        </w:tc>
        <w:tc>
          <w:tcPr>
            <w:tcW w:w="0" w:type="dxa"/>
            <w:vAlign w:val="bottom"/>
          </w:tcPr>
          <w:p>
            <w:pPr>
              <w:spacing w:after="0"/>
              <w:rPr>
                <w:sz w:val="1"/>
                <w:szCs w:val="1"/>
                <w:color w:val="auto"/>
              </w:rPr>
            </w:pPr>
          </w:p>
        </w:tc>
      </w:tr>
      <w:tr>
        <w:trPr>
          <w:trHeight w:val="210"/>
        </w:trPr>
        <w:tc>
          <w:tcPr>
            <w:tcW w:w="92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Operating income before depreciation and amortization</w:t>
            </w:r>
          </w:p>
        </w:tc>
        <w:tc>
          <w:tcPr>
            <w:tcW w:w="122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17,046</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83"/>
              </w:rPr>
              <w:t>15,789</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Noncash share-based compensation</w:t>
            </w:r>
          </w:p>
        </w:tc>
        <w:tc>
          <w:tcPr>
            <w:tcW w:w="1220" w:type="dxa"/>
            <w:vAlign w:val="bottom"/>
          </w:tcPr>
          <w:p>
            <w:pPr>
              <w:jc w:val="right"/>
              <w:ind w:right="117"/>
              <w:spacing w:after="0"/>
              <w:rPr>
                <w:sz w:val="20"/>
                <w:szCs w:val="20"/>
                <w:color w:val="auto"/>
              </w:rPr>
            </w:pPr>
            <w:r>
              <w:rPr>
                <w:rFonts w:ascii="Arial" w:cs="Arial" w:eastAsia="Arial" w:hAnsi="Arial"/>
                <w:sz w:val="18"/>
                <w:szCs w:val="18"/>
                <w:color w:val="auto"/>
              </w:rPr>
              <w:t>386</w:t>
            </w:r>
          </w:p>
        </w:tc>
        <w:tc>
          <w:tcPr>
            <w:tcW w:w="22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9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Changes in operating assets and liabilities</w:t>
            </w:r>
          </w:p>
        </w:tc>
        <w:tc>
          <w:tcPr>
            <w:tcW w:w="122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8"/>
                <w:szCs w:val="18"/>
                <w:color w:val="auto"/>
              </w:rPr>
              <w:t>(343)</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0"/>
        </w:trPr>
        <w:tc>
          <w:tcPr>
            <w:tcW w:w="9280" w:type="dxa"/>
            <w:vAlign w:val="bottom"/>
          </w:tcPr>
          <w:p>
            <w:pPr>
              <w:ind w:left="440"/>
              <w:spacing w:after="0"/>
              <w:rPr>
                <w:sz w:val="20"/>
                <w:szCs w:val="20"/>
                <w:color w:val="auto"/>
              </w:rPr>
            </w:pPr>
            <w:r>
              <w:rPr>
                <w:rFonts w:ascii="Arial" w:cs="Arial" w:eastAsia="Arial" w:hAnsi="Arial"/>
                <w:sz w:val="18"/>
                <w:szCs w:val="18"/>
                <w:color w:val="auto"/>
              </w:rPr>
              <w:t>Cash basis operating income</w:t>
            </w:r>
          </w:p>
        </w:tc>
        <w:tc>
          <w:tcPr>
            <w:tcW w:w="1220" w:type="dxa"/>
            <w:vAlign w:val="bottom"/>
          </w:tcPr>
          <w:p>
            <w:pPr>
              <w:jc w:val="right"/>
              <w:ind w:right="117"/>
              <w:spacing w:after="0"/>
              <w:rPr>
                <w:sz w:val="20"/>
                <w:szCs w:val="20"/>
                <w:color w:val="auto"/>
              </w:rPr>
            </w:pPr>
            <w:r>
              <w:rPr>
                <w:rFonts w:ascii="Arial" w:cs="Arial" w:eastAsia="Arial" w:hAnsi="Arial"/>
                <w:sz w:val="18"/>
                <w:szCs w:val="18"/>
                <w:color w:val="auto"/>
              </w:rPr>
              <w:t>17,089</w:t>
            </w:r>
          </w:p>
        </w:tc>
        <w:tc>
          <w:tcPr>
            <w:tcW w:w="22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w w:val="83"/>
              </w:rPr>
              <w:t>16,684</w:t>
            </w:r>
          </w:p>
        </w:tc>
        <w:tc>
          <w:tcPr>
            <w:tcW w:w="0" w:type="dxa"/>
            <w:vAlign w:val="bottom"/>
          </w:tcPr>
          <w:p>
            <w:pPr>
              <w:spacing w:after="0"/>
              <w:rPr>
                <w:sz w:val="1"/>
                <w:szCs w:val="1"/>
                <w:color w:val="auto"/>
              </w:rPr>
            </w:pPr>
          </w:p>
        </w:tc>
      </w:tr>
      <w:tr>
        <w:trPr>
          <w:trHeight w:val="216"/>
        </w:trPr>
        <w:tc>
          <w:tcPr>
            <w:tcW w:w="9280" w:type="dxa"/>
            <w:vAlign w:val="bottom"/>
            <w:shd w:val="clear" w:color="auto" w:fill="E5E5E5"/>
          </w:tcPr>
          <w:p>
            <w:pPr>
              <w:spacing w:after="0"/>
              <w:rPr>
                <w:sz w:val="20"/>
                <w:szCs w:val="20"/>
                <w:color w:val="auto"/>
              </w:rPr>
            </w:pPr>
            <w:r>
              <w:rPr>
                <w:rFonts w:ascii="Arial" w:cs="Arial" w:eastAsia="Arial" w:hAnsi="Arial"/>
                <w:sz w:val="18"/>
                <w:szCs w:val="18"/>
                <w:color w:val="auto"/>
              </w:rPr>
              <w:t>Payments of interest</w:t>
            </w:r>
          </w:p>
        </w:tc>
        <w:tc>
          <w:tcPr>
            <w:tcW w:w="122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(1,820)</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w w:val="91"/>
              </w:rPr>
              <w:t>(1,768)</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1220" w:type="dxa"/>
            <w:vAlign w:val="bottom"/>
          </w:tcPr>
          <w:p>
            <w:pPr>
              <w:jc w:val="right"/>
              <w:ind w:right="57"/>
              <w:spacing w:after="0"/>
              <w:rPr>
                <w:sz w:val="20"/>
                <w:szCs w:val="20"/>
                <w:color w:val="auto"/>
              </w:rPr>
            </w:pPr>
            <w:r>
              <w:rPr>
                <w:rFonts w:ascii="Arial" w:cs="Arial" w:eastAsia="Arial" w:hAnsi="Arial"/>
                <w:sz w:val="18"/>
                <w:szCs w:val="18"/>
                <w:color w:val="auto"/>
              </w:rPr>
              <w:t>(2,878)</w:t>
            </w:r>
          </w:p>
        </w:tc>
        <w:tc>
          <w:tcPr>
            <w:tcW w:w="220" w:type="dxa"/>
            <w:vAlign w:val="bottom"/>
          </w:tcPr>
          <w:p>
            <w:pPr>
              <w:spacing w:after="0"/>
              <w:rPr>
                <w:sz w:val="18"/>
                <w:szCs w:val="18"/>
                <w:color w:val="auto"/>
              </w:rPr>
            </w:pPr>
          </w:p>
        </w:tc>
        <w:tc>
          <w:tcPr>
            <w:tcW w:w="700" w:type="dxa"/>
            <w:vAlign w:val="bottom"/>
          </w:tcPr>
          <w:p>
            <w:pPr>
              <w:jc w:val="right"/>
              <w:ind w:right="74"/>
              <w:spacing w:after="0"/>
              <w:rPr>
                <w:sz w:val="20"/>
                <w:szCs w:val="20"/>
                <w:color w:val="auto"/>
              </w:rPr>
            </w:pPr>
            <w:r>
              <w:rPr>
                <w:rFonts w:ascii="Arial" w:cs="Arial" w:eastAsia="Arial" w:hAnsi="Arial"/>
                <w:sz w:val="18"/>
                <w:szCs w:val="18"/>
                <w:color w:val="auto"/>
                <w:w w:val="91"/>
              </w:rPr>
              <w:t>(3,180)</w:t>
            </w:r>
          </w:p>
        </w:tc>
        <w:tc>
          <w:tcPr>
            <w:tcW w:w="0" w:type="dxa"/>
            <w:vAlign w:val="bottom"/>
          </w:tcPr>
          <w:p>
            <w:pPr>
              <w:spacing w:after="0"/>
              <w:rPr>
                <w:sz w:val="1"/>
                <w:szCs w:val="1"/>
                <w:color w:val="auto"/>
              </w:rPr>
            </w:pPr>
          </w:p>
        </w:tc>
      </w:tr>
      <w:tr>
        <w:trPr>
          <w:trHeight w:val="216"/>
        </w:trPr>
        <w:tc>
          <w:tcPr>
            <w:tcW w:w="9280" w:type="dxa"/>
            <w:vAlign w:val="bottom"/>
            <w:shd w:val="clear" w:color="auto" w:fill="E5E5E5"/>
          </w:tcPr>
          <w:p>
            <w:pPr>
              <w:spacing w:after="0"/>
              <w:rPr>
                <w:sz w:val="20"/>
                <w:szCs w:val="20"/>
                <w:color w:val="auto"/>
              </w:rPr>
            </w:pPr>
            <w:r>
              <w:rPr>
                <w:rFonts w:ascii="Arial" w:cs="Arial" w:eastAsia="Arial" w:hAnsi="Arial"/>
                <w:sz w:val="18"/>
                <w:szCs w:val="18"/>
                <w:color w:val="auto"/>
              </w:rPr>
              <w:t>Excess tax benefits under share-based compensation</w:t>
            </w:r>
          </w:p>
        </w:tc>
        <w:tc>
          <w:tcPr>
            <w:tcW w:w="122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(240)</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9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151</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7"/>
        </w:trPr>
        <w:tc>
          <w:tcPr>
            <w:tcW w:w="9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2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b w:val="1"/>
                <w:bCs w:val="1"/>
                <w:color w:val="auto"/>
              </w:rPr>
              <w:t>$12,302</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b w:val="1"/>
                <w:bCs w:val="1"/>
                <w:color w:val="auto"/>
                <w:w w:val="83"/>
              </w:rPr>
              <w:t>11,679</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variance between changes in operating assets and liabilities for the nine months ended September 30, 2014 compared to the same period in 2013 was $926 million, of which approximately $900 million was related to the timing of film and television production and related costs, net of amortization. The remaining variance was primarily related to the recognition of deferred revenue associated with the broadcast of the 2014 Sochi Olympics in February 2014 offset by the timing of payments of our accounts payable.</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decrease in income tax payments for the nine months ended September 30, 2014 compared to the same period in 2013 was primarily due to lower tax payments in the first quarter of 2014 that related to 2013 compared to the prior year period. The decrease was also due to the settlement of tax disputes recorded in 2013 and a decrease in taxes on nonrecurring gains. The decreases were partially offset by higher taxable income from operations and the expiration of the economic stimulus legislation in 2014.</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Net cash used in investing activities for the nine months ended September 30, 2014 consisted primarily of cash paid for capital expenditures, intangible assets and acquisitions, which was partially offset by proceeds from the sale of investments. Capital expenditures increased for the nine months ended September 30, 2014 compared to the same period in 2013 primarily due to increased spending in our Cable Communications segment on customer premise equipment related to the deployment of our X1 platform and Cloud DVR technology, and our continued investment in network infrastructure to increase network capacity.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financing activities for the nine months ended September 30, 2014 consisted primarily of repayments of debt, repurchases of our common stock and dividend payments, which were partially offset by proceeds from new borrowings.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2014, we repaid at maturity $1 billion aggregate principal amount of 5.30% senior notes due 2014. In February 2014, we repaid $1.25 billion of borrowings outstanding under NBCUniversal Enterprise Inc.’s (“NBCUniversal Enterprise”) revolving credit facility with the proceeds from $990 million of borrowings under its new commercial paper program and cash on hand.</w:t>
      </w:r>
    </w:p>
    <w:p>
      <w:pPr>
        <w:spacing w:after="0" w:line="4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February 2014, we issued $1.2 billion aggregate principal amount of 3.60% senior notes due 2024 and $1 billion aggregate principal amount of 4.75% senior notes due 2044. The proceeds from this offering were used for working capital and general corporate purposes, including the repayment of a portion of our outstanding commercial paper and $900 million aggregate principal amount of our 2.10% senior notes due April 2014 at maturity.</w:t>
      </w:r>
    </w:p>
    <w:p>
      <w:pPr>
        <w:spacing w:after="0" w:line="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2014, we issued $1 billion aggregate principal amount of 3.375% senior notes due 2025 and $1 billion aggregate principal amount of 4.20% senior notes due 2034. The proceeds from this offering were used for working capital and general corporate purposes, which may, in the future, include the repayment of certain of our senior notes.</w:t>
      </w:r>
    </w:p>
    <w:p>
      <w:pPr>
        <w:spacing w:after="0" w:line="4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of our outstanding public notes and debentures, depending on various factors, such as market conditions.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We maintain significant availability under our lines of credit and our commercial paper programs to meet our short-term liquidity requirements.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2014, NBCUniversal Enterprise established a commercial paper program. The maximum borrowing capacity under this commercial paper program is $1.35 billion, and it is supported by NBCUniversal Enterprise’s existing $1.35 billion revolving credit facility due March 2018. The commercial paper program is fully and unconditionally guaranteed by us and the cable guarantors. The proceeds from NBCUniversal Enterprise’s issuance of commercial paper were used to repay $1.25 billion of borrowings outstanding under its revolving credit facility. As of September 30, 2014, NBCUniversal Enterprise had $910 million face amount of commercial paper outstanding.</w:t>
      </w:r>
    </w:p>
    <w:p>
      <w:pPr>
        <w:spacing w:after="0" w:line="4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As of September 30, 2014, amounts available under our consolidated revolving credit facilities, net of amounts outstanding under our commercial paper programs and undrawn letters of credit, totaled $6.4 billion, which included $440 million available under NBCUniversal Enterprise’s credit facility.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January 2014, our Board of Directors increased our share repurchase authorization to $7.5 billion, which does not have an expiration date. Under this authorization, we may repurchase shares in the open market or in private transactions. During the nine months ended September 30, 2014, we repurchased a total of 44 million shares of our Class A Special and Class A common stock for $2.25 billion. We expect to make $750 million more in repurchases during the remainder of 2014, subject to market conditions. In addition, because we and Time Warner Cable have received shareholder approval for the merger, we intend to repurchase an additional $2.5 billion of shares through the close of the Time Warner Cable merger in early 2015, subject to market conditions.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2014, our Board of Directors approved a 15% increase in our dividend to $0.90 per share on an annualized basis. In each of January, May and July 2014, our Board of Directors approved a quarterly dividend of $0.225 per share as part of our planned annual dividend. We expect to continue to pay quarterly dividends, although each dividend is subject to approval by our Board of Directors.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Dividends Declared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960" w:type="dxa"/>
            <w:vAlign w:val="bottom"/>
            <w:tcBorders>
              <w:bottom w:val="single" w:sz="8" w:color="auto"/>
            </w:tcBorders>
            <w:gridSpan w:val="2"/>
          </w:tcPr>
          <w:p>
            <w:pPr>
              <w:ind w:left="3140"/>
              <w:spacing w:after="0"/>
              <w:rPr>
                <w:sz w:val="20"/>
                <w:szCs w:val="20"/>
                <w:color w:val="auto"/>
              </w:rPr>
            </w:pPr>
            <w:r>
              <w:rPr>
                <w:rFonts w:ascii="Arial" w:cs="Arial" w:eastAsia="Arial" w:hAnsi="Arial"/>
                <w:sz w:val="14"/>
                <w:szCs w:val="14"/>
                <w:color w:val="auto"/>
              </w:rPr>
              <w:t>Amount</w:t>
            </w:r>
          </w:p>
        </w:tc>
        <w:tc>
          <w:tcPr>
            <w:tcW w:w="1400" w:type="dxa"/>
            <w:vAlign w:val="bottom"/>
            <w:tcBorders>
              <w:bottom w:val="single" w:sz="8" w:color="auto"/>
            </w:tcBorders>
          </w:tcPr>
          <w:p>
            <w:pPr>
              <w:jc w:val="center"/>
              <w:ind w:left="297"/>
              <w:spacing w:after="0"/>
              <w:rPr>
                <w:sz w:val="20"/>
                <w:szCs w:val="20"/>
                <w:color w:val="auto"/>
              </w:rPr>
            </w:pPr>
            <w:r>
              <w:rPr>
                <w:rFonts w:ascii="Arial" w:cs="Arial" w:eastAsia="Arial" w:hAnsi="Arial"/>
                <w:sz w:val="14"/>
                <w:szCs w:val="14"/>
                <w:color w:val="auto"/>
                <w:w w:val="89"/>
              </w:rPr>
              <w:t>Month of Payment</w:t>
            </w:r>
          </w:p>
        </w:tc>
      </w:tr>
      <w:tr>
        <w:trPr>
          <w:trHeight w:val="210"/>
        </w:trPr>
        <w:tc>
          <w:tcPr>
            <w:tcW w:w="6060" w:type="dxa"/>
            <w:vAlign w:val="bottom"/>
            <w:shd w:val="clear" w:color="auto" w:fill="E5E5E5"/>
          </w:tcPr>
          <w:p>
            <w:pPr>
              <w:spacing w:after="0"/>
              <w:rPr>
                <w:sz w:val="20"/>
                <w:szCs w:val="20"/>
                <w:color w:val="auto"/>
              </w:rPr>
            </w:pPr>
            <w:r>
              <w:rPr>
                <w:rFonts w:ascii="Arial" w:cs="Arial" w:eastAsia="Arial" w:hAnsi="Arial"/>
                <w:sz w:val="18"/>
                <w:szCs w:val="18"/>
                <w:color w:val="auto"/>
              </w:rPr>
              <w:t>Three months ended March 31, 2014</w:t>
            </w:r>
          </w:p>
        </w:tc>
        <w:tc>
          <w:tcPr>
            <w:tcW w:w="3280" w:type="dxa"/>
            <w:vAlign w:val="bottom"/>
            <w:shd w:val="clear" w:color="auto" w:fill="E5E5E5"/>
          </w:tcPr>
          <w:p>
            <w:pPr>
              <w:ind w:left="3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w w:val="99"/>
              </w:rPr>
              <w:t>585</w:t>
            </w:r>
          </w:p>
        </w:tc>
        <w:tc>
          <w:tcPr>
            <w:tcW w:w="1400" w:type="dxa"/>
            <w:vAlign w:val="bottom"/>
            <w:shd w:val="clear" w:color="auto" w:fill="E5E5E5"/>
          </w:tcPr>
          <w:p>
            <w:pPr>
              <w:jc w:val="center"/>
              <w:ind w:left="297"/>
              <w:spacing w:after="0"/>
              <w:rPr>
                <w:sz w:val="20"/>
                <w:szCs w:val="20"/>
                <w:color w:val="auto"/>
              </w:rPr>
            </w:pPr>
            <w:r>
              <w:rPr>
                <w:rFonts w:ascii="Arial" w:cs="Arial" w:eastAsia="Arial" w:hAnsi="Arial"/>
                <w:sz w:val="18"/>
                <w:szCs w:val="18"/>
                <w:color w:val="auto"/>
              </w:rPr>
              <w:t>April</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Three months ended June 30, 2014</w:t>
            </w:r>
          </w:p>
        </w:tc>
        <w:tc>
          <w:tcPr>
            <w:tcW w:w="3280" w:type="dxa"/>
            <w:vAlign w:val="bottom"/>
          </w:tcPr>
          <w:p>
            <w:pPr>
              <w:ind w:left="31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72"/>
              <w:spacing w:after="0"/>
              <w:rPr>
                <w:sz w:val="20"/>
                <w:szCs w:val="20"/>
                <w:color w:val="auto"/>
              </w:rPr>
            </w:pPr>
            <w:r>
              <w:rPr>
                <w:rFonts w:ascii="Arial" w:cs="Arial" w:eastAsia="Arial" w:hAnsi="Arial"/>
                <w:sz w:val="18"/>
                <w:szCs w:val="18"/>
                <w:color w:val="auto"/>
                <w:w w:val="99"/>
              </w:rPr>
              <w:t>583</w:t>
            </w:r>
          </w:p>
        </w:tc>
        <w:tc>
          <w:tcPr>
            <w:tcW w:w="1400" w:type="dxa"/>
            <w:vAlign w:val="bottom"/>
          </w:tcPr>
          <w:p>
            <w:pPr>
              <w:jc w:val="center"/>
              <w:ind w:left="297"/>
              <w:spacing w:after="0"/>
              <w:rPr>
                <w:sz w:val="20"/>
                <w:szCs w:val="20"/>
                <w:color w:val="auto"/>
              </w:rPr>
            </w:pPr>
            <w:r>
              <w:rPr>
                <w:rFonts w:ascii="Arial" w:cs="Arial" w:eastAsia="Arial" w:hAnsi="Arial"/>
                <w:sz w:val="18"/>
                <w:szCs w:val="18"/>
                <w:color w:val="auto"/>
                <w:w w:val="93"/>
              </w:rPr>
              <w:t>July</w:t>
            </w:r>
          </w:p>
        </w:tc>
      </w:tr>
      <w:tr>
        <w:trPr>
          <w:trHeight w:val="216"/>
        </w:trPr>
        <w:tc>
          <w:tcPr>
            <w:tcW w:w="60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Three months ended September 30, 2014</w:t>
            </w:r>
          </w:p>
        </w:tc>
        <w:tc>
          <w:tcPr>
            <w:tcW w:w="3280" w:type="dxa"/>
            <w:vAlign w:val="bottom"/>
            <w:tcBorders>
              <w:bottom w:val="single" w:sz="8" w:color="auto"/>
            </w:tcBorders>
            <w:shd w:val="clear" w:color="auto" w:fill="E5E5E5"/>
          </w:tcPr>
          <w:p>
            <w:pPr>
              <w:ind w:left="31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272"/>
              <w:spacing w:after="0"/>
              <w:rPr>
                <w:sz w:val="20"/>
                <w:szCs w:val="20"/>
                <w:color w:val="auto"/>
              </w:rPr>
            </w:pPr>
            <w:r>
              <w:rPr>
                <w:rFonts w:ascii="Arial" w:cs="Arial" w:eastAsia="Arial" w:hAnsi="Arial"/>
                <w:sz w:val="18"/>
                <w:szCs w:val="18"/>
                <w:color w:val="auto"/>
                <w:w w:val="99"/>
              </w:rPr>
              <w:t>580</w:t>
            </w:r>
          </w:p>
        </w:tc>
        <w:tc>
          <w:tcPr>
            <w:tcW w:w="1400" w:type="dxa"/>
            <w:vAlign w:val="bottom"/>
            <w:tcBorders>
              <w:bottom w:val="single" w:sz="8" w:color="auto"/>
            </w:tcBorders>
            <w:shd w:val="clear" w:color="auto" w:fill="E5E5E5"/>
          </w:tcPr>
          <w:p>
            <w:pPr>
              <w:jc w:val="center"/>
              <w:ind w:left="317"/>
              <w:spacing w:after="0"/>
              <w:rPr>
                <w:sz w:val="20"/>
                <w:szCs w:val="20"/>
                <w:color w:val="auto"/>
              </w:rPr>
            </w:pPr>
            <w:r>
              <w:rPr>
                <w:rFonts w:ascii="Arial" w:cs="Arial" w:eastAsia="Arial" w:hAnsi="Arial"/>
                <w:sz w:val="18"/>
                <w:szCs w:val="18"/>
                <w:color w:val="auto"/>
                <w:w w:val="87"/>
              </w:rPr>
              <w:t>October</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judgments and related estimates associated with the valuation and impairment testing of our cable franchise rights, accounting for income taxes, and accounting for film and television costs are critical in the preparation of our condensed consolidated financial statements. We performed our annual impairment testing of our cable franchise rights as of July 1, 2014 and no impairment charge was required.</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2013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See Note 2 to each of Comcast’s and NBCUniversal’s condensed consolidated financial statements for additional information related to recent accounting pronouncements.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evaluated the information required under this item that was disclosed in our 2013 Annual Report on Form 10-K and there have been no significant changes to this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Conclusions regarding disclosure controls and procedures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principal executive and principal financial officers, after evaluating the effectiveness of Comcast’s disclosure controls and procedures (as defined in Rules 13a-15(e) and 15d-15(e) of the Securities Exchange Act of 1934, as amended (the “Exchange Act”)) as of the end of the period covered by this report, have concluded that, based on the evaluation of these controls and procedures required by paragraph (b) of Exchange Act Rules 13a-15 or 15d-15, Comcast’s disclosure controls and procedures were effective.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Comcast’s internal control over financial reporting identified in connection with the evaluation required by paragraph (d) of Exchange Act Rules 13a-15 or 15d-15 that occurred during Comcast’s last fiscal quarter that have materially affected, or are reasonably likely to materially affect, Comcast’s internal control over financial reporting.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Conclusions regarding disclosure controls and procedures</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principal executive and principal financial officers, after evaluating the effectiveness of NBCUniversal’s disclosure controls and procedures (as defined in Rules 13a-15(e) and 15d-15(e) of the Exchange Act) as of the end of the period covered by this report, have concluded that, based on the evaluation of these controls and procedures required by paragraph (b) of Exchange Act Rules 13a-15 or 15d-15, NBCUniversal’s disclosure controls and procedures were effective.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NBCUniversal’s internal control over financial reporting identified in connection with the evaluation required by paragraph (d) of Exchange Act Rules 13a-15 or 15d-15 that occurred during NBCUniversal’s last fiscal quarter that have materially affected, or are reasonably likely to materially affect, NBCUniversal’s internal control over financial reporting.</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Refer to Note 12 to Comcast’s condensed consolidated financial statements included in this Quarterly Report on Form 10-Q for a discussion of recent developments related to our legal proceedings. There have been no material developments in the matter reported in our 2013 Annual Report on Form 10-K regarding the California Attorney General and the Alameda County, California District Attorney’s investigation of certain of our waste disposal policies, procedures and practices.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NBCUniversal Media, LLC is subject to legal proceedings and claims that arise in the ordinary course of its business. It does not expect the final disposition of any of these matters to have a material adverse effect on its results of operations, cash flows or financial condition, although any such matters could be time consuming and could injure its reputation.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2013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8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table below summarizes Comcast’s common stock repurchases under its Board-authorized share repurchase program during the three months ended September 30, 2014.</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9"/>
              </w:rPr>
              <w:t>Total Number of</w:t>
            </w:r>
          </w:p>
        </w:tc>
        <w:tc>
          <w:tcPr>
            <w:tcW w:w="360" w:type="dxa"/>
            <w:vAlign w:val="bottom"/>
          </w:tcPr>
          <w:p>
            <w:pPr>
              <w:spacing w:after="0"/>
              <w:rPr>
                <w:sz w:val="14"/>
                <w:szCs w:val="14"/>
                <w:color w:val="auto"/>
              </w:rPr>
            </w:pPr>
          </w:p>
        </w:tc>
        <w:tc>
          <w:tcPr>
            <w:tcW w:w="1160" w:type="dxa"/>
            <w:vAlign w:val="bottom"/>
          </w:tcPr>
          <w:p>
            <w:pPr>
              <w:jc w:val="center"/>
              <w:ind w:right="261"/>
              <w:spacing w:after="0"/>
              <w:rPr>
                <w:sz w:val="20"/>
                <w:szCs w:val="20"/>
                <w:color w:val="auto"/>
              </w:rPr>
            </w:pPr>
            <w:r>
              <w:rPr>
                <w:rFonts w:ascii="Arial" w:cs="Arial" w:eastAsia="Arial" w:hAnsi="Arial"/>
                <w:sz w:val="14"/>
                <w:szCs w:val="14"/>
                <w:color w:val="auto"/>
                <w:w w:val="92"/>
              </w:rPr>
              <w:t>Total Dollar</w:t>
            </w:r>
          </w:p>
        </w:tc>
        <w:tc>
          <w:tcPr>
            <w:tcW w:w="1500" w:type="dxa"/>
            <w:vAlign w:val="bottom"/>
          </w:tcPr>
          <w:p>
            <w:pPr>
              <w:jc w:val="center"/>
              <w:ind w:left="81"/>
              <w:spacing w:after="0"/>
              <w:rPr>
                <w:sz w:val="20"/>
                <w:szCs w:val="20"/>
                <w:color w:val="auto"/>
              </w:rPr>
            </w:pPr>
            <w:r>
              <w:rPr>
                <w:rFonts w:ascii="Arial" w:cs="Arial" w:eastAsia="Arial" w:hAnsi="Arial"/>
                <w:sz w:val="14"/>
                <w:szCs w:val="14"/>
                <w:color w:val="auto"/>
                <w:w w:val="92"/>
              </w:rPr>
              <w:t>Maximum Dollar</w:t>
            </w:r>
          </w:p>
        </w:tc>
      </w:tr>
      <w:tr>
        <w:trPr>
          <w:trHeight w:val="149"/>
        </w:trPr>
        <w:tc>
          <w:tcPr>
            <w:tcW w:w="3420" w:type="dxa"/>
            <w:vAlign w:val="bottom"/>
          </w:tcPr>
          <w:p>
            <w:pPr>
              <w:spacing w:after="0"/>
              <w:rPr>
                <w:sz w:val="12"/>
                <w:szCs w:val="12"/>
                <w:color w:val="auto"/>
              </w:rPr>
            </w:pPr>
          </w:p>
        </w:tc>
        <w:tc>
          <w:tcPr>
            <w:tcW w:w="2100" w:type="dxa"/>
            <w:vAlign w:val="bottom"/>
          </w:tcPr>
          <w:p>
            <w:pPr>
              <w:jc w:val="center"/>
              <w:ind w:left="940"/>
              <w:spacing w:after="0" w:line="149" w:lineRule="exact"/>
              <w:rPr>
                <w:sz w:val="20"/>
                <w:szCs w:val="20"/>
                <w:color w:val="auto"/>
              </w:rPr>
            </w:pPr>
            <w:r>
              <w:rPr>
                <w:rFonts w:ascii="Arial" w:cs="Arial" w:eastAsia="Arial" w:hAnsi="Arial"/>
                <w:sz w:val="14"/>
                <w:szCs w:val="14"/>
                <w:color w:val="auto"/>
                <w:w w:val="89"/>
              </w:rPr>
              <w:t>Total</w:t>
            </w:r>
          </w:p>
        </w:tc>
        <w:tc>
          <w:tcPr>
            <w:tcW w:w="1240" w:type="dxa"/>
            <w:vAlign w:val="bottom"/>
            <w:gridSpan w:val="2"/>
          </w:tcPr>
          <w:p>
            <w:pPr>
              <w:jc w:val="center"/>
              <w:ind w:left="34"/>
              <w:spacing w:after="0" w:line="149" w:lineRule="exact"/>
              <w:rPr>
                <w:sz w:val="20"/>
                <w:szCs w:val="20"/>
                <w:color w:val="auto"/>
              </w:rPr>
            </w:pPr>
            <w:r>
              <w:rPr>
                <w:rFonts w:ascii="Arial" w:cs="Arial" w:eastAsia="Arial" w:hAnsi="Arial"/>
                <w:sz w:val="14"/>
                <w:szCs w:val="14"/>
                <w:color w:val="auto"/>
                <w:w w:val="84"/>
              </w:rPr>
              <w:t>Average</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3"/>
              </w:rPr>
              <w:t>Shares Purchased</w:t>
            </w:r>
          </w:p>
        </w:tc>
        <w:tc>
          <w:tcPr>
            <w:tcW w:w="360" w:type="dxa"/>
            <w:vAlign w:val="bottom"/>
          </w:tcPr>
          <w:p>
            <w:pPr>
              <w:spacing w:after="0"/>
              <w:rPr>
                <w:sz w:val="12"/>
                <w:szCs w:val="12"/>
                <w:color w:val="auto"/>
              </w:rPr>
            </w:pPr>
          </w:p>
        </w:tc>
        <w:tc>
          <w:tcPr>
            <w:tcW w:w="1160" w:type="dxa"/>
            <w:vAlign w:val="bottom"/>
          </w:tcPr>
          <w:p>
            <w:pPr>
              <w:jc w:val="center"/>
              <w:ind w:right="281"/>
              <w:spacing w:after="0" w:line="149" w:lineRule="exact"/>
              <w:rPr>
                <w:sz w:val="20"/>
                <w:szCs w:val="20"/>
                <w:color w:val="auto"/>
              </w:rPr>
            </w:pPr>
            <w:r>
              <w:rPr>
                <w:rFonts w:ascii="Arial" w:cs="Arial" w:eastAsia="Arial" w:hAnsi="Arial"/>
                <w:sz w:val="14"/>
                <w:szCs w:val="14"/>
                <w:color w:val="auto"/>
                <w:w w:val="91"/>
              </w:rPr>
              <w:t>Amount</w:t>
            </w:r>
          </w:p>
        </w:tc>
        <w:tc>
          <w:tcPr>
            <w:tcW w:w="1500" w:type="dxa"/>
            <w:vAlign w:val="bottom"/>
          </w:tcPr>
          <w:p>
            <w:pPr>
              <w:jc w:val="center"/>
              <w:ind w:left="101"/>
              <w:spacing w:after="0" w:line="149" w:lineRule="exact"/>
              <w:rPr>
                <w:sz w:val="20"/>
                <w:szCs w:val="20"/>
                <w:color w:val="auto"/>
              </w:rPr>
            </w:pPr>
            <w:r>
              <w:rPr>
                <w:rFonts w:ascii="Arial" w:cs="Arial" w:eastAsia="Arial" w:hAnsi="Arial"/>
                <w:sz w:val="14"/>
                <w:szCs w:val="14"/>
                <w:color w:val="auto"/>
                <w:w w:val="85"/>
              </w:rPr>
              <w:t>Value of Shares That</w:t>
            </w:r>
          </w:p>
        </w:tc>
      </w:tr>
      <w:tr>
        <w:trPr>
          <w:trHeight w:val="149"/>
        </w:trPr>
        <w:tc>
          <w:tcPr>
            <w:tcW w:w="3420" w:type="dxa"/>
            <w:vAlign w:val="bottom"/>
          </w:tcPr>
          <w:p>
            <w:pPr>
              <w:spacing w:after="0"/>
              <w:rPr>
                <w:sz w:val="12"/>
                <w:szCs w:val="12"/>
                <w:color w:val="auto"/>
              </w:rPr>
            </w:pPr>
          </w:p>
        </w:tc>
        <w:tc>
          <w:tcPr>
            <w:tcW w:w="2100" w:type="dxa"/>
            <w:vAlign w:val="bottom"/>
          </w:tcPr>
          <w:p>
            <w:pPr>
              <w:jc w:val="center"/>
              <w:ind w:left="960"/>
              <w:spacing w:after="0" w:line="149" w:lineRule="exact"/>
              <w:rPr>
                <w:sz w:val="20"/>
                <w:szCs w:val="20"/>
                <w:color w:val="auto"/>
              </w:rPr>
            </w:pPr>
            <w:r>
              <w:rPr>
                <w:rFonts w:ascii="Arial" w:cs="Arial" w:eastAsia="Arial" w:hAnsi="Arial"/>
                <w:sz w:val="14"/>
                <w:szCs w:val="14"/>
                <w:color w:val="auto"/>
                <w:w w:val="88"/>
              </w:rPr>
              <w:t>Number of</w:t>
            </w:r>
          </w:p>
        </w:tc>
        <w:tc>
          <w:tcPr>
            <w:tcW w:w="520" w:type="dxa"/>
            <w:vAlign w:val="bottom"/>
          </w:tcPr>
          <w:p>
            <w:pPr>
              <w:spacing w:after="0"/>
              <w:rPr>
                <w:sz w:val="12"/>
                <w:szCs w:val="12"/>
                <w:color w:val="auto"/>
              </w:rPr>
            </w:pPr>
          </w:p>
        </w:tc>
        <w:tc>
          <w:tcPr>
            <w:tcW w:w="720" w:type="dxa"/>
            <w:vAlign w:val="bottom"/>
          </w:tcPr>
          <w:p>
            <w:pPr>
              <w:jc w:val="center"/>
              <w:ind w:right="318"/>
              <w:spacing w:after="0" w:line="149" w:lineRule="exact"/>
              <w:rPr>
                <w:sz w:val="20"/>
                <w:szCs w:val="20"/>
                <w:color w:val="auto"/>
              </w:rPr>
            </w:pPr>
            <w:r>
              <w:rPr>
                <w:rFonts w:ascii="Arial" w:cs="Arial" w:eastAsia="Arial" w:hAnsi="Arial"/>
                <w:sz w:val="14"/>
                <w:szCs w:val="14"/>
                <w:color w:val="auto"/>
                <w:w w:val="87"/>
              </w:rPr>
              <w:t>Price</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9"/>
              </w:rPr>
              <w:t>as Part of Publicly</w:t>
            </w:r>
          </w:p>
        </w:tc>
        <w:tc>
          <w:tcPr>
            <w:tcW w:w="360" w:type="dxa"/>
            <w:vAlign w:val="bottom"/>
          </w:tcPr>
          <w:p>
            <w:pPr>
              <w:spacing w:after="0"/>
              <w:rPr>
                <w:sz w:val="12"/>
                <w:szCs w:val="12"/>
                <w:color w:val="auto"/>
              </w:rPr>
            </w:pPr>
          </w:p>
        </w:tc>
        <w:tc>
          <w:tcPr>
            <w:tcW w:w="1160" w:type="dxa"/>
            <w:vAlign w:val="bottom"/>
          </w:tcPr>
          <w:p>
            <w:pPr>
              <w:jc w:val="center"/>
              <w:ind w:right="281"/>
              <w:spacing w:after="0" w:line="149" w:lineRule="exact"/>
              <w:rPr>
                <w:sz w:val="20"/>
                <w:szCs w:val="20"/>
                <w:color w:val="auto"/>
              </w:rPr>
            </w:pPr>
            <w:r>
              <w:rPr>
                <w:rFonts w:ascii="Arial" w:cs="Arial" w:eastAsia="Arial" w:hAnsi="Arial"/>
                <w:sz w:val="14"/>
                <w:szCs w:val="14"/>
                <w:color w:val="auto"/>
                <w:w w:val="83"/>
              </w:rPr>
              <w:t>Purchased</w:t>
            </w:r>
          </w:p>
        </w:tc>
        <w:tc>
          <w:tcPr>
            <w:tcW w:w="1500" w:type="dxa"/>
            <w:vAlign w:val="bottom"/>
          </w:tcPr>
          <w:p>
            <w:pPr>
              <w:jc w:val="center"/>
              <w:ind w:left="101"/>
              <w:spacing w:after="0" w:line="149" w:lineRule="exact"/>
              <w:rPr>
                <w:sz w:val="20"/>
                <w:szCs w:val="20"/>
                <w:color w:val="auto"/>
              </w:rPr>
            </w:pPr>
            <w:r>
              <w:rPr>
                <w:rFonts w:ascii="Arial" w:cs="Arial" w:eastAsia="Arial" w:hAnsi="Arial"/>
                <w:sz w:val="14"/>
                <w:szCs w:val="14"/>
                <w:color w:val="auto"/>
                <w:w w:val="88"/>
              </w:rPr>
              <w:t>May Yet Be</w:t>
            </w:r>
          </w:p>
        </w:tc>
      </w:tr>
      <w:tr>
        <w:trPr>
          <w:trHeight w:val="132"/>
        </w:trPr>
        <w:tc>
          <w:tcPr>
            <w:tcW w:w="3420" w:type="dxa"/>
            <w:vAlign w:val="bottom"/>
          </w:tcPr>
          <w:p>
            <w:pPr>
              <w:spacing w:after="0"/>
              <w:rPr>
                <w:sz w:val="11"/>
                <w:szCs w:val="11"/>
                <w:color w:val="auto"/>
              </w:rPr>
            </w:pPr>
          </w:p>
        </w:tc>
        <w:tc>
          <w:tcPr>
            <w:tcW w:w="2100" w:type="dxa"/>
            <w:vAlign w:val="bottom"/>
          </w:tcPr>
          <w:p>
            <w:pPr>
              <w:jc w:val="center"/>
              <w:ind w:left="940"/>
              <w:spacing w:after="0" w:line="133" w:lineRule="exact"/>
              <w:rPr>
                <w:sz w:val="20"/>
                <w:szCs w:val="20"/>
                <w:color w:val="auto"/>
              </w:rPr>
            </w:pPr>
            <w:r>
              <w:rPr>
                <w:rFonts w:ascii="Arial" w:cs="Arial" w:eastAsia="Arial" w:hAnsi="Arial"/>
                <w:sz w:val="14"/>
                <w:szCs w:val="14"/>
                <w:color w:val="auto"/>
                <w:w w:val="81"/>
              </w:rPr>
              <w:t>Shares</w:t>
            </w:r>
          </w:p>
        </w:tc>
        <w:tc>
          <w:tcPr>
            <w:tcW w:w="520" w:type="dxa"/>
            <w:vAlign w:val="bottom"/>
          </w:tcPr>
          <w:p>
            <w:pPr>
              <w:spacing w:after="0"/>
              <w:rPr>
                <w:sz w:val="11"/>
                <w:szCs w:val="11"/>
                <w:color w:val="auto"/>
              </w:rPr>
            </w:pPr>
          </w:p>
        </w:tc>
        <w:tc>
          <w:tcPr>
            <w:tcW w:w="720" w:type="dxa"/>
            <w:vAlign w:val="bottom"/>
          </w:tcPr>
          <w:p>
            <w:pPr>
              <w:jc w:val="center"/>
              <w:ind w:right="298"/>
              <w:spacing w:after="0" w:line="133" w:lineRule="exact"/>
              <w:rPr>
                <w:sz w:val="20"/>
                <w:szCs w:val="20"/>
                <w:color w:val="auto"/>
              </w:rPr>
            </w:pPr>
            <w:r>
              <w:rPr>
                <w:rFonts w:ascii="Arial" w:cs="Arial" w:eastAsia="Arial" w:hAnsi="Arial"/>
                <w:sz w:val="14"/>
                <w:szCs w:val="14"/>
                <w:color w:val="auto"/>
                <w:w w:val="82"/>
              </w:rPr>
              <w:t>Per</w:t>
            </w:r>
          </w:p>
        </w:tc>
        <w:tc>
          <w:tcPr>
            <w:tcW w:w="1640" w:type="dxa"/>
            <w:vAlign w:val="bottom"/>
          </w:tcPr>
          <w:p>
            <w:pPr>
              <w:jc w:val="center"/>
              <w:spacing w:after="0" w:line="133" w:lineRule="exact"/>
              <w:rPr>
                <w:sz w:val="20"/>
                <w:szCs w:val="20"/>
                <w:color w:val="auto"/>
              </w:rPr>
            </w:pPr>
            <w:r>
              <w:rPr>
                <w:rFonts w:ascii="Arial" w:cs="Arial" w:eastAsia="Arial" w:hAnsi="Arial"/>
                <w:sz w:val="14"/>
                <w:szCs w:val="14"/>
                <w:color w:val="auto"/>
                <w:w w:val="87"/>
              </w:rPr>
              <w:t>Announced</w:t>
            </w:r>
          </w:p>
        </w:tc>
        <w:tc>
          <w:tcPr>
            <w:tcW w:w="360" w:type="dxa"/>
            <w:vAlign w:val="bottom"/>
          </w:tcPr>
          <w:p>
            <w:pPr>
              <w:spacing w:after="0"/>
              <w:rPr>
                <w:sz w:val="11"/>
                <w:szCs w:val="11"/>
                <w:color w:val="auto"/>
              </w:rPr>
            </w:pPr>
          </w:p>
        </w:tc>
        <w:tc>
          <w:tcPr>
            <w:tcW w:w="1160" w:type="dxa"/>
            <w:vAlign w:val="bottom"/>
          </w:tcPr>
          <w:p>
            <w:pPr>
              <w:jc w:val="center"/>
              <w:ind w:right="261"/>
              <w:spacing w:after="0" w:line="133" w:lineRule="exact"/>
              <w:rPr>
                <w:sz w:val="20"/>
                <w:szCs w:val="20"/>
                <w:color w:val="auto"/>
              </w:rPr>
            </w:pPr>
            <w:r>
              <w:rPr>
                <w:rFonts w:ascii="Arial" w:cs="Arial" w:eastAsia="Arial" w:hAnsi="Arial"/>
                <w:sz w:val="14"/>
                <w:szCs w:val="14"/>
                <w:color w:val="auto"/>
                <w:w w:val="87"/>
              </w:rPr>
              <w:t>Under the</w:t>
            </w:r>
          </w:p>
        </w:tc>
        <w:tc>
          <w:tcPr>
            <w:tcW w:w="1500" w:type="dxa"/>
            <w:vAlign w:val="bottom"/>
          </w:tcPr>
          <w:p>
            <w:pPr>
              <w:jc w:val="center"/>
              <w:ind w:left="101"/>
              <w:spacing w:after="0" w:line="133" w:lineRule="exact"/>
              <w:rPr>
                <w:sz w:val="20"/>
                <w:szCs w:val="20"/>
                <w:color w:val="auto"/>
              </w:rPr>
            </w:pPr>
            <w:r>
              <w:rPr>
                <w:rFonts w:ascii="Arial" w:cs="Arial" w:eastAsia="Arial" w:hAnsi="Arial"/>
                <w:sz w:val="14"/>
                <w:szCs w:val="14"/>
                <w:color w:val="auto"/>
                <w:w w:val="84"/>
              </w:rPr>
              <w:t>Purchased Under the</w:t>
            </w:r>
          </w:p>
        </w:tc>
      </w:tr>
      <w:tr>
        <w:trPr>
          <w:trHeight w:val="176"/>
        </w:trPr>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Period</w:t>
            </w:r>
          </w:p>
        </w:tc>
        <w:tc>
          <w:tcPr>
            <w:tcW w:w="2100" w:type="dxa"/>
            <w:vAlign w:val="bottom"/>
            <w:tcBorders>
              <w:bottom w:val="single" w:sz="8" w:color="auto"/>
            </w:tcBorders>
          </w:tcPr>
          <w:p>
            <w:pPr>
              <w:jc w:val="center"/>
              <w:ind w:left="940"/>
              <w:spacing w:after="0"/>
              <w:rPr>
                <w:sz w:val="20"/>
                <w:szCs w:val="20"/>
                <w:color w:val="auto"/>
              </w:rPr>
            </w:pPr>
            <w:r>
              <w:rPr>
                <w:rFonts w:ascii="Arial" w:cs="Arial" w:eastAsia="Arial" w:hAnsi="Arial"/>
                <w:sz w:val="14"/>
                <w:szCs w:val="14"/>
                <w:color w:val="auto"/>
                <w:w w:val="83"/>
              </w:rPr>
              <w:t>Purchased</w:t>
            </w:r>
          </w:p>
        </w:tc>
        <w:tc>
          <w:tcPr>
            <w:tcW w:w="5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18"/>
              <w:spacing w:after="0"/>
              <w:rPr>
                <w:sz w:val="20"/>
                <w:szCs w:val="20"/>
                <w:color w:val="auto"/>
              </w:rPr>
            </w:pPr>
            <w:r>
              <w:rPr>
                <w:rFonts w:ascii="Arial" w:cs="Arial" w:eastAsia="Arial" w:hAnsi="Arial"/>
                <w:sz w:val="14"/>
                <w:szCs w:val="14"/>
                <w:color w:val="auto"/>
                <w:w w:val="85"/>
              </w:rPr>
              <w:t>Share</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Authorization</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81"/>
              <w:spacing w:after="0"/>
              <w:rPr>
                <w:sz w:val="20"/>
                <w:szCs w:val="20"/>
                <w:color w:val="auto"/>
              </w:rPr>
            </w:pPr>
            <w:r>
              <w:rPr>
                <w:rFonts w:ascii="Arial" w:cs="Arial" w:eastAsia="Arial" w:hAnsi="Arial"/>
                <w:sz w:val="14"/>
                <w:szCs w:val="14"/>
                <w:color w:val="auto"/>
                <w:w w:val="92"/>
              </w:rPr>
              <w:t>Authorization</w:t>
            </w:r>
          </w:p>
        </w:tc>
        <w:tc>
          <w:tcPr>
            <w:tcW w:w="1500" w:type="dxa"/>
            <w:vAlign w:val="bottom"/>
            <w:tcBorders>
              <w:bottom w:val="single" w:sz="8" w:color="auto"/>
            </w:tcBorders>
          </w:tcPr>
          <w:p>
            <w:pPr>
              <w:jc w:val="center"/>
              <w:ind w:left="101"/>
              <w:spacing w:after="0" w:line="176" w:lineRule="exact"/>
              <w:rPr>
                <w:sz w:val="20"/>
                <w:szCs w:val="20"/>
                <w:color w:val="auto"/>
              </w:rPr>
            </w:pPr>
            <w:r>
              <w:rPr>
                <w:rFonts w:ascii="Arial" w:cs="Arial" w:eastAsia="Arial" w:hAnsi="Arial"/>
                <w:sz w:val="13"/>
                <w:szCs w:val="13"/>
                <w:color w:val="auto"/>
                <w:w w:val="95"/>
              </w:rPr>
              <w:t>Authorization</w:t>
            </w:r>
            <w:r>
              <w:rPr>
                <w:rFonts w:ascii="Arial" w:cs="Arial" w:eastAsia="Arial" w:hAnsi="Arial"/>
                <w:sz w:val="20"/>
                <w:szCs w:val="20"/>
                <w:color w:val="auto"/>
                <w:w w:val="95"/>
                <w:vertAlign w:val="superscript"/>
              </w:rPr>
              <w:t>(a)</w:t>
            </w:r>
          </w:p>
        </w:tc>
      </w:tr>
      <w:tr>
        <w:trPr>
          <w:trHeight w:val="210"/>
        </w:trPr>
        <w:tc>
          <w:tcPr>
            <w:tcW w:w="3420" w:type="dxa"/>
            <w:vAlign w:val="bottom"/>
            <w:shd w:val="clear" w:color="auto" w:fill="E5E5E5"/>
          </w:tcPr>
          <w:p>
            <w:pPr>
              <w:spacing w:after="0"/>
              <w:rPr>
                <w:sz w:val="20"/>
                <w:szCs w:val="20"/>
                <w:color w:val="auto"/>
              </w:rPr>
            </w:pPr>
            <w:r>
              <w:rPr>
                <w:rFonts w:ascii="Arial" w:cs="Arial" w:eastAsia="Arial" w:hAnsi="Arial"/>
                <w:sz w:val="18"/>
                <w:szCs w:val="18"/>
                <w:color w:val="auto"/>
              </w:rPr>
              <w:t>July 1-31, 2014</w:t>
            </w:r>
          </w:p>
        </w:tc>
        <w:tc>
          <w:tcPr>
            <w:tcW w:w="21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6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160" w:type="dxa"/>
            <w:vAlign w:val="bottom"/>
            <w:shd w:val="clear" w:color="auto" w:fill="E5E5E5"/>
          </w:tcPr>
          <w:p>
            <w:pPr>
              <w:spacing w:after="0"/>
              <w:rPr>
                <w:sz w:val="18"/>
                <w:szCs w:val="18"/>
                <w:color w:val="auto"/>
              </w:rPr>
            </w:pPr>
          </w:p>
        </w:tc>
        <w:tc>
          <w:tcPr>
            <w:tcW w:w="1500" w:type="dxa"/>
            <w:vAlign w:val="bottom"/>
            <w:shd w:val="clear" w:color="auto" w:fill="E5E5E5"/>
          </w:tcPr>
          <w:p>
            <w:pPr>
              <w:spacing w:after="0"/>
              <w:rPr>
                <w:sz w:val="18"/>
                <w:szCs w:val="18"/>
                <w:color w:val="auto"/>
              </w:rPr>
            </w:pPr>
          </w:p>
        </w:tc>
      </w:tr>
      <w:tr>
        <w:trPr>
          <w:trHeight w:val="216"/>
        </w:trPr>
        <w:tc>
          <w:tcPr>
            <w:tcW w:w="3420" w:type="dxa"/>
            <w:vAlign w:val="bottom"/>
          </w:tcPr>
          <w:p>
            <w:pPr>
              <w:ind w:left="440"/>
              <w:spacing w:after="0"/>
              <w:rPr>
                <w:sz w:val="20"/>
                <w:szCs w:val="20"/>
                <w:color w:val="auto"/>
              </w:rPr>
            </w:pPr>
            <w:r>
              <w:rPr>
                <w:rFonts w:ascii="Arial" w:cs="Arial" w:eastAsia="Arial" w:hAnsi="Arial"/>
                <w:sz w:val="18"/>
                <w:szCs w:val="18"/>
                <w:color w:val="auto"/>
              </w:rPr>
              <w:t>Comcast Class A</w:t>
            </w:r>
          </w:p>
        </w:tc>
        <w:tc>
          <w:tcPr>
            <w:tcW w:w="21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8"/>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81"/>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81"/>
              <w:spacing w:after="0"/>
              <w:rPr>
                <w:sz w:val="20"/>
                <w:szCs w:val="20"/>
                <w:color w:val="auto"/>
              </w:rPr>
            </w:pPr>
            <w:r>
              <w:rPr>
                <w:rFonts w:ascii="Arial" w:cs="Arial" w:eastAsia="Arial" w:hAnsi="Arial"/>
                <w:sz w:val="18"/>
                <w:szCs w:val="18"/>
                <w:color w:val="auto"/>
              </w:rPr>
              <w:t>—</w:t>
            </w:r>
          </w:p>
        </w:tc>
        <w:tc>
          <w:tcPr>
            <w:tcW w:w="1500" w:type="dxa"/>
            <w:vAlign w:val="bottom"/>
          </w:tcPr>
          <w:p>
            <w:pPr>
              <w:jc w:val="center"/>
              <w:ind w:left="101"/>
              <w:spacing w:after="0"/>
              <w:rPr>
                <w:sz w:val="20"/>
                <w:szCs w:val="20"/>
                <w:color w:val="auto"/>
              </w:rPr>
            </w:pPr>
            <w:r>
              <w:rPr>
                <w:rFonts w:ascii="Arial" w:cs="Arial" w:eastAsia="Arial" w:hAnsi="Arial"/>
                <w:sz w:val="18"/>
                <w:szCs w:val="18"/>
                <w:color w:val="auto"/>
                <w:w w:val="86"/>
              </w:rPr>
              <w:t>$ 6,000,000,000</w:t>
            </w:r>
          </w:p>
        </w:tc>
      </w:tr>
      <w:tr>
        <w:trPr>
          <w:trHeight w:val="216"/>
        </w:trPr>
        <w:tc>
          <w:tcPr>
            <w:tcW w:w="34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Comcast Class A Special</w:t>
            </w:r>
          </w:p>
        </w:tc>
        <w:tc>
          <w:tcPr>
            <w:tcW w:w="2100" w:type="dxa"/>
            <w:vAlign w:val="bottom"/>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18"/>
              <w:spacing w:after="0"/>
              <w:rPr>
                <w:sz w:val="20"/>
                <w:szCs w:val="20"/>
                <w:color w:val="auto"/>
              </w:rPr>
            </w:pPr>
            <w:r>
              <w:rPr>
                <w:rFonts w:ascii="Arial" w:cs="Arial" w:eastAsia="Arial" w:hAnsi="Arial"/>
                <w:sz w:val="18"/>
                <w:szCs w:val="18"/>
                <w:color w:val="auto"/>
              </w:rPr>
              <w:t>—</w:t>
            </w:r>
          </w:p>
        </w:tc>
        <w:tc>
          <w:tcPr>
            <w:tcW w:w="1640" w:type="dxa"/>
            <w:vAlign w:val="bottom"/>
            <w:shd w:val="clear" w:color="auto" w:fill="E5E5E5"/>
          </w:tcPr>
          <w:p>
            <w:pPr>
              <w:jc w:val="right"/>
              <w:ind w:right="181"/>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jc w:val="right"/>
              <w:ind w:right="181"/>
              <w:spacing w:after="0"/>
              <w:rPr>
                <w:sz w:val="20"/>
                <w:szCs w:val="20"/>
                <w:color w:val="auto"/>
              </w:rPr>
            </w:pPr>
            <w:r>
              <w:rPr>
                <w:rFonts w:ascii="Arial" w:cs="Arial" w:eastAsia="Arial" w:hAnsi="Arial"/>
                <w:sz w:val="18"/>
                <w:szCs w:val="18"/>
                <w:color w:val="auto"/>
              </w:rPr>
              <w:t>—</w:t>
            </w:r>
          </w:p>
        </w:tc>
        <w:tc>
          <w:tcPr>
            <w:tcW w:w="1500" w:type="dxa"/>
            <w:vAlign w:val="bottom"/>
            <w:shd w:val="clear" w:color="auto" w:fill="E5E5E5"/>
          </w:tcPr>
          <w:p>
            <w:pPr>
              <w:jc w:val="center"/>
              <w:ind w:left="101"/>
              <w:spacing w:after="0"/>
              <w:rPr>
                <w:sz w:val="20"/>
                <w:szCs w:val="20"/>
                <w:color w:val="auto"/>
              </w:rPr>
            </w:pPr>
            <w:r>
              <w:rPr>
                <w:rFonts w:ascii="Arial" w:cs="Arial" w:eastAsia="Arial" w:hAnsi="Arial"/>
                <w:sz w:val="18"/>
                <w:szCs w:val="18"/>
                <w:color w:val="auto"/>
                <w:w w:val="86"/>
              </w:rPr>
              <w:t>$ 6,000,000,000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August 1-31, 2014</w:t>
            </w:r>
          </w:p>
        </w:tc>
        <w:tc>
          <w:tcPr>
            <w:tcW w:w="2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34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Comcast Class A</w:t>
            </w:r>
          </w:p>
        </w:tc>
        <w:tc>
          <w:tcPr>
            <w:tcW w:w="2100" w:type="dxa"/>
            <w:vAlign w:val="bottom"/>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18"/>
              <w:spacing w:after="0"/>
              <w:rPr>
                <w:sz w:val="20"/>
                <w:szCs w:val="20"/>
                <w:color w:val="auto"/>
              </w:rPr>
            </w:pPr>
            <w:r>
              <w:rPr>
                <w:rFonts w:ascii="Arial" w:cs="Arial" w:eastAsia="Arial" w:hAnsi="Arial"/>
                <w:sz w:val="18"/>
                <w:szCs w:val="18"/>
                <w:color w:val="auto"/>
              </w:rPr>
              <w:t>—</w:t>
            </w:r>
          </w:p>
        </w:tc>
        <w:tc>
          <w:tcPr>
            <w:tcW w:w="1640" w:type="dxa"/>
            <w:vAlign w:val="bottom"/>
            <w:shd w:val="clear" w:color="auto" w:fill="E5E5E5"/>
          </w:tcPr>
          <w:p>
            <w:pPr>
              <w:jc w:val="right"/>
              <w:ind w:right="181"/>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jc w:val="right"/>
              <w:ind w:right="181"/>
              <w:spacing w:after="0"/>
              <w:rPr>
                <w:sz w:val="20"/>
                <w:szCs w:val="20"/>
                <w:color w:val="auto"/>
              </w:rPr>
            </w:pPr>
            <w:r>
              <w:rPr>
                <w:rFonts w:ascii="Arial" w:cs="Arial" w:eastAsia="Arial" w:hAnsi="Arial"/>
                <w:sz w:val="18"/>
                <w:szCs w:val="18"/>
                <w:color w:val="auto"/>
              </w:rPr>
              <w:t>—</w:t>
            </w:r>
          </w:p>
        </w:tc>
        <w:tc>
          <w:tcPr>
            <w:tcW w:w="1500" w:type="dxa"/>
            <w:vAlign w:val="bottom"/>
            <w:shd w:val="clear" w:color="auto" w:fill="E5E5E5"/>
          </w:tcPr>
          <w:p>
            <w:pPr>
              <w:jc w:val="center"/>
              <w:ind w:left="101"/>
              <w:spacing w:after="0"/>
              <w:rPr>
                <w:sz w:val="20"/>
                <w:szCs w:val="20"/>
                <w:color w:val="auto"/>
              </w:rPr>
            </w:pPr>
            <w:r>
              <w:rPr>
                <w:rFonts w:ascii="Arial" w:cs="Arial" w:eastAsia="Arial" w:hAnsi="Arial"/>
                <w:sz w:val="18"/>
                <w:szCs w:val="18"/>
                <w:color w:val="auto"/>
                <w:w w:val="86"/>
              </w:rPr>
              <w:t>$ 6,000,000,000</w:t>
            </w:r>
          </w:p>
        </w:tc>
      </w:tr>
      <w:tr>
        <w:trPr>
          <w:trHeight w:val="216"/>
        </w:trPr>
        <w:tc>
          <w:tcPr>
            <w:tcW w:w="3420" w:type="dxa"/>
            <w:vAlign w:val="bottom"/>
          </w:tcPr>
          <w:p>
            <w:pPr>
              <w:ind w:left="440"/>
              <w:spacing w:after="0"/>
              <w:rPr>
                <w:sz w:val="20"/>
                <w:szCs w:val="20"/>
                <w:color w:val="auto"/>
              </w:rPr>
            </w:pPr>
            <w:r>
              <w:rPr>
                <w:rFonts w:ascii="Arial" w:cs="Arial" w:eastAsia="Arial" w:hAnsi="Arial"/>
                <w:sz w:val="18"/>
                <w:szCs w:val="18"/>
                <w:color w:val="auto"/>
              </w:rPr>
              <w:t>Comcast Class A Special</w:t>
            </w:r>
          </w:p>
        </w:tc>
        <w:tc>
          <w:tcPr>
            <w:tcW w:w="21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8"/>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81"/>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81"/>
              <w:spacing w:after="0"/>
              <w:rPr>
                <w:sz w:val="20"/>
                <w:szCs w:val="20"/>
                <w:color w:val="auto"/>
              </w:rPr>
            </w:pPr>
            <w:r>
              <w:rPr>
                <w:rFonts w:ascii="Arial" w:cs="Arial" w:eastAsia="Arial" w:hAnsi="Arial"/>
                <w:sz w:val="18"/>
                <w:szCs w:val="18"/>
                <w:color w:val="auto"/>
              </w:rPr>
              <w:t>—</w:t>
            </w:r>
          </w:p>
        </w:tc>
        <w:tc>
          <w:tcPr>
            <w:tcW w:w="1500" w:type="dxa"/>
            <w:vAlign w:val="bottom"/>
          </w:tcPr>
          <w:p>
            <w:pPr>
              <w:jc w:val="center"/>
              <w:ind w:left="101"/>
              <w:spacing w:after="0"/>
              <w:rPr>
                <w:sz w:val="20"/>
                <w:szCs w:val="20"/>
                <w:color w:val="auto"/>
              </w:rPr>
            </w:pPr>
            <w:r>
              <w:rPr>
                <w:rFonts w:ascii="Arial" w:cs="Arial" w:eastAsia="Arial" w:hAnsi="Arial"/>
                <w:sz w:val="18"/>
                <w:szCs w:val="18"/>
                <w:color w:val="auto"/>
                <w:w w:val="86"/>
              </w:rPr>
              <w:t>$ 6,000,000,000</w:t>
            </w:r>
          </w:p>
        </w:tc>
      </w:tr>
      <w:tr>
        <w:trPr>
          <w:trHeight w:val="216"/>
        </w:trPr>
        <w:tc>
          <w:tcPr>
            <w:tcW w:w="3420" w:type="dxa"/>
            <w:vAlign w:val="bottom"/>
            <w:shd w:val="clear" w:color="auto" w:fill="E5E5E5"/>
          </w:tcPr>
          <w:p>
            <w:pPr>
              <w:spacing w:after="0"/>
              <w:rPr>
                <w:sz w:val="20"/>
                <w:szCs w:val="20"/>
                <w:color w:val="auto"/>
              </w:rPr>
            </w:pPr>
            <w:r>
              <w:rPr>
                <w:rFonts w:ascii="Arial" w:cs="Arial" w:eastAsia="Arial" w:hAnsi="Arial"/>
                <w:sz w:val="18"/>
                <w:szCs w:val="18"/>
                <w:color w:val="auto"/>
              </w:rPr>
              <w:t>September 1-30, 2014</w:t>
            </w:r>
          </w:p>
        </w:tc>
        <w:tc>
          <w:tcPr>
            <w:tcW w:w="21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6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160" w:type="dxa"/>
            <w:vAlign w:val="bottom"/>
            <w:shd w:val="clear" w:color="auto" w:fill="E5E5E5"/>
          </w:tcPr>
          <w:p>
            <w:pPr>
              <w:spacing w:after="0"/>
              <w:rPr>
                <w:sz w:val="18"/>
                <w:szCs w:val="18"/>
                <w:color w:val="auto"/>
              </w:rPr>
            </w:pPr>
          </w:p>
        </w:tc>
        <w:tc>
          <w:tcPr>
            <w:tcW w:w="1500" w:type="dxa"/>
            <w:vAlign w:val="bottom"/>
            <w:shd w:val="clear" w:color="auto" w:fill="E5E5E5"/>
          </w:tcPr>
          <w:p>
            <w:pPr>
              <w:spacing w:after="0"/>
              <w:rPr>
                <w:sz w:val="18"/>
                <w:szCs w:val="18"/>
                <w:color w:val="auto"/>
              </w:rPr>
            </w:pPr>
          </w:p>
        </w:tc>
      </w:tr>
      <w:tr>
        <w:trPr>
          <w:trHeight w:val="216"/>
        </w:trPr>
        <w:tc>
          <w:tcPr>
            <w:tcW w:w="3420" w:type="dxa"/>
            <w:vAlign w:val="bottom"/>
          </w:tcPr>
          <w:p>
            <w:pPr>
              <w:ind w:left="440"/>
              <w:spacing w:after="0"/>
              <w:rPr>
                <w:sz w:val="20"/>
                <w:szCs w:val="20"/>
                <w:color w:val="auto"/>
              </w:rPr>
            </w:pPr>
            <w:r>
              <w:rPr>
                <w:rFonts w:ascii="Arial" w:cs="Arial" w:eastAsia="Arial" w:hAnsi="Arial"/>
                <w:sz w:val="18"/>
                <w:szCs w:val="18"/>
                <w:color w:val="auto"/>
              </w:rPr>
              <w:t>Comcast Class A</w:t>
            </w:r>
          </w:p>
        </w:tc>
        <w:tc>
          <w:tcPr>
            <w:tcW w:w="2100" w:type="dxa"/>
            <w:vAlign w:val="bottom"/>
          </w:tcPr>
          <w:p>
            <w:pPr>
              <w:jc w:val="right"/>
              <w:ind w:right="20"/>
              <w:spacing w:after="0"/>
              <w:rPr>
                <w:sz w:val="20"/>
                <w:szCs w:val="20"/>
                <w:color w:val="auto"/>
              </w:rPr>
            </w:pPr>
            <w:r>
              <w:rPr>
                <w:rFonts w:ascii="Arial" w:cs="Arial" w:eastAsia="Arial" w:hAnsi="Arial"/>
                <w:sz w:val="18"/>
                <w:szCs w:val="18"/>
                <w:color w:val="auto"/>
              </w:rPr>
              <w:t>1,277,550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8"/>
              <w:spacing w:after="0"/>
              <w:rPr>
                <w:sz w:val="20"/>
                <w:szCs w:val="20"/>
                <w:color w:val="auto"/>
              </w:rPr>
            </w:pPr>
            <w:r>
              <w:rPr>
                <w:rFonts w:ascii="Arial" w:cs="Arial" w:eastAsia="Arial" w:hAnsi="Arial"/>
                <w:sz w:val="18"/>
                <w:szCs w:val="18"/>
                <w:color w:val="auto"/>
                <w:w w:val="88"/>
              </w:rPr>
              <w:t>55.40</w:t>
            </w:r>
          </w:p>
        </w:tc>
        <w:tc>
          <w:tcPr>
            <w:tcW w:w="1640" w:type="dxa"/>
            <w:vAlign w:val="bottom"/>
          </w:tcPr>
          <w:p>
            <w:pPr>
              <w:jc w:val="right"/>
              <w:ind w:right="181"/>
              <w:spacing w:after="0"/>
              <w:rPr>
                <w:sz w:val="20"/>
                <w:szCs w:val="20"/>
                <w:color w:val="auto"/>
              </w:rPr>
            </w:pPr>
            <w:r>
              <w:rPr>
                <w:rFonts w:ascii="Arial" w:cs="Arial" w:eastAsia="Arial" w:hAnsi="Arial"/>
                <w:sz w:val="18"/>
                <w:szCs w:val="18"/>
                <w:color w:val="auto"/>
              </w:rPr>
              <w:t>1,277,550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81"/>
              <w:spacing w:after="0"/>
              <w:rPr>
                <w:sz w:val="20"/>
                <w:szCs w:val="20"/>
                <w:color w:val="auto"/>
              </w:rPr>
            </w:pPr>
            <w:r>
              <w:rPr>
                <w:rFonts w:ascii="Arial" w:cs="Arial" w:eastAsia="Arial" w:hAnsi="Arial"/>
                <w:sz w:val="18"/>
                <w:szCs w:val="18"/>
                <w:color w:val="auto"/>
                <w:w w:val="97"/>
              </w:rPr>
              <w:t>70,770,180</w:t>
            </w:r>
          </w:p>
        </w:tc>
        <w:tc>
          <w:tcPr>
            <w:tcW w:w="1500" w:type="dxa"/>
            <w:vAlign w:val="bottom"/>
          </w:tcPr>
          <w:p>
            <w:pPr>
              <w:jc w:val="center"/>
              <w:ind w:left="101"/>
              <w:spacing w:after="0"/>
              <w:rPr>
                <w:sz w:val="20"/>
                <w:szCs w:val="20"/>
                <w:color w:val="auto"/>
              </w:rPr>
            </w:pPr>
            <w:r>
              <w:rPr>
                <w:rFonts w:ascii="Arial" w:cs="Arial" w:eastAsia="Arial" w:hAnsi="Arial"/>
                <w:sz w:val="18"/>
                <w:szCs w:val="18"/>
                <w:color w:val="auto"/>
                <w:w w:val="86"/>
              </w:rPr>
              <w:t>$ 5,929,229,820</w:t>
            </w:r>
          </w:p>
        </w:tc>
      </w:tr>
      <w:tr>
        <w:trPr>
          <w:trHeight w:val="216"/>
        </w:trPr>
        <w:tc>
          <w:tcPr>
            <w:tcW w:w="342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Comcast Class A Special</w:t>
            </w:r>
          </w:p>
        </w:tc>
        <w:tc>
          <w:tcPr>
            <w:tcW w:w="2100" w:type="dxa"/>
            <w:vAlign w:val="bottom"/>
            <w:tcBorders>
              <w:bottom w:val="single" w:sz="8" w:color="auto"/>
            </w:tcBorders>
            <w:shd w:val="clear" w:color="auto" w:fill="E5E5E5"/>
          </w:tcPr>
          <w:p>
            <w:pPr>
              <w:jc w:val="right"/>
              <w:ind w:right="20"/>
              <w:spacing w:after="0"/>
              <w:rPr>
                <w:sz w:val="20"/>
                <w:szCs w:val="20"/>
                <w:color w:val="auto"/>
              </w:rPr>
            </w:pPr>
            <w:r>
              <w:rPr>
                <w:rFonts w:ascii="Arial" w:cs="Arial" w:eastAsia="Arial" w:hAnsi="Arial"/>
                <w:sz w:val="18"/>
                <w:szCs w:val="18"/>
                <w:color w:val="auto"/>
              </w:rPr>
              <w:t>12,598,050</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E5E5E5"/>
          </w:tcPr>
          <w:p>
            <w:pPr>
              <w:jc w:val="right"/>
              <w:ind w:right="218"/>
              <w:spacing w:after="0"/>
              <w:rPr>
                <w:sz w:val="20"/>
                <w:szCs w:val="20"/>
                <w:color w:val="auto"/>
              </w:rPr>
            </w:pPr>
            <w:r>
              <w:rPr>
                <w:rFonts w:ascii="Arial" w:cs="Arial" w:eastAsia="Arial" w:hAnsi="Arial"/>
                <w:sz w:val="18"/>
                <w:szCs w:val="18"/>
                <w:color w:val="auto"/>
                <w:w w:val="88"/>
              </w:rPr>
              <w:t>53.92</w:t>
            </w:r>
          </w:p>
        </w:tc>
        <w:tc>
          <w:tcPr>
            <w:tcW w:w="1640" w:type="dxa"/>
            <w:vAlign w:val="bottom"/>
            <w:tcBorders>
              <w:bottom w:val="single" w:sz="8" w:color="auto"/>
            </w:tcBorders>
            <w:shd w:val="clear" w:color="auto" w:fill="E5E5E5"/>
          </w:tcPr>
          <w:p>
            <w:pPr>
              <w:jc w:val="right"/>
              <w:ind w:right="181"/>
              <w:spacing w:after="0"/>
              <w:rPr>
                <w:sz w:val="20"/>
                <w:szCs w:val="20"/>
                <w:color w:val="auto"/>
              </w:rPr>
            </w:pPr>
            <w:r>
              <w:rPr>
                <w:rFonts w:ascii="Arial" w:cs="Arial" w:eastAsia="Arial" w:hAnsi="Arial"/>
                <w:sz w:val="18"/>
                <w:szCs w:val="18"/>
                <w:color w:val="auto"/>
              </w:rPr>
              <w:t>12,598,050</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5E5E5"/>
          </w:tcPr>
          <w:p>
            <w:pPr>
              <w:jc w:val="right"/>
              <w:ind w:right="181"/>
              <w:spacing w:after="0"/>
              <w:rPr>
                <w:sz w:val="20"/>
                <w:szCs w:val="20"/>
                <w:color w:val="auto"/>
              </w:rPr>
            </w:pPr>
            <w:r>
              <w:rPr>
                <w:rFonts w:ascii="Arial" w:cs="Arial" w:eastAsia="Arial" w:hAnsi="Arial"/>
                <w:sz w:val="18"/>
                <w:szCs w:val="18"/>
                <w:color w:val="auto"/>
                <w:w w:val="87"/>
              </w:rPr>
              <w:t>679,245,283</w:t>
            </w:r>
          </w:p>
        </w:tc>
        <w:tc>
          <w:tcPr>
            <w:tcW w:w="1500" w:type="dxa"/>
            <w:vAlign w:val="bottom"/>
            <w:tcBorders>
              <w:bottom w:val="single" w:sz="8" w:color="auto"/>
            </w:tcBorders>
            <w:shd w:val="clear" w:color="auto" w:fill="E5E5E5"/>
          </w:tcPr>
          <w:p>
            <w:pPr>
              <w:jc w:val="center"/>
              <w:ind w:left="101"/>
              <w:spacing w:after="0"/>
              <w:rPr>
                <w:sz w:val="20"/>
                <w:szCs w:val="20"/>
                <w:color w:val="auto"/>
              </w:rPr>
            </w:pPr>
            <w:r>
              <w:rPr>
                <w:rFonts w:ascii="Arial" w:cs="Arial" w:eastAsia="Arial" w:hAnsi="Arial"/>
                <w:sz w:val="18"/>
                <w:szCs w:val="18"/>
                <w:color w:val="auto"/>
                <w:w w:val="86"/>
              </w:rPr>
              <w:t>$ 5,249,984,537</w:t>
            </w:r>
          </w:p>
        </w:tc>
      </w:tr>
      <w:tr>
        <w:trPr>
          <w:trHeight w:val="217"/>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1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13,875,600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18"/>
              <w:spacing w:after="0"/>
              <w:rPr>
                <w:sz w:val="20"/>
                <w:szCs w:val="20"/>
                <w:color w:val="auto"/>
              </w:rPr>
            </w:pPr>
            <w:r>
              <w:rPr>
                <w:rFonts w:ascii="Arial" w:cs="Arial" w:eastAsia="Arial" w:hAnsi="Arial"/>
                <w:sz w:val="18"/>
                <w:szCs w:val="18"/>
                <w:b w:val="1"/>
                <w:bCs w:val="1"/>
                <w:color w:val="auto"/>
                <w:w w:val="88"/>
              </w:rPr>
              <w:t>54.05</w:t>
            </w:r>
          </w:p>
        </w:tc>
        <w:tc>
          <w:tcPr>
            <w:tcW w:w="164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b w:val="1"/>
                <w:bCs w:val="1"/>
                <w:color w:val="auto"/>
              </w:rPr>
              <w:t>13,875,600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b w:val="1"/>
                <w:bCs w:val="1"/>
                <w:color w:val="auto"/>
                <w:w w:val="87"/>
              </w:rPr>
              <w:t>750,015,463</w:t>
            </w:r>
          </w:p>
        </w:tc>
        <w:tc>
          <w:tcPr>
            <w:tcW w:w="1500" w:type="dxa"/>
            <w:vAlign w:val="bottom"/>
            <w:tcBorders>
              <w:bottom w:val="single" w:sz="8" w:color="auto"/>
            </w:tcBorders>
          </w:tcPr>
          <w:p>
            <w:pPr>
              <w:jc w:val="center"/>
              <w:ind w:left="101"/>
              <w:spacing w:after="0"/>
              <w:rPr>
                <w:sz w:val="20"/>
                <w:szCs w:val="20"/>
                <w:color w:val="auto"/>
              </w:rPr>
            </w:pPr>
            <w:r>
              <w:rPr>
                <w:rFonts w:ascii="Arial" w:cs="Arial" w:eastAsia="Arial" w:hAnsi="Arial"/>
                <w:sz w:val="18"/>
                <w:szCs w:val="18"/>
                <w:b w:val="1"/>
                <w:bCs w:val="1"/>
                <w:color w:val="auto"/>
                <w:w w:val="86"/>
              </w:rPr>
              <w:t>$ 5,249,984,537</w:t>
            </w:r>
          </w:p>
        </w:tc>
      </w:tr>
      <w:tr>
        <w:trPr>
          <w:trHeight w:val="363"/>
        </w:trPr>
        <w:tc>
          <w:tcPr>
            <w:tcW w:w="34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20" w:type="dxa"/>
            <w:vAlign w:val="bottom"/>
          </w:tcPr>
          <w:p>
            <w:pPr>
              <w:jc w:val="right"/>
              <w:ind w:right="134"/>
              <w:spacing w:after="0"/>
              <w:rPr>
                <w:sz w:val="20"/>
                <w:szCs w:val="20"/>
                <w:color w:val="auto"/>
              </w:rPr>
            </w:pPr>
            <w:r>
              <w:rPr>
                <w:rFonts w:ascii="Arial" w:cs="Arial" w:eastAsia="Arial" w:hAnsi="Arial"/>
                <w:sz w:val="18"/>
                <w:szCs w:val="18"/>
                <w:color w:val="auto"/>
              </w:rPr>
              <w:t>45</w:t>
            </w: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both"/>
        <w:ind w:left="340" w:hanging="332"/>
        <w:spacing w:after="0" w:line="233"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 January 2014, our Board of Directors increased our share repurchase authorization to $7.5 billion, which does not have an expiration date. Under this authorization, we may repurchase shares in the open market or in private transactions. We expect to make $750 million more in repurchases during the remainder of 2014, subject to market conditions. We also intend to repurchase an additional $2.5 billion of shares through the close of the Time Warner Cable merger in early 2015, subject to market conditions.</w:t>
      </w:r>
    </w:p>
    <w:p>
      <w:pPr>
        <w:spacing w:after="0" w:line="4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total number of shares purchased during the three months ended September 30, 2014 does not include any shares received in the administration of employee share-based compensation plans.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ind w:left="140"/>
        <w:spacing w:after="0"/>
        <w:tabs>
          <w:tab w:leader="none" w:pos="8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and Chief Financial Officer pursuant to Section 302 of the Sarbanes-Oxley Act of 2002.</w:t>
      </w:r>
    </w:p>
    <w:p>
      <w:pPr>
        <w:spacing w:after="0" w:line="8"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and Chief Financial Officer pursuant to Section 906 of the Sarbanes-Oxley Act of 2002.</w:t>
      </w:r>
    </w:p>
    <w:p>
      <w:pPr>
        <w:spacing w:after="0" w:line="9" w:lineRule="exact"/>
        <w:rPr>
          <w:sz w:val="20"/>
          <w:szCs w:val="20"/>
          <w:color w:val="auto"/>
        </w:rPr>
      </w:pPr>
    </w:p>
    <w:p>
      <w:pPr>
        <w:jc w:val="both"/>
        <w:ind w:left="820" w:hanging="724"/>
        <w:spacing w:after="0" w:line="292" w:lineRule="auto"/>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following financial statements from Comcast Corporation’s Quarterly Report on Form 10-Q for the three and nine months ended September 30, 2014, filed with the Securities and Exchange Commission on October 23, 2014,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ind w:left="140"/>
        <w:spacing w:after="0"/>
        <w:tabs>
          <w:tab w:leader="none" w:pos="8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Executive Officer and Principal Financial Officer pursuant to Section 302 of the Sarbanes-Oxley Act of 2002.</w:t>
      </w:r>
    </w:p>
    <w:p>
      <w:pPr>
        <w:spacing w:after="0" w:line="8"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Principal Executive Officer and Principal Financial Officer pursuant to Section 906 of the Sarbanes-Oxley Act of 2002.</w:t>
      </w:r>
    </w:p>
    <w:p>
      <w:pPr>
        <w:spacing w:after="0" w:line="9" w:lineRule="exact"/>
        <w:rPr>
          <w:sz w:val="20"/>
          <w:szCs w:val="20"/>
          <w:color w:val="auto"/>
        </w:rPr>
      </w:pPr>
    </w:p>
    <w:p>
      <w:pPr>
        <w:jc w:val="both"/>
        <w:ind w:left="820" w:hanging="724"/>
        <w:spacing w:after="0" w:line="281" w:lineRule="auto"/>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following financial statements from NBCUniversal Media, LLC’s Quarterly Report on Form 10-Q for the three and nine months ended September 30, 2014, filed with the Securities and Exchange Commission on October 23, 2014, formatted in XBRL (eXtensible Business Reporting Language):</w:t>
      </w:r>
    </w:p>
    <w:p>
      <w:pPr>
        <w:spacing w:after="0" w:line="1" w:lineRule="exact"/>
        <w:rPr>
          <w:rFonts w:ascii="Arial" w:cs="Arial" w:eastAsia="Arial" w:hAnsi="Arial"/>
          <w:sz w:val="16"/>
          <w:szCs w:val="16"/>
          <w:color w:val="auto"/>
        </w:rPr>
      </w:pPr>
    </w:p>
    <w:p>
      <w:pPr>
        <w:jc w:val="both"/>
        <w:ind w:left="820"/>
        <w:spacing w:after="0" w:line="255" w:lineRule="auto"/>
        <w:rPr>
          <w:rFonts w:ascii="Arial" w:cs="Arial" w:eastAsia="Arial" w:hAnsi="Arial"/>
          <w:sz w:val="16"/>
          <w:szCs w:val="16"/>
          <w:color w:val="auto"/>
        </w:rPr>
      </w:pPr>
      <w:r>
        <w:rPr>
          <w:rFonts w:ascii="Arial" w:cs="Arial" w:eastAsia="Arial" w:hAnsi="Arial"/>
          <w:sz w:val="18"/>
          <w:szCs w:val="18"/>
          <w:color w:val="auto"/>
        </w:rPr>
        <w:t>(i)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w:t>
      </w:r>
    </w:p>
    <w:p>
      <w:pPr>
        <w:spacing w:after="0" w:line="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6758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 Chief Accounting Officer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Controller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23, 2014</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6758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23, 2014</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NBCUniversal Media, LLC Financial Statements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Borders>
              <w:bottom w:val="single" w:sz="8" w:color="auto"/>
            </w:tcBorders>
            <w:gridSpan w:val="7"/>
          </w:tcPr>
          <w:p>
            <w:pPr>
              <w:spacing w:after="0"/>
              <w:rPr>
                <w:sz w:val="20"/>
                <w:szCs w:val="20"/>
                <w:color w:val="auto"/>
              </w:rPr>
            </w:pPr>
            <w:r>
              <w:rPr>
                <w:rFonts w:ascii="Arial" w:cs="Arial" w:eastAsia="Arial" w:hAnsi="Arial"/>
                <w:sz w:val="14"/>
                <w:szCs w:val="14"/>
                <w:color w:val="auto"/>
              </w:rPr>
              <w:t>Index</w:t>
            </w:r>
          </w:p>
        </w:tc>
        <w:tc>
          <w:tcPr>
            <w:tcW w:w="6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Page</w:t>
            </w:r>
          </w:p>
        </w:tc>
      </w:tr>
      <w:tr>
        <w:trPr>
          <w:trHeight w:val="169"/>
        </w:trPr>
        <w:tc>
          <w:tcPr>
            <w:tcW w:w="5020" w:type="dxa"/>
            <w:vAlign w:val="bottom"/>
            <w:gridSpan w:val="7"/>
          </w:tcPr>
          <w:p>
            <w:pPr>
              <w:spacing w:after="0" w:line="170" w:lineRule="exact"/>
              <w:rPr>
                <w:rFonts w:ascii="Arial" w:cs="Arial" w:eastAsia="Arial" w:hAnsi="Arial"/>
                <w:sz w:val="18"/>
                <w:szCs w:val="18"/>
                <w:color w:val="0000EE"/>
              </w:rPr>
            </w:pPr>
            <w:hyperlink w:anchor="page51">
              <w:r>
                <w:rPr>
                  <w:rFonts w:ascii="Arial" w:cs="Arial" w:eastAsia="Arial" w:hAnsi="Arial"/>
                  <w:sz w:val="18"/>
                  <w:szCs w:val="18"/>
                  <w:color w:val="0000EE"/>
                </w:rPr>
                <w:t>Condensed Consolidated Balance Sheet</w:t>
              </w:r>
            </w:hyperlink>
          </w:p>
        </w:tc>
        <w:tc>
          <w:tcPr>
            <w:tcW w:w="6400" w:type="dxa"/>
            <w:vAlign w:val="bottom"/>
          </w:tcPr>
          <w:p>
            <w:pPr>
              <w:jc w:val="right"/>
              <w:ind w:right="15"/>
              <w:spacing w:after="0" w:line="170" w:lineRule="exact"/>
              <w:rPr>
                <w:sz w:val="20"/>
                <w:szCs w:val="20"/>
                <w:color w:val="auto"/>
              </w:rPr>
            </w:pPr>
            <w:r>
              <w:rPr>
                <w:rFonts w:ascii="Arial" w:cs="Arial" w:eastAsia="Arial" w:hAnsi="Arial"/>
                <w:sz w:val="18"/>
                <w:szCs w:val="18"/>
                <w:color w:val="auto"/>
              </w:rPr>
              <w:t>49</w:t>
            </w:r>
          </w:p>
        </w:tc>
      </w:tr>
      <w:tr>
        <w:trPr>
          <w:trHeight w:val="20"/>
        </w:trPr>
        <w:tc>
          <w:tcPr>
            <w:tcW w:w="28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96"/>
        </w:trPr>
        <w:tc>
          <w:tcPr>
            <w:tcW w:w="5020" w:type="dxa"/>
            <w:vAlign w:val="bottom"/>
            <w:gridSpan w:val="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Condensed Consolidated Statement of Income</w:t>
              </w:r>
            </w:hyperlink>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50</w:t>
            </w:r>
          </w:p>
        </w:tc>
      </w:tr>
      <w:tr>
        <w:trPr>
          <w:trHeight w:val="20"/>
        </w:trPr>
        <w:tc>
          <w:tcPr>
            <w:tcW w:w="32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96"/>
        </w:trPr>
        <w:tc>
          <w:tcPr>
            <w:tcW w:w="442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Condensed Consolidated Statement of Comprehensive Income</w:t>
              </w:r>
            </w:hyperlink>
          </w:p>
        </w:tc>
        <w:tc>
          <w:tcPr>
            <w:tcW w:w="600" w:type="dxa"/>
            <w:vAlign w:val="bottom"/>
          </w:tcPr>
          <w:p>
            <w:pPr>
              <w:spacing w:after="0"/>
              <w:rPr>
                <w:sz w:val="17"/>
                <w:szCs w:val="17"/>
                <w:color w:val="auto"/>
              </w:rPr>
            </w:pPr>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51</w:t>
            </w:r>
          </w:p>
        </w:tc>
      </w:tr>
      <w:tr>
        <w:trPr>
          <w:trHeight w:val="196"/>
        </w:trPr>
        <w:tc>
          <w:tcPr>
            <w:tcW w:w="5020" w:type="dxa"/>
            <w:vAlign w:val="bottom"/>
            <w:gridSpan w:val="7"/>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Condensed Consolidated Statement of Cash Flows</w:t>
              </w:r>
            </w:hyperlink>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52</w:t>
            </w:r>
          </w:p>
        </w:tc>
      </w:tr>
      <w:tr>
        <w:trPr>
          <w:trHeight w:val="20"/>
        </w:trPr>
        <w:tc>
          <w:tcPr>
            <w:tcW w:w="356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55">
              <w:r>
                <w:rPr>
                  <w:rFonts w:ascii="Arial" w:cs="Arial" w:eastAsia="Arial" w:hAnsi="Arial"/>
                  <w:sz w:val="18"/>
                  <w:szCs w:val="18"/>
                  <w:color w:val="0000EE"/>
                  <w:w w:val="87"/>
                </w:rPr>
                <w:t>Condensed Consolidated Statement of Changes in Equity</w:t>
              </w:r>
            </w:hyperlink>
          </w:p>
        </w:tc>
        <w:tc>
          <w:tcPr>
            <w:tcW w:w="980" w:type="dxa"/>
            <w:vAlign w:val="bottom"/>
            <w:gridSpan w:val="2"/>
          </w:tcPr>
          <w:p>
            <w:pPr>
              <w:spacing w:after="0"/>
              <w:rPr>
                <w:sz w:val="17"/>
                <w:szCs w:val="17"/>
                <w:color w:val="auto"/>
              </w:rPr>
            </w:pPr>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53</w:t>
            </w:r>
          </w:p>
        </w:tc>
      </w:tr>
      <w:tr>
        <w:trPr>
          <w:trHeight w:val="196"/>
        </w:trPr>
        <w:tc>
          <w:tcPr>
            <w:tcW w:w="5020" w:type="dxa"/>
            <w:vAlign w:val="bottom"/>
            <w:gridSpan w:val="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Notes to Condensed Consolidated Financial Statements</w:t>
              </w:r>
            </w:hyperlink>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54</w:t>
            </w:r>
          </w:p>
        </w:tc>
      </w:tr>
      <w:tr>
        <w:trPr>
          <w:trHeight w:val="61"/>
        </w:trPr>
        <w:tc>
          <w:tcPr>
            <w:tcW w:w="2800" w:type="dxa"/>
            <w:vAlign w:val="bottom"/>
            <w:tcBorders>
              <w:top w:val="single" w:sz="8" w:color="0000EE"/>
              <w:bottom w:val="single" w:sz="8" w:color="auto"/>
            </w:tcBorders>
          </w:tcPr>
          <w:p>
            <w:pPr>
              <w:spacing w:after="0"/>
              <w:rPr>
                <w:sz w:val="5"/>
                <w:szCs w:val="5"/>
                <w:color w:val="auto"/>
              </w:rPr>
            </w:pPr>
          </w:p>
        </w:tc>
        <w:tc>
          <w:tcPr>
            <w:tcW w:w="46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340" w:type="dxa"/>
            <w:vAlign w:val="bottom"/>
            <w:tcBorders>
              <w:top w:val="single" w:sz="8" w:color="0000EE"/>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400" w:type="dxa"/>
            <w:vAlign w:val="bottom"/>
            <w:tcBorders>
              <w:bottom w:val="single" w:sz="8" w:color="auto"/>
            </w:tcBorders>
          </w:tcPr>
          <w:p>
            <w:pPr>
              <w:spacing w:after="0"/>
              <w:rPr>
                <w:sz w:val="5"/>
                <w:szCs w:val="5"/>
                <w:color w:val="auto"/>
              </w:rPr>
            </w:pPr>
          </w:p>
        </w:tc>
      </w:tr>
      <w:tr>
        <w:trPr>
          <w:trHeight w:val="383"/>
        </w:trPr>
        <w:tc>
          <w:tcPr>
            <w:tcW w:w="2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0" w:type="dxa"/>
            <w:vAlign w:val="bottom"/>
          </w:tcPr>
          <w:p>
            <w:pPr>
              <w:jc w:val="right"/>
              <w:ind w:right="5515"/>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900" w:type="dxa"/>
            <w:vAlign w:val="bottom"/>
            <w:gridSpan w:val="2"/>
          </w:tcPr>
          <w:p>
            <w:pPr>
              <w:ind w:left="1720"/>
              <w:spacing w:after="0"/>
              <w:rPr>
                <w:sz w:val="20"/>
                <w:szCs w:val="20"/>
                <w:color w:val="auto"/>
              </w:rPr>
            </w:pPr>
            <w:r>
              <w:rPr>
                <w:rFonts w:ascii="Arial" w:cs="Arial" w:eastAsia="Arial" w:hAnsi="Arial"/>
                <w:sz w:val="14"/>
                <w:szCs w:val="14"/>
                <w:color w:val="auto"/>
              </w:rPr>
              <w:t>September 30,</w:t>
            </w:r>
          </w:p>
        </w:tc>
        <w:tc>
          <w:tcPr>
            <w:tcW w:w="1220" w:type="dxa"/>
            <w:vAlign w:val="bottom"/>
            <w:gridSpan w:val="2"/>
          </w:tcPr>
          <w:p>
            <w:pPr>
              <w:ind w:left="34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59"/>
        </w:trPr>
        <w:tc>
          <w:tcPr>
            <w:tcW w:w="730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880" w:type="dxa"/>
            <w:vAlign w:val="bottom"/>
          </w:tcPr>
          <w:p>
            <w:pPr>
              <w:spacing w:after="0"/>
              <w:rPr>
                <w:sz w:val="13"/>
                <w:szCs w:val="13"/>
                <w:color w:val="auto"/>
              </w:rPr>
            </w:pPr>
          </w:p>
        </w:tc>
        <w:tc>
          <w:tcPr>
            <w:tcW w:w="1020" w:type="dxa"/>
            <w:vAlign w:val="bottom"/>
          </w:tcPr>
          <w:p>
            <w:pPr>
              <w:jc w:val="right"/>
              <w:ind w:right="573"/>
              <w:spacing w:after="0" w:line="159" w:lineRule="exact"/>
              <w:rPr>
                <w:sz w:val="20"/>
                <w:szCs w:val="20"/>
                <w:color w:val="auto"/>
              </w:rPr>
            </w:pPr>
            <w:r>
              <w:rPr>
                <w:rFonts w:ascii="Arial" w:cs="Arial" w:eastAsia="Arial" w:hAnsi="Arial"/>
                <w:sz w:val="14"/>
                <w:szCs w:val="14"/>
                <w:color w:val="auto"/>
              </w:rPr>
              <w:t>2014</w:t>
            </w:r>
          </w:p>
        </w:tc>
        <w:tc>
          <w:tcPr>
            <w:tcW w:w="520" w:type="dxa"/>
            <w:vAlign w:val="bottom"/>
          </w:tcPr>
          <w:p>
            <w:pPr>
              <w:spacing w:after="0"/>
              <w:rPr>
                <w:sz w:val="13"/>
                <w:szCs w:val="13"/>
                <w:color w:val="auto"/>
              </w:rPr>
            </w:pPr>
          </w:p>
        </w:tc>
        <w:tc>
          <w:tcPr>
            <w:tcW w:w="700" w:type="dxa"/>
            <w:vAlign w:val="bottom"/>
          </w:tcPr>
          <w:p>
            <w:pPr>
              <w:jc w:val="right"/>
              <w:ind w:right="273"/>
              <w:spacing w:after="0" w:line="159"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1880" w:type="dxa"/>
            <w:vAlign w:val="bottom"/>
            <w:tcBorders>
              <w:top w:val="single" w:sz="8" w:color="auto"/>
            </w:tcBorders>
            <w:shd w:val="clear" w:color="auto" w:fill="E5E5E5"/>
          </w:tcPr>
          <w:p>
            <w:pPr>
              <w:spacing w:after="0"/>
              <w:rPr>
                <w:sz w:val="18"/>
                <w:szCs w:val="18"/>
                <w:color w:val="auto"/>
              </w:rPr>
            </w:pPr>
          </w:p>
        </w:tc>
        <w:tc>
          <w:tcPr>
            <w:tcW w:w="102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Current Assets:</w:t>
            </w:r>
          </w:p>
        </w:tc>
        <w:tc>
          <w:tcPr>
            <w:tcW w:w="1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1880" w:type="dxa"/>
            <w:vAlign w:val="bottom"/>
            <w:shd w:val="clear" w:color="auto" w:fill="E5E5E5"/>
          </w:tcPr>
          <w:p>
            <w:pPr>
              <w:ind w:left="17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865</w:t>
            </w:r>
          </w:p>
        </w:tc>
        <w:tc>
          <w:tcPr>
            <w:tcW w:w="52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880" w:type="dxa"/>
            <w:vAlign w:val="bottom"/>
          </w:tcPr>
          <w:p>
            <w:pPr>
              <w:spacing w:after="0"/>
              <w:rPr>
                <w:sz w:val="18"/>
                <w:szCs w:val="18"/>
                <w:color w:val="auto"/>
              </w:rPr>
            </w:pPr>
          </w:p>
        </w:tc>
        <w:tc>
          <w:tcPr>
            <w:tcW w:w="1020" w:type="dxa"/>
            <w:vAlign w:val="bottom"/>
          </w:tcPr>
          <w:p>
            <w:pPr>
              <w:jc w:val="right"/>
              <w:ind w:right="313"/>
              <w:spacing w:after="0"/>
              <w:rPr>
                <w:sz w:val="20"/>
                <w:szCs w:val="20"/>
                <w:color w:val="auto"/>
              </w:rPr>
            </w:pPr>
            <w:r>
              <w:rPr>
                <w:rFonts w:ascii="Arial" w:cs="Arial" w:eastAsia="Arial" w:hAnsi="Arial"/>
                <w:sz w:val="18"/>
                <w:szCs w:val="18"/>
                <w:color w:val="auto"/>
              </w:rPr>
              <w:t>4,784</w:t>
            </w:r>
          </w:p>
        </w:tc>
        <w:tc>
          <w:tcPr>
            <w:tcW w:w="5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rights</w:t>
            </w:r>
          </w:p>
        </w:tc>
        <w:tc>
          <w:tcPr>
            <w:tcW w:w="18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976</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current assets</w:t>
            </w:r>
          </w:p>
        </w:tc>
        <w:tc>
          <w:tcPr>
            <w:tcW w:w="18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rPr>
              <w:t>779</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18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7,404</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880" w:type="dxa"/>
            <w:vAlign w:val="bottom"/>
          </w:tcPr>
          <w:p>
            <w:pPr>
              <w:spacing w:after="0"/>
              <w:rPr>
                <w:sz w:val="18"/>
                <w:szCs w:val="18"/>
                <w:color w:val="auto"/>
              </w:rPr>
            </w:pPr>
          </w:p>
        </w:tc>
        <w:tc>
          <w:tcPr>
            <w:tcW w:w="1020" w:type="dxa"/>
            <w:vAlign w:val="bottom"/>
          </w:tcPr>
          <w:p>
            <w:pPr>
              <w:jc w:val="right"/>
              <w:ind w:right="313"/>
              <w:spacing w:after="0"/>
              <w:rPr>
                <w:sz w:val="20"/>
                <w:szCs w:val="20"/>
                <w:color w:val="auto"/>
              </w:rPr>
            </w:pPr>
            <w:r>
              <w:rPr>
                <w:rFonts w:ascii="Arial" w:cs="Arial" w:eastAsia="Arial" w:hAnsi="Arial"/>
                <w:sz w:val="18"/>
                <w:szCs w:val="18"/>
                <w:color w:val="auto"/>
              </w:rPr>
              <w:t>5,552</w:t>
            </w:r>
          </w:p>
        </w:tc>
        <w:tc>
          <w:tcPr>
            <w:tcW w:w="5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18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907</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$2,051 and $1,599</w:t>
            </w:r>
          </w:p>
        </w:tc>
        <w:tc>
          <w:tcPr>
            <w:tcW w:w="1880" w:type="dxa"/>
            <w:vAlign w:val="bottom"/>
          </w:tcPr>
          <w:p>
            <w:pPr>
              <w:spacing w:after="0"/>
              <w:rPr>
                <w:sz w:val="18"/>
                <w:szCs w:val="18"/>
                <w:color w:val="auto"/>
              </w:rPr>
            </w:pPr>
          </w:p>
        </w:tc>
        <w:tc>
          <w:tcPr>
            <w:tcW w:w="1020" w:type="dxa"/>
            <w:vAlign w:val="bottom"/>
          </w:tcPr>
          <w:p>
            <w:pPr>
              <w:jc w:val="right"/>
              <w:ind w:right="313"/>
              <w:spacing w:after="0"/>
              <w:rPr>
                <w:sz w:val="20"/>
                <w:szCs w:val="20"/>
                <w:color w:val="auto"/>
              </w:rPr>
            </w:pPr>
            <w:r>
              <w:rPr>
                <w:rFonts w:ascii="Arial" w:cs="Arial" w:eastAsia="Arial" w:hAnsi="Arial"/>
                <w:sz w:val="18"/>
                <w:szCs w:val="18"/>
                <w:color w:val="auto"/>
              </w:rPr>
              <w:t>7,989</w:t>
            </w:r>
          </w:p>
        </w:tc>
        <w:tc>
          <w:tcPr>
            <w:tcW w:w="5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18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14,916</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Intangible assets, net of accumulated amortization of $4,430 and $4,003</w:t>
            </w:r>
          </w:p>
        </w:tc>
        <w:tc>
          <w:tcPr>
            <w:tcW w:w="1880" w:type="dxa"/>
            <w:vAlign w:val="bottom"/>
          </w:tcPr>
          <w:p>
            <w:pPr>
              <w:spacing w:after="0"/>
              <w:rPr>
                <w:sz w:val="18"/>
                <w:szCs w:val="18"/>
                <w:color w:val="auto"/>
              </w:rPr>
            </w:pPr>
          </w:p>
        </w:tc>
        <w:tc>
          <w:tcPr>
            <w:tcW w:w="1020" w:type="dxa"/>
            <w:vAlign w:val="bottom"/>
          </w:tcPr>
          <w:p>
            <w:pPr>
              <w:jc w:val="right"/>
              <w:ind w:right="313"/>
              <w:spacing w:after="0"/>
              <w:rPr>
                <w:sz w:val="20"/>
                <w:szCs w:val="20"/>
                <w:color w:val="auto"/>
              </w:rPr>
            </w:pPr>
            <w:r>
              <w:rPr>
                <w:rFonts w:ascii="Arial" w:cs="Arial" w:eastAsia="Arial" w:hAnsi="Arial"/>
                <w:sz w:val="18"/>
                <w:szCs w:val="18"/>
                <w:color w:val="auto"/>
              </w:rPr>
              <w:t>14,380</w:t>
            </w:r>
          </w:p>
        </w:tc>
        <w:tc>
          <w:tcPr>
            <w:tcW w:w="5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14,857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188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313"/>
              <w:spacing w:after="0"/>
              <w:rPr>
                <w:sz w:val="20"/>
                <w:szCs w:val="20"/>
                <w:color w:val="auto"/>
              </w:rPr>
            </w:pPr>
            <w:r>
              <w:rPr>
                <w:rFonts w:ascii="Arial" w:cs="Arial" w:eastAsia="Arial" w:hAnsi="Arial"/>
                <w:sz w:val="18"/>
                <w:szCs w:val="18"/>
                <w:color w:val="auto"/>
              </w:rPr>
              <w:t>1,181</w:t>
            </w:r>
          </w:p>
        </w:tc>
        <w:tc>
          <w:tcPr>
            <w:tcW w:w="5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1880" w:type="dxa"/>
            <w:vAlign w:val="bottom"/>
            <w:tcBorders>
              <w:bottom w:val="single" w:sz="8" w:color="auto"/>
            </w:tcBorders>
          </w:tcPr>
          <w:p>
            <w:pPr>
              <w:ind w:left="17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b w:val="1"/>
                <w:bCs w:val="1"/>
                <w:color w:val="auto"/>
              </w:rPr>
              <w:t>52,329</w:t>
            </w:r>
          </w:p>
        </w:tc>
        <w:tc>
          <w:tcPr>
            <w:tcW w:w="5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51,739</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188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Current Liabilities:</w:t>
            </w:r>
          </w:p>
        </w:tc>
        <w:tc>
          <w:tcPr>
            <w:tcW w:w="1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880" w:type="dxa"/>
            <w:vAlign w:val="bottom"/>
            <w:shd w:val="clear" w:color="auto" w:fill="E5E5E5"/>
          </w:tcPr>
          <w:p>
            <w:pPr>
              <w:ind w:left="17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1,325</w:t>
            </w:r>
          </w:p>
        </w:tc>
        <w:tc>
          <w:tcPr>
            <w:tcW w:w="52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Accrued participations and residuals</w:t>
            </w:r>
          </w:p>
        </w:tc>
        <w:tc>
          <w:tcPr>
            <w:tcW w:w="1880" w:type="dxa"/>
            <w:vAlign w:val="bottom"/>
          </w:tcPr>
          <w:p>
            <w:pPr>
              <w:spacing w:after="0"/>
              <w:rPr>
                <w:sz w:val="18"/>
                <w:szCs w:val="18"/>
                <w:color w:val="auto"/>
              </w:rPr>
            </w:pPr>
          </w:p>
        </w:tc>
        <w:tc>
          <w:tcPr>
            <w:tcW w:w="1020" w:type="dxa"/>
            <w:vAlign w:val="bottom"/>
          </w:tcPr>
          <w:p>
            <w:pPr>
              <w:jc w:val="right"/>
              <w:ind w:right="313"/>
              <w:spacing w:after="0"/>
              <w:rPr>
                <w:sz w:val="20"/>
                <w:szCs w:val="20"/>
                <w:color w:val="auto"/>
              </w:rPr>
            </w:pPr>
            <w:r>
              <w:rPr>
                <w:rFonts w:ascii="Arial" w:cs="Arial" w:eastAsia="Arial" w:hAnsi="Arial"/>
                <w:sz w:val="18"/>
                <w:szCs w:val="18"/>
                <w:color w:val="auto"/>
              </w:rPr>
              <w:t>1,444</w:t>
            </w:r>
          </w:p>
        </w:tc>
        <w:tc>
          <w:tcPr>
            <w:tcW w:w="5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 obligations</w:t>
            </w:r>
          </w:p>
        </w:tc>
        <w:tc>
          <w:tcPr>
            <w:tcW w:w="18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672</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880" w:type="dxa"/>
            <w:vAlign w:val="bottom"/>
          </w:tcPr>
          <w:p>
            <w:pPr>
              <w:spacing w:after="0"/>
              <w:rPr>
                <w:sz w:val="18"/>
                <w:szCs w:val="18"/>
                <w:color w:val="auto"/>
              </w:rPr>
            </w:pPr>
          </w:p>
        </w:tc>
        <w:tc>
          <w:tcPr>
            <w:tcW w:w="1020" w:type="dxa"/>
            <w:vAlign w:val="bottom"/>
          </w:tcPr>
          <w:p>
            <w:pPr>
              <w:jc w:val="right"/>
              <w:ind w:right="313"/>
              <w:spacing w:after="0"/>
              <w:rPr>
                <w:sz w:val="20"/>
                <w:szCs w:val="20"/>
                <w:color w:val="auto"/>
              </w:rPr>
            </w:pPr>
            <w:r>
              <w:rPr>
                <w:rFonts w:ascii="Arial" w:cs="Arial" w:eastAsia="Arial" w:hAnsi="Arial"/>
                <w:sz w:val="18"/>
                <w:szCs w:val="18"/>
                <w:color w:val="auto"/>
              </w:rPr>
              <w:t>862</w:t>
            </w:r>
          </w:p>
        </w:tc>
        <w:tc>
          <w:tcPr>
            <w:tcW w:w="5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8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1,424</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Note payable to Comcast</w:t>
            </w:r>
          </w:p>
        </w:tc>
        <w:tc>
          <w:tcPr>
            <w:tcW w:w="1880" w:type="dxa"/>
            <w:vAlign w:val="bottom"/>
          </w:tcPr>
          <w:p>
            <w:pPr>
              <w:spacing w:after="0"/>
              <w:rPr>
                <w:sz w:val="18"/>
                <w:szCs w:val="18"/>
                <w:color w:val="auto"/>
              </w:rPr>
            </w:pPr>
          </w:p>
        </w:tc>
        <w:tc>
          <w:tcPr>
            <w:tcW w:w="1020" w:type="dxa"/>
            <w:vAlign w:val="bottom"/>
          </w:tcPr>
          <w:p>
            <w:pPr>
              <w:jc w:val="right"/>
              <w:ind w:right="313"/>
              <w:spacing w:after="0"/>
              <w:rPr>
                <w:sz w:val="20"/>
                <w:szCs w:val="20"/>
                <w:color w:val="auto"/>
              </w:rPr>
            </w:pPr>
            <w:r>
              <w:rPr>
                <w:rFonts w:ascii="Arial" w:cs="Arial" w:eastAsia="Arial" w:hAnsi="Arial"/>
                <w:sz w:val="18"/>
                <w:szCs w:val="18"/>
                <w:color w:val="auto"/>
              </w:rPr>
              <w:t>1,078</w:t>
            </w:r>
          </w:p>
        </w:tc>
        <w:tc>
          <w:tcPr>
            <w:tcW w:w="5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188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313"/>
              <w:spacing w:after="0"/>
              <w:rPr>
                <w:sz w:val="20"/>
                <w:szCs w:val="20"/>
                <w:color w:val="auto"/>
              </w:rPr>
            </w:pPr>
            <w:r>
              <w:rPr>
                <w:rFonts w:ascii="Arial" w:cs="Arial" w:eastAsia="Arial" w:hAnsi="Arial"/>
                <w:sz w:val="18"/>
                <w:szCs w:val="18"/>
                <w:color w:val="auto"/>
              </w:rPr>
              <w:t>1,011</w:t>
            </w:r>
          </w:p>
        </w:tc>
        <w:tc>
          <w:tcPr>
            <w:tcW w:w="5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880" w:type="dxa"/>
            <w:vAlign w:val="bottom"/>
          </w:tcPr>
          <w:p>
            <w:pPr>
              <w:spacing w:after="0"/>
              <w:rPr>
                <w:sz w:val="18"/>
                <w:szCs w:val="18"/>
                <w:color w:val="auto"/>
              </w:rPr>
            </w:pPr>
          </w:p>
        </w:tc>
        <w:tc>
          <w:tcPr>
            <w:tcW w:w="1020" w:type="dxa"/>
            <w:vAlign w:val="bottom"/>
          </w:tcPr>
          <w:p>
            <w:pPr>
              <w:jc w:val="right"/>
              <w:ind w:right="313"/>
              <w:spacing w:after="0"/>
              <w:rPr>
                <w:sz w:val="20"/>
                <w:szCs w:val="20"/>
                <w:color w:val="auto"/>
              </w:rPr>
            </w:pPr>
            <w:r>
              <w:rPr>
                <w:rFonts w:ascii="Arial" w:cs="Arial" w:eastAsia="Arial" w:hAnsi="Arial"/>
                <w:sz w:val="18"/>
                <w:szCs w:val="18"/>
                <w:color w:val="auto"/>
              </w:rPr>
              <w:t>7,816</w:t>
            </w:r>
          </w:p>
        </w:tc>
        <w:tc>
          <w:tcPr>
            <w:tcW w:w="5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18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9,242</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Accrued participations, residuals and program obligations</w:t>
            </w:r>
          </w:p>
        </w:tc>
        <w:tc>
          <w:tcPr>
            <w:tcW w:w="1880" w:type="dxa"/>
            <w:vAlign w:val="bottom"/>
          </w:tcPr>
          <w:p>
            <w:pPr>
              <w:spacing w:after="0"/>
              <w:rPr>
                <w:sz w:val="18"/>
                <w:szCs w:val="18"/>
                <w:color w:val="auto"/>
              </w:rPr>
            </w:pPr>
          </w:p>
        </w:tc>
        <w:tc>
          <w:tcPr>
            <w:tcW w:w="1020" w:type="dxa"/>
            <w:vAlign w:val="bottom"/>
          </w:tcPr>
          <w:p>
            <w:pPr>
              <w:jc w:val="right"/>
              <w:ind w:right="313"/>
              <w:spacing w:after="0"/>
              <w:rPr>
                <w:sz w:val="20"/>
                <w:szCs w:val="20"/>
                <w:color w:val="auto"/>
              </w:rPr>
            </w:pPr>
            <w:r>
              <w:rPr>
                <w:rFonts w:ascii="Arial" w:cs="Arial" w:eastAsia="Arial" w:hAnsi="Arial"/>
                <w:sz w:val="18"/>
                <w:szCs w:val="18"/>
                <w:color w:val="auto"/>
              </w:rPr>
              <w:t>1,069</w:t>
            </w:r>
          </w:p>
        </w:tc>
        <w:tc>
          <w:tcPr>
            <w:tcW w:w="5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18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3,514</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18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322</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Equity:</w:t>
            </w:r>
          </w:p>
        </w:tc>
        <w:tc>
          <w:tcPr>
            <w:tcW w:w="1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Member’s capital</w:t>
            </w:r>
          </w:p>
        </w:tc>
        <w:tc>
          <w:tcPr>
            <w:tcW w:w="18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30,115</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8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(12)</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E5E5E5"/>
          </w:tcPr>
          <w:p>
            <w:pPr>
              <w:spacing w:after="0"/>
              <w:rPr>
                <w:sz w:val="20"/>
                <w:szCs w:val="20"/>
                <w:color w:val="auto"/>
              </w:rPr>
            </w:pPr>
            <w:r>
              <w:rPr>
                <w:rFonts w:ascii="Arial" w:cs="Arial" w:eastAsia="Arial" w:hAnsi="Arial"/>
                <w:sz w:val="18"/>
                <w:szCs w:val="18"/>
                <w:color w:val="auto"/>
              </w:rPr>
              <w:t>Total NBCUniversal member’s equity</w:t>
            </w:r>
          </w:p>
        </w:tc>
        <w:tc>
          <w:tcPr>
            <w:tcW w:w="18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30,103</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18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rPr>
              <w:t>263</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188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313"/>
              <w:spacing w:after="0"/>
              <w:rPr>
                <w:sz w:val="20"/>
                <w:szCs w:val="20"/>
                <w:color w:val="auto"/>
              </w:rPr>
            </w:pPr>
            <w:r>
              <w:rPr>
                <w:rFonts w:ascii="Arial" w:cs="Arial" w:eastAsia="Arial" w:hAnsi="Arial"/>
                <w:sz w:val="18"/>
                <w:szCs w:val="18"/>
                <w:color w:val="auto"/>
              </w:rPr>
              <w:t>30,366</w:t>
            </w:r>
          </w:p>
        </w:tc>
        <w:tc>
          <w:tcPr>
            <w:tcW w:w="5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29,327</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1880" w:type="dxa"/>
            <w:vAlign w:val="bottom"/>
            <w:tcBorders>
              <w:bottom w:val="single" w:sz="8" w:color="auto"/>
            </w:tcBorders>
          </w:tcPr>
          <w:p>
            <w:pPr>
              <w:ind w:left="17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b w:val="1"/>
                <w:bCs w:val="1"/>
                <w:color w:val="auto"/>
              </w:rPr>
              <w:t>52,329</w:t>
            </w:r>
          </w:p>
        </w:tc>
        <w:tc>
          <w:tcPr>
            <w:tcW w:w="5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51,739</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gridSpan w:val="3"/>
          </w:tcPr>
          <w:p>
            <w:pPr>
              <w:jc w:val="right"/>
              <w:ind w:right="353"/>
              <w:spacing w:after="0"/>
              <w:rPr>
                <w:sz w:val="20"/>
                <w:szCs w:val="20"/>
                <w:color w:val="auto"/>
              </w:rPr>
            </w:pPr>
            <w:r>
              <w:rPr>
                <w:rFonts w:ascii="Arial" w:cs="Arial" w:eastAsia="Arial" w:hAnsi="Arial"/>
                <w:sz w:val="14"/>
                <w:szCs w:val="14"/>
                <w:color w:val="auto"/>
                <w:w w:val="90"/>
              </w:rPr>
              <w:t>Three Months Ended</w:t>
            </w:r>
          </w:p>
        </w:tc>
        <w:tc>
          <w:tcPr>
            <w:tcW w:w="280" w:type="dxa"/>
            <w:vAlign w:val="bottom"/>
          </w:tcPr>
          <w:p>
            <w:pPr>
              <w:spacing w:after="0"/>
              <w:rPr>
                <w:sz w:val="14"/>
                <w:szCs w:val="14"/>
                <w:color w:val="auto"/>
              </w:rPr>
            </w:pPr>
          </w:p>
        </w:tc>
        <w:tc>
          <w:tcPr>
            <w:tcW w:w="1500" w:type="dxa"/>
            <w:vAlign w:val="bottom"/>
            <w:gridSpan w:val="3"/>
          </w:tcPr>
          <w:p>
            <w:pPr>
              <w:jc w:val="right"/>
              <w:ind w:right="213"/>
              <w:spacing w:after="0"/>
              <w:rPr>
                <w:sz w:val="20"/>
                <w:szCs w:val="20"/>
                <w:color w:val="auto"/>
              </w:rPr>
            </w:pPr>
            <w:r>
              <w:rPr>
                <w:rFonts w:ascii="Arial" w:cs="Arial" w:eastAsia="Arial" w:hAnsi="Arial"/>
                <w:sz w:val="14"/>
                <w:szCs w:val="14"/>
                <w:color w:val="auto"/>
                <w:w w:val="95"/>
              </w:rPr>
              <w:t>Nine Months Ended</w:t>
            </w:r>
          </w:p>
        </w:tc>
        <w:tc>
          <w:tcPr>
            <w:tcW w:w="0" w:type="dxa"/>
            <w:vAlign w:val="bottom"/>
          </w:tcPr>
          <w:p>
            <w:pPr>
              <w:spacing w:after="0"/>
              <w:rPr>
                <w:sz w:val="1"/>
                <w:szCs w:val="1"/>
                <w:color w:val="auto"/>
              </w:rPr>
            </w:pPr>
          </w:p>
        </w:tc>
      </w:tr>
      <w:tr>
        <w:trPr>
          <w:trHeight w:val="159"/>
        </w:trPr>
        <w:tc>
          <w:tcPr>
            <w:tcW w:w="75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533"/>
              <w:spacing w:after="0" w:line="159" w:lineRule="exact"/>
              <w:rPr>
                <w:sz w:val="20"/>
                <w:szCs w:val="20"/>
                <w:color w:val="auto"/>
              </w:rPr>
            </w:pPr>
            <w:r>
              <w:rPr>
                <w:rFonts w:ascii="Arial" w:cs="Arial" w:eastAsia="Arial" w:hAnsi="Arial"/>
                <w:sz w:val="14"/>
                <w:szCs w:val="14"/>
                <w:color w:val="auto"/>
              </w:rPr>
              <w:t>September 30</w:t>
            </w: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393"/>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75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jc w:val="right"/>
              <w:ind w:right="295"/>
              <w:spacing w:after="0" w:line="142" w:lineRule="exact"/>
              <w:rPr>
                <w:sz w:val="20"/>
                <w:szCs w:val="20"/>
                <w:color w:val="auto"/>
              </w:rPr>
            </w:pPr>
            <w:r>
              <w:rPr>
                <w:rFonts w:ascii="Arial" w:cs="Arial" w:eastAsia="Arial" w:hAnsi="Arial"/>
                <w:sz w:val="14"/>
                <w:szCs w:val="14"/>
                <w:color w:val="auto"/>
                <w:w w:val="83"/>
              </w:rPr>
              <w:t>2014</w:t>
            </w:r>
          </w:p>
        </w:tc>
        <w:tc>
          <w:tcPr>
            <w:tcW w:w="300" w:type="dxa"/>
            <w:vAlign w:val="bottom"/>
          </w:tcPr>
          <w:p>
            <w:pPr>
              <w:spacing w:after="0"/>
              <w:rPr>
                <w:sz w:val="12"/>
                <w:szCs w:val="12"/>
                <w:color w:val="auto"/>
              </w:rPr>
            </w:pPr>
          </w:p>
        </w:tc>
        <w:tc>
          <w:tcPr>
            <w:tcW w:w="680" w:type="dxa"/>
            <w:vAlign w:val="bottom"/>
          </w:tcPr>
          <w:p>
            <w:pPr>
              <w:jc w:val="right"/>
              <w:ind w:right="293"/>
              <w:spacing w:after="0" w:line="142" w:lineRule="exact"/>
              <w:rPr>
                <w:sz w:val="20"/>
                <w:szCs w:val="20"/>
                <w:color w:val="auto"/>
              </w:rPr>
            </w:pPr>
            <w:r>
              <w:rPr>
                <w:rFonts w:ascii="Arial" w:cs="Arial" w:eastAsia="Arial" w:hAnsi="Arial"/>
                <w:sz w:val="14"/>
                <w:szCs w:val="14"/>
                <w:color w:val="auto"/>
                <w:w w:val="89"/>
              </w:rPr>
              <w:t>2013</w:t>
            </w:r>
          </w:p>
        </w:tc>
        <w:tc>
          <w:tcPr>
            <w:tcW w:w="280" w:type="dxa"/>
            <w:vAlign w:val="bottom"/>
          </w:tcPr>
          <w:p>
            <w:pPr>
              <w:spacing w:after="0"/>
              <w:rPr>
                <w:sz w:val="12"/>
                <w:szCs w:val="12"/>
                <w:color w:val="auto"/>
              </w:rPr>
            </w:pPr>
          </w:p>
        </w:tc>
        <w:tc>
          <w:tcPr>
            <w:tcW w:w="680" w:type="dxa"/>
            <w:vAlign w:val="bottom"/>
          </w:tcPr>
          <w:p>
            <w:pPr>
              <w:jc w:val="right"/>
              <w:ind w:right="255"/>
              <w:spacing w:after="0" w:line="142" w:lineRule="exact"/>
              <w:rPr>
                <w:sz w:val="20"/>
                <w:szCs w:val="20"/>
                <w:color w:val="auto"/>
              </w:rPr>
            </w:pPr>
            <w:r>
              <w:rPr>
                <w:rFonts w:ascii="Arial" w:cs="Arial" w:eastAsia="Arial" w:hAnsi="Arial"/>
                <w:sz w:val="14"/>
                <w:szCs w:val="14"/>
                <w:color w:val="auto"/>
              </w:rPr>
              <w:t>2014</w:t>
            </w:r>
          </w:p>
        </w:tc>
        <w:tc>
          <w:tcPr>
            <w:tcW w:w="220" w:type="dxa"/>
            <w:vAlign w:val="bottom"/>
          </w:tcPr>
          <w:p>
            <w:pPr>
              <w:spacing w:after="0"/>
              <w:rPr>
                <w:sz w:val="12"/>
                <w:szCs w:val="12"/>
                <w:color w:val="auto"/>
              </w:rPr>
            </w:pPr>
          </w:p>
        </w:tc>
        <w:tc>
          <w:tcPr>
            <w:tcW w:w="600" w:type="dxa"/>
            <w:vAlign w:val="bottom"/>
          </w:tcPr>
          <w:p>
            <w:pPr>
              <w:jc w:val="right"/>
              <w:ind w:right="173"/>
              <w:spacing w:after="0" w:line="142"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w w:val="88"/>
              </w:rPr>
              <w:t>5,921</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w w:val="93"/>
              </w:rPr>
              <w:t>5,851</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w w:val="83"/>
              </w:rPr>
              <w:t>18,813</w:t>
            </w:r>
          </w:p>
        </w:tc>
        <w:tc>
          <w:tcPr>
            <w:tcW w:w="2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17,186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Costs and Expenses:</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4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w w:val="88"/>
              </w:rPr>
              <w:t>2,633</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93"/>
              </w:rPr>
              <w:t>2,803</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9,117</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440" w:type="dxa"/>
            <w:vAlign w:val="bottom"/>
          </w:tcPr>
          <w:p>
            <w:pPr>
              <w:spacing w:after="0"/>
              <w:rPr>
                <w:sz w:val="18"/>
                <w:szCs w:val="18"/>
                <w:color w:val="auto"/>
              </w:rPr>
            </w:pPr>
          </w:p>
        </w:tc>
        <w:tc>
          <w:tcPr>
            <w:tcW w:w="660" w:type="dxa"/>
            <w:vAlign w:val="bottom"/>
          </w:tcPr>
          <w:p>
            <w:pPr>
              <w:jc w:val="right"/>
              <w:ind w:right="155"/>
              <w:spacing w:after="0"/>
              <w:rPr>
                <w:sz w:val="20"/>
                <w:szCs w:val="20"/>
                <w:color w:val="auto"/>
              </w:rPr>
            </w:pPr>
            <w:r>
              <w:rPr>
                <w:rFonts w:ascii="Arial" w:cs="Arial" w:eastAsia="Arial" w:hAnsi="Arial"/>
                <w:sz w:val="18"/>
                <w:szCs w:val="18"/>
                <w:color w:val="auto"/>
                <w:w w:val="88"/>
              </w:rPr>
              <w:t>1,363</w:t>
            </w:r>
          </w:p>
        </w:tc>
        <w:tc>
          <w:tcPr>
            <w:tcW w:w="300" w:type="dxa"/>
            <w:vAlign w:val="bottom"/>
          </w:tcPr>
          <w:p>
            <w:pPr>
              <w:spacing w:after="0"/>
              <w:rPr>
                <w:sz w:val="18"/>
                <w:szCs w:val="18"/>
                <w:color w:val="auto"/>
              </w:rPr>
            </w:pPr>
          </w:p>
        </w:tc>
        <w:tc>
          <w:tcPr>
            <w:tcW w:w="680" w:type="dxa"/>
            <w:vAlign w:val="bottom"/>
          </w:tcPr>
          <w:p>
            <w:pPr>
              <w:jc w:val="right"/>
              <w:ind w:right="153"/>
              <w:spacing w:after="0"/>
              <w:rPr>
                <w:sz w:val="20"/>
                <w:szCs w:val="20"/>
                <w:color w:val="auto"/>
              </w:rPr>
            </w:pPr>
            <w:r>
              <w:rPr>
                <w:rFonts w:ascii="Arial" w:cs="Arial" w:eastAsia="Arial" w:hAnsi="Arial"/>
                <w:sz w:val="18"/>
                <w:szCs w:val="18"/>
                <w:color w:val="auto"/>
                <w:w w:val="93"/>
              </w:rPr>
              <w:t>1,251</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3,977</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4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509</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547</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1,558</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440" w:type="dxa"/>
            <w:vAlign w:val="bottom"/>
          </w:tcPr>
          <w:p>
            <w:pPr>
              <w:spacing w:after="0"/>
              <w:rPr>
                <w:sz w:val="18"/>
                <w:szCs w:val="18"/>
                <w:color w:val="auto"/>
              </w:rPr>
            </w:pPr>
          </w:p>
        </w:tc>
        <w:tc>
          <w:tcPr>
            <w:tcW w:w="660" w:type="dxa"/>
            <w:vAlign w:val="bottom"/>
          </w:tcPr>
          <w:p>
            <w:pPr>
              <w:jc w:val="right"/>
              <w:ind w:right="155"/>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18"/>
                <w:szCs w:val="18"/>
                <w:color w:val="auto"/>
              </w:rPr>
            </w:pPr>
          </w:p>
        </w:tc>
        <w:tc>
          <w:tcPr>
            <w:tcW w:w="680" w:type="dxa"/>
            <w:vAlign w:val="bottom"/>
          </w:tcPr>
          <w:p>
            <w:pPr>
              <w:jc w:val="right"/>
              <w:ind w:right="153"/>
              <w:spacing w:after="0"/>
              <w:rPr>
                <w:sz w:val="20"/>
                <w:szCs w:val="20"/>
                <w:color w:val="auto"/>
              </w:rPr>
            </w:pPr>
            <w:r>
              <w:rPr>
                <w:rFonts w:ascii="Arial" w:cs="Arial" w:eastAsia="Arial" w:hAnsi="Arial"/>
                <w:sz w:val="18"/>
                <w:szCs w:val="18"/>
                <w:color w:val="auto"/>
              </w:rPr>
              <w:t>160</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498</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4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211</w:t>
            </w:r>
          </w:p>
        </w:tc>
        <w:tc>
          <w:tcPr>
            <w:tcW w:w="3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192</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608</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w w:val="88"/>
              </w:rPr>
              <w:t>4,876</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93"/>
              </w:rPr>
              <w:t>4,953</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83"/>
              </w:rPr>
              <w:t>15,758</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14,837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4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w w:val="88"/>
              </w:rPr>
              <w:t>1,045</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898</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3,055</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(125)</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(381)</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Investment income (loss), net</w:t>
            </w:r>
          </w:p>
        </w:tc>
        <w:tc>
          <w:tcPr>
            <w:tcW w:w="440" w:type="dxa"/>
            <w:vAlign w:val="bottom"/>
          </w:tcPr>
          <w:p>
            <w:pPr>
              <w:spacing w:after="0"/>
              <w:rPr>
                <w:sz w:val="18"/>
                <w:szCs w:val="18"/>
                <w:color w:val="auto"/>
              </w:rPr>
            </w:pPr>
          </w:p>
        </w:tc>
        <w:tc>
          <w:tcPr>
            <w:tcW w:w="660" w:type="dxa"/>
            <w:vAlign w:val="bottom"/>
          </w:tcPr>
          <w:p>
            <w:pPr>
              <w:jc w:val="right"/>
              <w:ind w:right="155"/>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680" w:type="dxa"/>
            <w:vAlign w:val="bottom"/>
          </w:tcPr>
          <w:p>
            <w:pPr>
              <w:jc w:val="right"/>
              <w:ind w:right="153"/>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investees, net</w:t>
            </w:r>
          </w:p>
        </w:tc>
        <w:tc>
          <w:tcPr>
            <w:tcW w:w="4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20</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(132)</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49</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(59)</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(298)</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(136)</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(161)</w:t>
            </w:r>
          </w:p>
        </w:tc>
        <w:tc>
          <w:tcPr>
            <w:tcW w:w="3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(558)</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(450)</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40" w:type="dxa"/>
            <w:vAlign w:val="bottom"/>
          </w:tcPr>
          <w:p>
            <w:pPr>
              <w:spacing w:after="0"/>
              <w:rPr>
                <w:sz w:val="18"/>
                <w:szCs w:val="18"/>
                <w:color w:val="auto"/>
              </w:rPr>
            </w:pPr>
          </w:p>
        </w:tc>
        <w:tc>
          <w:tcPr>
            <w:tcW w:w="660" w:type="dxa"/>
            <w:vAlign w:val="bottom"/>
          </w:tcPr>
          <w:p>
            <w:pPr>
              <w:jc w:val="right"/>
              <w:ind w:right="155"/>
              <w:spacing w:after="0"/>
              <w:rPr>
                <w:sz w:val="20"/>
                <w:szCs w:val="20"/>
                <w:color w:val="auto"/>
              </w:rPr>
            </w:pPr>
            <w:r>
              <w:rPr>
                <w:rFonts w:ascii="Arial" w:cs="Arial" w:eastAsia="Arial" w:hAnsi="Arial"/>
                <w:sz w:val="18"/>
                <w:szCs w:val="18"/>
                <w:color w:val="auto"/>
              </w:rPr>
              <w:t>884</w:t>
            </w:r>
          </w:p>
        </w:tc>
        <w:tc>
          <w:tcPr>
            <w:tcW w:w="300" w:type="dxa"/>
            <w:vAlign w:val="bottom"/>
          </w:tcPr>
          <w:p>
            <w:pPr>
              <w:spacing w:after="0"/>
              <w:rPr>
                <w:sz w:val="18"/>
                <w:szCs w:val="18"/>
                <w:color w:val="auto"/>
              </w:rPr>
            </w:pPr>
          </w:p>
        </w:tc>
        <w:tc>
          <w:tcPr>
            <w:tcW w:w="680" w:type="dxa"/>
            <w:vAlign w:val="bottom"/>
          </w:tcPr>
          <w:p>
            <w:pPr>
              <w:jc w:val="right"/>
              <w:ind w:right="153"/>
              <w:spacing w:after="0"/>
              <w:rPr>
                <w:sz w:val="20"/>
                <w:szCs w:val="20"/>
                <w:color w:val="auto"/>
              </w:rPr>
            </w:pPr>
            <w:r>
              <w:rPr>
                <w:rFonts w:ascii="Arial" w:cs="Arial" w:eastAsia="Arial" w:hAnsi="Arial"/>
                <w:sz w:val="18"/>
                <w:szCs w:val="18"/>
                <w:color w:val="auto"/>
              </w:rPr>
              <w:t>340</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2,605</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(51)</w:t>
            </w:r>
          </w:p>
        </w:tc>
        <w:tc>
          <w:tcPr>
            <w:tcW w:w="3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(62)</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(189)</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Net income</w:t>
            </w:r>
          </w:p>
        </w:tc>
        <w:tc>
          <w:tcPr>
            <w:tcW w:w="440" w:type="dxa"/>
            <w:vAlign w:val="bottom"/>
          </w:tcPr>
          <w:p>
            <w:pPr>
              <w:spacing w:after="0"/>
              <w:rPr>
                <w:sz w:val="18"/>
                <w:szCs w:val="18"/>
                <w:color w:val="auto"/>
              </w:rPr>
            </w:pPr>
          </w:p>
        </w:tc>
        <w:tc>
          <w:tcPr>
            <w:tcW w:w="660" w:type="dxa"/>
            <w:vAlign w:val="bottom"/>
          </w:tcPr>
          <w:p>
            <w:pPr>
              <w:jc w:val="right"/>
              <w:ind w:right="155"/>
              <w:spacing w:after="0"/>
              <w:rPr>
                <w:sz w:val="20"/>
                <w:szCs w:val="20"/>
                <w:color w:val="auto"/>
              </w:rPr>
            </w:pPr>
            <w:r>
              <w:rPr>
                <w:rFonts w:ascii="Arial" w:cs="Arial" w:eastAsia="Arial" w:hAnsi="Arial"/>
                <w:sz w:val="18"/>
                <w:szCs w:val="18"/>
                <w:color w:val="auto"/>
              </w:rPr>
              <w:t>833</w:t>
            </w:r>
          </w:p>
        </w:tc>
        <w:tc>
          <w:tcPr>
            <w:tcW w:w="300" w:type="dxa"/>
            <w:vAlign w:val="bottom"/>
          </w:tcPr>
          <w:p>
            <w:pPr>
              <w:spacing w:after="0"/>
              <w:rPr>
                <w:sz w:val="18"/>
                <w:szCs w:val="18"/>
                <w:color w:val="auto"/>
              </w:rPr>
            </w:pPr>
          </w:p>
        </w:tc>
        <w:tc>
          <w:tcPr>
            <w:tcW w:w="680" w:type="dxa"/>
            <w:vAlign w:val="bottom"/>
          </w:tcPr>
          <w:p>
            <w:pPr>
              <w:jc w:val="right"/>
              <w:ind w:right="153"/>
              <w:spacing w:after="0"/>
              <w:rPr>
                <w:sz w:val="20"/>
                <w:szCs w:val="20"/>
                <w:color w:val="auto"/>
              </w:rPr>
            </w:pPr>
            <w:r>
              <w:rPr>
                <w:rFonts w:ascii="Arial" w:cs="Arial" w:eastAsia="Arial" w:hAnsi="Arial"/>
                <w:sz w:val="18"/>
                <w:szCs w:val="18"/>
                <w:color w:val="auto"/>
              </w:rPr>
              <w:t>278</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2,416</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4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(31)</w:t>
            </w:r>
          </w:p>
        </w:tc>
        <w:tc>
          <w:tcPr>
            <w:tcW w:w="3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(42)</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(118)</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NBCUniversal</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802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236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2,298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1,214</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00" w:type="dxa"/>
            <w:vAlign w:val="bottom"/>
            <w:gridSpan w:val="3"/>
          </w:tcPr>
          <w:p>
            <w:pPr>
              <w:jc w:val="right"/>
              <w:ind w:right="514"/>
              <w:spacing w:after="0"/>
              <w:rPr>
                <w:sz w:val="20"/>
                <w:szCs w:val="20"/>
                <w:color w:val="auto"/>
              </w:rPr>
            </w:pPr>
            <w:r>
              <w:rPr>
                <w:rFonts w:ascii="Arial" w:cs="Arial" w:eastAsia="Arial" w:hAnsi="Arial"/>
                <w:sz w:val="14"/>
                <w:szCs w:val="14"/>
                <w:color w:val="auto"/>
                <w:w w:val="97"/>
              </w:rPr>
              <w:t>Three Months Ended</w:t>
            </w:r>
          </w:p>
        </w:tc>
        <w:tc>
          <w:tcPr>
            <w:tcW w:w="1980" w:type="dxa"/>
            <w:vAlign w:val="bottom"/>
            <w:gridSpan w:val="2"/>
          </w:tcPr>
          <w:p>
            <w:pPr>
              <w:jc w:val="right"/>
              <w:ind w:right="314"/>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69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2"/>
          </w:tcPr>
          <w:p>
            <w:pPr>
              <w:jc w:val="right"/>
              <w:ind w:right="494"/>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692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jc w:val="right"/>
              <w:ind w:right="398"/>
              <w:spacing w:after="0" w:line="142" w:lineRule="exact"/>
              <w:rPr>
                <w:sz w:val="20"/>
                <w:szCs w:val="20"/>
                <w:color w:val="auto"/>
              </w:rPr>
            </w:pPr>
            <w:r>
              <w:rPr>
                <w:rFonts w:ascii="Arial" w:cs="Arial" w:eastAsia="Arial" w:hAnsi="Arial"/>
                <w:sz w:val="14"/>
                <w:szCs w:val="14"/>
                <w:color w:val="auto"/>
                <w:w w:val="83"/>
              </w:rPr>
              <w:t>2014</w:t>
            </w:r>
          </w:p>
        </w:tc>
        <w:tc>
          <w:tcPr>
            <w:tcW w:w="380" w:type="dxa"/>
            <w:vAlign w:val="bottom"/>
          </w:tcPr>
          <w:p>
            <w:pPr>
              <w:spacing w:after="0"/>
              <w:rPr>
                <w:sz w:val="12"/>
                <w:szCs w:val="12"/>
                <w:color w:val="auto"/>
              </w:rPr>
            </w:pPr>
          </w:p>
        </w:tc>
        <w:tc>
          <w:tcPr>
            <w:tcW w:w="760" w:type="dxa"/>
            <w:vAlign w:val="bottom"/>
          </w:tcPr>
          <w:p>
            <w:pPr>
              <w:jc w:val="right"/>
              <w:ind w:right="374"/>
              <w:spacing w:after="0" w:line="142" w:lineRule="exact"/>
              <w:rPr>
                <w:sz w:val="20"/>
                <w:szCs w:val="20"/>
                <w:color w:val="auto"/>
              </w:rPr>
            </w:pPr>
            <w:r>
              <w:rPr>
                <w:rFonts w:ascii="Arial" w:cs="Arial" w:eastAsia="Arial" w:hAnsi="Arial"/>
                <w:sz w:val="14"/>
                <w:szCs w:val="14"/>
                <w:color w:val="auto"/>
                <w:w w:val="89"/>
              </w:rPr>
              <w:t>2013</w:t>
            </w:r>
          </w:p>
        </w:tc>
        <w:tc>
          <w:tcPr>
            <w:tcW w:w="1060" w:type="dxa"/>
            <w:vAlign w:val="bottom"/>
          </w:tcPr>
          <w:p>
            <w:pPr>
              <w:jc w:val="right"/>
              <w:ind w:right="298"/>
              <w:spacing w:after="0" w:line="142" w:lineRule="exact"/>
              <w:rPr>
                <w:sz w:val="20"/>
                <w:szCs w:val="20"/>
                <w:color w:val="auto"/>
              </w:rPr>
            </w:pPr>
            <w:r>
              <w:rPr>
                <w:rFonts w:ascii="Arial" w:cs="Arial" w:eastAsia="Arial" w:hAnsi="Arial"/>
                <w:sz w:val="14"/>
                <w:szCs w:val="14"/>
                <w:color w:val="auto"/>
              </w:rPr>
              <w:t>2014</w:t>
            </w:r>
          </w:p>
        </w:tc>
        <w:tc>
          <w:tcPr>
            <w:tcW w:w="920" w:type="dxa"/>
            <w:vAlign w:val="bottom"/>
          </w:tcPr>
          <w:p>
            <w:pPr>
              <w:jc w:val="right"/>
              <w:ind w:right="254"/>
              <w:spacing w:after="0" w:line="142"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w:t>
            </w:r>
          </w:p>
        </w:tc>
        <w:tc>
          <w:tcPr>
            <w:tcW w:w="6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E5E5E5"/>
          </w:tcPr>
          <w:p>
            <w:pPr>
              <w:jc w:val="right"/>
              <w:ind w:right="258"/>
              <w:spacing w:after="0"/>
              <w:rPr>
                <w:sz w:val="20"/>
                <w:szCs w:val="20"/>
                <w:color w:val="auto"/>
              </w:rPr>
            </w:pPr>
            <w:r>
              <w:rPr>
                <w:rFonts w:ascii="Arial" w:cs="Arial" w:eastAsia="Arial" w:hAnsi="Arial"/>
                <w:sz w:val="18"/>
                <w:szCs w:val="18"/>
                <w:color w:val="auto"/>
              </w:rPr>
              <w:t>833</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color w:val="auto"/>
              </w:rPr>
              <w:t>278</w:t>
            </w:r>
          </w:p>
        </w:tc>
        <w:tc>
          <w:tcPr>
            <w:tcW w:w="1060" w:type="dxa"/>
            <w:vAlign w:val="bottom"/>
            <w:tcBorders>
              <w:top w:val="single" w:sz="8" w:color="auto"/>
            </w:tcBorders>
            <w:shd w:val="clear" w:color="auto" w:fill="E5E5E5"/>
          </w:tcPr>
          <w:p>
            <w:pPr>
              <w:jc w:val="right"/>
              <w:ind w:right="158"/>
              <w:spacing w:after="0"/>
              <w:rPr>
                <w:sz w:val="20"/>
                <w:szCs w:val="20"/>
                <w:color w:val="auto"/>
              </w:rPr>
            </w:pPr>
            <w:r>
              <w:rPr>
                <w:rFonts w:ascii="Arial" w:cs="Arial" w:eastAsia="Arial" w:hAnsi="Arial"/>
                <w:sz w:val="18"/>
                <w:szCs w:val="18"/>
                <w:color w:val="auto"/>
              </w:rPr>
              <w:t>$ 2,416</w:t>
            </w:r>
          </w:p>
        </w:tc>
        <w:tc>
          <w:tcPr>
            <w:tcW w:w="920" w:type="dxa"/>
            <w:vAlign w:val="bottom"/>
            <w:tcBorders>
              <w:top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$ 1,319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Unrealized gains (losses) on marketable securities, net</w:t>
            </w:r>
          </w:p>
        </w:tc>
        <w:tc>
          <w:tcPr>
            <w:tcW w:w="620" w:type="dxa"/>
            <w:vAlign w:val="bottom"/>
          </w:tcPr>
          <w:p>
            <w:pPr>
              <w:spacing w:after="0"/>
              <w:rPr>
                <w:sz w:val="18"/>
                <w:szCs w:val="18"/>
                <w:color w:val="auto"/>
              </w:rPr>
            </w:pPr>
          </w:p>
        </w:tc>
        <w:tc>
          <w:tcPr>
            <w:tcW w:w="760" w:type="dxa"/>
            <w:vAlign w:val="bottom"/>
          </w:tcPr>
          <w:p>
            <w:pPr>
              <w:jc w:val="right"/>
              <w:ind w:right="198"/>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76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8"/>
              <w:spacing w:after="0"/>
              <w:rPr>
                <w:sz w:val="20"/>
                <w:szCs w:val="20"/>
                <w:color w:val="auto"/>
              </w:rPr>
            </w:pPr>
            <w:r>
              <w:rPr>
                <w:rFonts w:ascii="Arial" w:cs="Arial" w:eastAsia="Arial" w:hAnsi="Arial"/>
                <w:sz w:val="18"/>
                <w:szCs w:val="18"/>
                <w:color w:val="auto"/>
              </w:rPr>
              <w:t>3</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E5E5E5"/>
          </w:tcPr>
          <w:p>
            <w:pPr>
              <w:spacing w:after="0"/>
              <w:rPr>
                <w:sz w:val="20"/>
                <w:szCs w:val="20"/>
                <w:color w:val="auto"/>
              </w:rPr>
            </w:pPr>
            <w:r>
              <w:rPr>
                <w:rFonts w:ascii="Arial" w:cs="Arial" w:eastAsia="Arial" w:hAnsi="Arial"/>
                <w:sz w:val="18"/>
                <w:szCs w:val="18"/>
                <w:color w:val="auto"/>
              </w:rPr>
              <w:t>Deferred gains (losses) on cash flow hedges, net</w:t>
            </w:r>
          </w:p>
        </w:tc>
        <w:tc>
          <w:tcPr>
            <w:tcW w:w="6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8"/>
              <w:spacing w:after="0"/>
              <w:rPr>
                <w:sz w:val="20"/>
                <w:szCs w:val="20"/>
                <w:color w:val="auto"/>
              </w:rPr>
            </w:pPr>
            <w:r>
              <w:rPr>
                <w:rFonts w:ascii="Arial" w:cs="Arial" w:eastAsia="Arial" w:hAnsi="Arial"/>
                <w:sz w:val="18"/>
                <w:szCs w:val="18"/>
                <w:color w:val="auto"/>
              </w:rPr>
              <w:t>11</w:t>
            </w:r>
          </w:p>
        </w:tc>
        <w:tc>
          <w:tcPr>
            <w:tcW w:w="3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(5)</w:t>
            </w:r>
          </w:p>
        </w:tc>
        <w:tc>
          <w:tcPr>
            <w:tcW w:w="1060" w:type="dxa"/>
            <w:vAlign w:val="bottom"/>
            <w:shd w:val="clear" w:color="auto" w:fill="E5E5E5"/>
          </w:tcPr>
          <w:p>
            <w:pPr>
              <w:jc w:val="right"/>
              <w:ind w:right="158"/>
              <w:spacing w:after="0"/>
              <w:rPr>
                <w:sz w:val="20"/>
                <w:szCs w:val="20"/>
                <w:color w:val="auto"/>
              </w:rPr>
            </w:pPr>
            <w:r>
              <w:rPr>
                <w:rFonts w:ascii="Arial" w:cs="Arial" w:eastAsia="Arial" w:hAnsi="Arial"/>
                <w:sz w:val="18"/>
                <w:szCs w:val="18"/>
                <w:color w:val="auto"/>
              </w:rPr>
              <w:t>9</w:t>
            </w:r>
          </w:p>
        </w:tc>
        <w:tc>
          <w:tcPr>
            <w:tcW w:w="92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Employee benefit obligations, net</w:t>
            </w:r>
          </w:p>
        </w:tc>
        <w:tc>
          <w:tcPr>
            <w:tcW w:w="620" w:type="dxa"/>
            <w:vAlign w:val="bottom"/>
          </w:tcPr>
          <w:p>
            <w:pPr>
              <w:spacing w:after="0"/>
              <w:rPr>
                <w:sz w:val="18"/>
                <w:szCs w:val="18"/>
                <w:color w:val="auto"/>
              </w:rPr>
            </w:pPr>
          </w:p>
        </w:tc>
        <w:tc>
          <w:tcPr>
            <w:tcW w:w="7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6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Currency translation adjustments, net</w:t>
            </w:r>
          </w:p>
        </w:tc>
        <w:tc>
          <w:tcPr>
            <w:tcW w:w="6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98"/>
              <w:spacing w:after="0"/>
              <w:rPr>
                <w:sz w:val="20"/>
                <w:szCs w:val="20"/>
                <w:color w:val="auto"/>
              </w:rPr>
            </w:pPr>
            <w:r>
              <w:rPr>
                <w:rFonts w:ascii="Arial" w:cs="Arial" w:eastAsia="Arial" w:hAnsi="Arial"/>
                <w:sz w:val="18"/>
                <w:szCs w:val="18"/>
                <w:color w:val="auto"/>
              </w:rPr>
              <w:t>(26)</w:t>
            </w:r>
          </w:p>
        </w:tc>
        <w:tc>
          <w:tcPr>
            <w:tcW w:w="3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color w:val="auto"/>
              </w:rPr>
              <w:t>13</w:t>
            </w:r>
          </w:p>
        </w:tc>
        <w:tc>
          <w:tcPr>
            <w:tcW w:w="1060" w:type="dxa"/>
            <w:vAlign w:val="bottom"/>
            <w:tcBorders>
              <w:bottom w:val="single" w:sz="8" w:color="auto"/>
            </w:tcBorders>
            <w:shd w:val="clear" w:color="auto" w:fill="E5E5E5"/>
          </w:tcPr>
          <w:p>
            <w:pPr>
              <w:jc w:val="right"/>
              <w:ind w:right="98"/>
              <w:spacing w:after="0"/>
              <w:rPr>
                <w:sz w:val="20"/>
                <w:szCs w:val="20"/>
                <w:color w:val="auto"/>
              </w:rPr>
            </w:pPr>
            <w:r>
              <w:rPr>
                <w:rFonts w:ascii="Arial" w:cs="Arial" w:eastAsia="Arial" w:hAnsi="Arial"/>
                <w:sz w:val="18"/>
                <w:szCs w:val="18"/>
                <w:color w:val="auto"/>
              </w:rPr>
              <w:t>(8)</w:t>
            </w:r>
          </w:p>
        </w:tc>
        <w:tc>
          <w:tcPr>
            <w:tcW w:w="92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620" w:type="dxa"/>
            <w:vAlign w:val="bottom"/>
          </w:tcPr>
          <w:p>
            <w:pPr>
              <w:spacing w:after="0"/>
              <w:rPr>
                <w:sz w:val="18"/>
                <w:szCs w:val="18"/>
                <w:color w:val="auto"/>
              </w:rPr>
            </w:pPr>
          </w:p>
        </w:tc>
        <w:tc>
          <w:tcPr>
            <w:tcW w:w="760" w:type="dxa"/>
            <w:vAlign w:val="bottom"/>
          </w:tcPr>
          <w:p>
            <w:pPr>
              <w:jc w:val="right"/>
              <w:ind w:right="258"/>
              <w:spacing w:after="0"/>
              <w:rPr>
                <w:sz w:val="20"/>
                <w:szCs w:val="20"/>
                <w:color w:val="auto"/>
              </w:rPr>
            </w:pPr>
            <w:r>
              <w:rPr>
                <w:rFonts w:ascii="Arial" w:cs="Arial" w:eastAsia="Arial" w:hAnsi="Arial"/>
                <w:sz w:val="18"/>
                <w:szCs w:val="18"/>
                <w:color w:val="auto"/>
              </w:rPr>
              <w:t>816</w:t>
            </w:r>
          </w:p>
        </w:tc>
        <w:tc>
          <w:tcPr>
            <w:tcW w:w="380" w:type="dxa"/>
            <w:vAlign w:val="bottom"/>
          </w:tcPr>
          <w:p>
            <w:pPr>
              <w:spacing w:after="0"/>
              <w:rPr>
                <w:sz w:val="18"/>
                <w:szCs w:val="18"/>
                <w:color w:val="auto"/>
              </w:rPr>
            </w:pPr>
          </w:p>
        </w:tc>
        <w:tc>
          <w:tcPr>
            <w:tcW w:w="760" w:type="dxa"/>
            <w:vAlign w:val="bottom"/>
          </w:tcPr>
          <w:p>
            <w:pPr>
              <w:jc w:val="right"/>
              <w:ind w:right="234"/>
              <w:spacing w:after="0"/>
              <w:rPr>
                <w:sz w:val="20"/>
                <w:szCs w:val="20"/>
                <w:color w:val="auto"/>
              </w:rPr>
            </w:pPr>
            <w:r>
              <w:rPr>
                <w:rFonts w:ascii="Arial" w:cs="Arial" w:eastAsia="Arial" w:hAnsi="Arial"/>
                <w:sz w:val="18"/>
                <w:szCs w:val="18"/>
                <w:color w:val="auto"/>
              </w:rPr>
              <w:t>286</w:t>
            </w:r>
          </w:p>
        </w:tc>
        <w:tc>
          <w:tcPr>
            <w:tcW w:w="1060" w:type="dxa"/>
            <w:vAlign w:val="bottom"/>
          </w:tcPr>
          <w:p>
            <w:pPr>
              <w:jc w:val="right"/>
              <w:ind w:right="158"/>
              <w:spacing w:after="0"/>
              <w:rPr>
                <w:sz w:val="20"/>
                <w:szCs w:val="20"/>
                <w:color w:val="auto"/>
              </w:rPr>
            </w:pPr>
            <w:r>
              <w:rPr>
                <w:rFonts w:ascii="Arial" w:cs="Arial" w:eastAsia="Arial" w:hAnsi="Arial"/>
                <w:sz w:val="18"/>
                <w:szCs w:val="18"/>
                <w:color w:val="auto"/>
              </w:rPr>
              <w:t>2,420</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6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98"/>
              <w:spacing w:after="0"/>
              <w:rPr>
                <w:sz w:val="20"/>
                <w:szCs w:val="20"/>
                <w:color w:val="auto"/>
              </w:rPr>
            </w:pPr>
            <w:r>
              <w:rPr>
                <w:rFonts w:ascii="Arial" w:cs="Arial" w:eastAsia="Arial" w:hAnsi="Arial"/>
                <w:sz w:val="18"/>
                <w:szCs w:val="18"/>
                <w:color w:val="auto"/>
              </w:rPr>
              <w:t>(31)</w:t>
            </w:r>
          </w:p>
        </w:tc>
        <w:tc>
          <w:tcPr>
            <w:tcW w:w="3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(42)</w:t>
            </w:r>
          </w:p>
        </w:tc>
        <w:tc>
          <w:tcPr>
            <w:tcW w:w="1060" w:type="dxa"/>
            <w:vAlign w:val="bottom"/>
            <w:tcBorders>
              <w:bottom w:val="single" w:sz="8" w:color="auto"/>
            </w:tcBorders>
            <w:shd w:val="clear" w:color="auto" w:fill="E5E5E5"/>
          </w:tcPr>
          <w:p>
            <w:pPr>
              <w:jc w:val="right"/>
              <w:ind w:right="98"/>
              <w:spacing w:after="0"/>
              <w:rPr>
                <w:sz w:val="20"/>
                <w:szCs w:val="20"/>
                <w:color w:val="auto"/>
              </w:rPr>
            </w:pPr>
            <w:r>
              <w:rPr>
                <w:rFonts w:ascii="Arial" w:cs="Arial" w:eastAsia="Arial" w:hAnsi="Arial"/>
                <w:sz w:val="18"/>
                <w:szCs w:val="18"/>
                <w:color w:val="auto"/>
              </w:rPr>
              <w:t>(118)</w:t>
            </w:r>
          </w:p>
        </w:tc>
        <w:tc>
          <w:tcPr>
            <w:tcW w:w="92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Comprehensive income attributable to NBCUniversal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58"/>
              <w:spacing w:after="0"/>
              <w:rPr>
                <w:sz w:val="20"/>
                <w:szCs w:val="20"/>
                <w:color w:val="auto"/>
              </w:rPr>
            </w:pPr>
            <w:r>
              <w:rPr>
                <w:rFonts w:ascii="Arial" w:cs="Arial" w:eastAsia="Arial" w:hAnsi="Arial"/>
                <w:sz w:val="18"/>
                <w:szCs w:val="18"/>
                <w:b w:val="1"/>
                <w:bCs w:val="1"/>
                <w:color w:val="auto"/>
              </w:rPr>
              <w:t>785</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244</w:t>
            </w:r>
          </w:p>
        </w:tc>
        <w:tc>
          <w:tcPr>
            <w:tcW w:w="106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b w:val="1"/>
                <w:bCs w:val="1"/>
                <w:color w:val="auto"/>
              </w:rPr>
              <w:t>$ 2,302</w:t>
            </w:r>
          </w:p>
        </w:tc>
        <w:tc>
          <w:tcPr>
            <w:tcW w:w="9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$ 1,176</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gridSpan w:val="3"/>
          </w:tcPr>
          <w:p>
            <w:pPr>
              <w:jc w:val="right"/>
              <w:ind w:right="293"/>
              <w:spacing w:after="0"/>
              <w:rPr>
                <w:sz w:val="20"/>
                <w:szCs w:val="20"/>
                <w:color w:val="auto"/>
              </w:rPr>
            </w:pPr>
            <w:r>
              <w:rPr>
                <w:rFonts w:ascii="Arial" w:cs="Arial" w:eastAsia="Arial" w:hAnsi="Arial"/>
                <w:sz w:val="14"/>
                <w:szCs w:val="14"/>
                <w:color w:val="auto"/>
                <w:w w:val="94"/>
              </w:rPr>
              <w:t>Nine Months Ended</w:t>
            </w:r>
          </w:p>
        </w:tc>
        <w:tc>
          <w:tcPr>
            <w:tcW w:w="0" w:type="dxa"/>
            <w:vAlign w:val="bottom"/>
          </w:tcPr>
          <w:p>
            <w:pPr>
              <w:spacing w:after="0"/>
              <w:rPr>
                <w:sz w:val="1"/>
                <w:szCs w:val="1"/>
                <w:color w:val="auto"/>
              </w:rPr>
            </w:pPr>
          </w:p>
        </w:tc>
      </w:tr>
      <w:tr>
        <w:trPr>
          <w:trHeight w:val="159"/>
        </w:trPr>
        <w:tc>
          <w:tcPr>
            <w:tcW w:w="93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473"/>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932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color w:val="auto"/>
                <w:w w:val="96"/>
              </w:rPr>
              <w:t>2014</w:t>
            </w: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w w:val="96"/>
              </w:rPr>
              <w:t>2013</w:t>
            </w:r>
          </w:p>
        </w:tc>
        <w:tc>
          <w:tcPr>
            <w:tcW w:w="0" w:type="dxa"/>
            <w:vAlign w:val="bottom"/>
          </w:tcPr>
          <w:p>
            <w:pPr>
              <w:spacing w:after="0"/>
              <w:rPr>
                <w:sz w:val="1"/>
                <w:szCs w:val="1"/>
                <w:color w:val="auto"/>
              </w:rPr>
            </w:pPr>
          </w:p>
        </w:tc>
      </w:tr>
      <w:tr>
        <w:trPr>
          <w:trHeight w:val="210"/>
        </w:trPr>
        <w:tc>
          <w:tcPr>
            <w:tcW w:w="9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b w:val="1"/>
                <w:bCs w:val="1"/>
                <w:color w:val="auto"/>
                <w:w w:val="97"/>
              </w:rPr>
              <w:t>3,156</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w w:val="97"/>
              </w:rPr>
              <w:t>3,734</w:t>
            </w:r>
          </w:p>
        </w:tc>
        <w:tc>
          <w:tcPr>
            <w:tcW w:w="0" w:type="dxa"/>
            <w:vAlign w:val="bottom"/>
          </w:tcPr>
          <w:p>
            <w:pPr>
              <w:spacing w:after="0"/>
              <w:rPr>
                <w:sz w:val="1"/>
                <w:szCs w:val="1"/>
                <w:color w:val="auto"/>
              </w:rPr>
            </w:pPr>
          </w:p>
        </w:tc>
      </w:tr>
      <w:tr>
        <w:trPr>
          <w:trHeight w:val="210"/>
        </w:trPr>
        <w:tc>
          <w:tcPr>
            <w:tcW w:w="93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Capital expenditures</w:t>
            </w:r>
          </w:p>
        </w:tc>
        <w:tc>
          <w:tcPr>
            <w:tcW w:w="5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(884)</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Cash paid for intangible assets</w:t>
            </w:r>
          </w:p>
        </w:tc>
        <w:tc>
          <w:tcPr>
            <w:tcW w:w="540" w:type="dxa"/>
            <w:vAlign w:val="bottom"/>
          </w:tcPr>
          <w:p>
            <w:pPr>
              <w:spacing w:after="0"/>
              <w:rPr>
                <w:sz w:val="18"/>
                <w:szCs w:val="18"/>
                <w:color w:val="auto"/>
              </w:rPr>
            </w:pPr>
          </w:p>
        </w:tc>
        <w:tc>
          <w:tcPr>
            <w:tcW w:w="660" w:type="dxa"/>
            <w:vAlign w:val="bottom"/>
          </w:tcPr>
          <w:p>
            <w:pPr>
              <w:jc w:val="right"/>
              <w:ind w:right="55"/>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9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Acquisitions of real estate properties</w:t>
            </w:r>
          </w:p>
        </w:tc>
        <w:tc>
          <w:tcPr>
            <w:tcW w:w="5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7"/>
              </w:rPr>
              <w:t>(1,705)</w:t>
            </w: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Acquisitions, net of cash acquired</w:t>
            </w:r>
          </w:p>
        </w:tc>
        <w:tc>
          <w:tcPr>
            <w:tcW w:w="540" w:type="dxa"/>
            <w:vAlign w:val="bottom"/>
          </w:tcPr>
          <w:p>
            <w:pPr>
              <w:spacing w:after="0"/>
              <w:rPr>
                <w:sz w:val="18"/>
                <w:szCs w:val="18"/>
                <w:color w:val="auto"/>
              </w:rPr>
            </w:pPr>
          </w:p>
        </w:tc>
        <w:tc>
          <w:tcPr>
            <w:tcW w:w="660" w:type="dxa"/>
            <w:vAlign w:val="bottom"/>
          </w:tcPr>
          <w:p>
            <w:pPr>
              <w:jc w:val="right"/>
              <w:ind w:right="55"/>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9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Note receivable from Comcast</w:t>
            </w:r>
          </w:p>
        </w:tc>
        <w:tc>
          <w:tcPr>
            <w:tcW w:w="5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Return of capital from investees</w:t>
            </w:r>
          </w:p>
        </w:tc>
        <w:tc>
          <w:tcPr>
            <w:tcW w:w="540" w:type="dxa"/>
            <w:vAlign w:val="bottom"/>
          </w:tcPr>
          <w:p>
            <w:pPr>
              <w:spacing w:after="0"/>
              <w:rPr>
                <w:sz w:val="18"/>
                <w:szCs w:val="18"/>
                <w:color w:val="auto"/>
              </w:rPr>
            </w:pPr>
          </w:p>
        </w:tc>
        <w:tc>
          <w:tcPr>
            <w:tcW w:w="660" w:type="dxa"/>
            <w:vAlign w:val="bottom"/>
          </w:tcPr>
          <w:p>
            <w:pPr>
              <w:jc w:val="right"/>
              <w:ind w:right="115"/>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680" w:type="dxa"/>
            <w:vAlign w:val="bottom"/>
          </w:tcPr>
          <w:p>
            <w:pPr>
              <w:jc w:val="right"/>
              <w:ind w:right="133"/>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9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Purchases of investments</w:t>
            </w:r>
          </w:p>
        </w:tc>
        <w:tc>
          <w:tcPr>
            <w:tcW w:w="5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(29)</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93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(145)</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9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5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b w:val="1"/>
                <w:bCs w:val="1"/>
                <w:color w:val="auto"/>
                <w:w w:val="87"/>
              </w:rPr>
              <w:t>(1,257)</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87"/>
              </w:rPr>
              <w:t>(3,745)</w:t>
            </w:r>
          </w:p>
        </w:tc>
        <w:tc>
          <w:tcPr>
            <w:tcW w:w="0" w:type="dxa"/>
            <w:vAlign w:val="bottom"/>
          </w:tcPr>
          <w:p>
            <w:pPr>
              <w:spacing w:after="0"/>
              <w:rPr>
                <w:sz w:val="1"/>
                <w:szCs w:val="1"/>
                <w:color w:val="auto"/>
              </w:rPr>
            </w:pPr>
          </w:p>
        </w:tc>
      </w:tr>
      <w:tr>
        <w:trPr>
          <w:trHeight w:val="210"/>
        </w:trPr>
        <w:tc>
          <w:tcPr>
            <w:tcW w:w="93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Proceeds from (repayments of) borrowings from Comcast, net</w:t>
            </w:r>
          </w:p>
        </w:tc>
        <w:tc>
          <w:tcPr>
            <w:tcW w:w="5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279</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Repurchases and repayments of debt</w:t>
            </w:r>
          </w:p>
        </w:tc>
        <w:tc>
          <w:tcPr>
            <w:tcW w:w="540" w:type="dxa"/>
            <w:vAlign w:val="bottom"/>
          </w:tcPr>
          <w:p>
            <w:pPr>
              <w:spacing w:after="0"/>
              <w:rPr>
                <w:sz w:val="18"/>
                <w:szCs w:val="18"/>
                <w:color w:val="auto"/>
              </w:rPr>
            </w:pPr>
          </w:p>
        </w:tc>
        <w:tc>
          <w:tcPr>
            <w:tcW w:w="660" w:type="dxa"/>
            <w:vAlign w:val="bottom"/>
          </w:tcPr>
          <w:p>
            <w:pPr>
              <w:jc w:val="right"/>
              <w:ind w:right="55"/>
              <w:spacing w:after="0"/>
              <w:rPr>
                <w:sz w:val="20"/>
                <w:szCs w:val="20"/>
                <w:color w:val="auto"/>
              </w:rPr>
            </w:pPr>
            <w:r>
              <w:rPr>
                <w:rFonts w:ascii="Arial" w:cs="Arial" w:eastAsia="Arial" w:hAnsi="Arial"/>
                <w:sz w:val="18"/>
                <w:szCs w:val="18"/>
                <w:color w:val="auto"/>
              </w:rPr>
              <w:t>(904)</w:t>
            </w:r>
          </w:p>
        </w:tc>
        <w:tc>
          <w:tcPr>
            <w:tcW w:w="22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9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Redemption Transaction distribution</w:t>
            </w:r>
          </w:p>
        </w:tc>
        <w:tc>
          <w:tcPr>
            <w:tcW w:w="5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7"/>
              </w:rPr>
              <w:t>(3,200)</w:t>
            </w: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Distributions to noncontrolling interests</w:t>
            </w:r>
          </w:p>
        </w:tc>
        <w:tc>
          <w:tcPr>
            <w:tcW w:w="540" w:type="dxa"/>
            <w:vAlign w:val="bottom"/>
          </w:tcPr>
          <w:p>
            <w:pPr>
              <w:spacing w:after="0"/>
              <w:rPr>
                <w:sz w:val="18"/>
                <w:szCs w:val="18"/>
                <w:color w:val="auto"/>
              </w:rPr>
            </w:pPr>
          </w:p>
        </w:tc>
        <w:tc>
          <w:tcPr>
            <w:tcW w:w="660" w:type="dxa"/>
            <w:vAlign w:val="bottom"/>
          </w:tcPr>
          <w:p>
            <w:pPr>
              <w:jc w:val="right"/>
              <w:ind w:right="55"/>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9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Distributions to member</w:t>
            </w:r>
          </w:p>
        </w:tc>
        <w:tc>
          <w:tcPr>
            <w:tcW w:w="5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w w:val="87"/>
              </w:rPr>
              <w:t>(1,237)</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Settlement of Station Venture liability</w:t>
            </w:r>
          </w:p>
        </w:tc>
        <w:tc>
          <w:tcPr>
            <w:tcW w:w="540" w:type="dxa"/>
            <w:vAlign w:val="bottom"/>
          </w:tcPr>
          <w:p>
            <w:pPr>
              <w:spacing w:after="0"/>
              <w:rPr>
                <w:sz w:val="18"/>
                <w:szCs w:val="18"/>
                <w:color w:val="auto"/>
              </w:rPr>
            </w:pPr>
          </w:p>
        </w:tc>
        <w:tc>
          <w:tcPr>
            <w:tcW w:w="66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932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9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5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w w:val="87"/>
              </w:rPr>
              <w:t>(2,001)</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87"/>
              </w:rPr>
              <w:t>(5,040)</w:t>
            </w:r>
          </w:p>
        </w:tc>
        <w:tc>
          <w:tcPr>
            <w:tcW w:w="0" w:type="dxa"/>
            <w:vAlign w:val="bottom"/>
          </w:tcPr>
          <w:p>
            <w:pPr>
              <w:spacing w:after="0"/>
              <w:rPr>
                <w:sz w:val="1"/>
                <w:szCs w:val="1"/>
                <w:color w:val="auto"/>
              </w:rPr>
            </w:pPr>
          </w:p>
        </w:tc>
      </w:tr>
      <w:tr>
        <w:trPr>
          <w:trHeight w:val="210"/>
        </w:trPr>
        <w:tc>
          <w:tcPr>
            <w:tcW w:w="932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5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7"/>
              </w:rPr>
              <w:t>(5,051)</w:t>
            </w:r>
          </w:p>
        </w:tc>
        <w:tc>
          <w:tcPr>
            <w:tcW w:w="0" w:type="dxa"/>
            <w:vAlign w:val="bottom"/>
          </w:tcPr>
          <w:p>
            <w:pPr>
              <w:spacing w:after="0"/>
              <w:rPr>
                <w:sz w:val="1"/>
                <w:szCs w:val="1"/>
                <w:color w:val="auto"/>
              </w:rPr>
            </w:pPr>
          </w:p>
        </w:tc>
      </w:tr>
      <w:tr>
        <w:trPr>
          <w:trHeight w:val="216"/>
        </w:trPr>
        <w:tc>
          <w:tcPr>
            <w:tcW w:w="9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5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967</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7"/>
              </w:rPr>
              <w:t>5,921</w:t>
            </w:r>
          </w:p>
        </w:tc>
        <w:tc>
          <w:tcPr>
            <w:tcW w:w="0" w:type="dxa"/>
            <w:vAlign w:val="bottom"/>
          </w:tcPr>
          <w:p>
            <w:pPr>
              <w:spacing w:after="0"/>
              <w:rPr>
                <w:sz w:val="1"/>
                <w:szCs w:val="1"/>
                <w:color w:val="auto"/>
              </w:rPr>
            </w:pPr>
          </w:p>
        </w:tc>
      </w:tr>
      <w:tr>
        <w:trPr>
          <w:trHeight w:val="217"/>
        </w:trPr>
        <w:tc>
          <w:tcPr>
            <w:tcW w:w="9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865</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870</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color w:val="auto"/>
                <w:w w:val="88"/>
              </w:rPr>
              <w:t>Accumulated</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720" w:type="dxa"/>
            <w:vAlign w:val="bottom"/>
            <w:tcBorders>
              <w:right w:val="single" w:sz="8" w:color="auto"/>
            </w:tcBorders>
            <w:gridSpan w:val="2"/>
          </w:tcPr>
          <w:p>
            <w:pPr>
              <w:jc w:val="right"/>
              <w:ind w:right="674"/>
              <w:spacing w:after="0" w:line="149" w:lineRule="exact"/>
              <w:rPr>
                <w:sz w:val="20"/>
                <w:szCs w:val="20"/>
                <w:color w:val="auto"/>
              </w:rPr>
            </w:pPr>
            <w:r>
              <w:rPr>
                <w:rFonts w:ascii="Arial" w:cs="Arial" w:eastAsia="Arial" w:hAnsi="Arial"/>
                <w:sz w:val="14"/>
                <w:szCs w:val="14"/>
                <w:color w:val="auto"/>
              </w:rPr>
              <w:t>Redeemable</w:t>
            </w: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jc w:val="center"/>
              <w:ind w:right="395"/>
              <w:spacing w:after="0" w:line="149" w:lineRule="exact"/>
              <w:rPr>
                <w:sz w:val="20"/>
                <w:szCs w:val="20"/>
                <w:color w:val="auto"/>
              </w:rPr>
            </w:pPr>
            <w:r>
              <w:rPr>
                <w:rFonts w:ascii="Arial" w:cs="Arial" w:eastAsia="Arial" w:hAnsi="Arial"/>
                <w:sz w:val="14"/>
                <w:szCs w:val="14"/>
                <w:color w:val="auto"/>
                <w:w w:val="85"/>
              </w:rPr>
              <w:t>Other</w:t>
            </w: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720" w:type="dxa"/>
            <w:vAlign w:val="bottom"/>
            <w:tcBorders>
              <w:right w:val="single" w:sz="8" w:color="auto"/>
            </w:tcBorders>
            <w:gridSpan w:val="2"/>
          </w:tcPr>
          <w:p>
            <w:pPr>
              <w:ind w:left="220"/>
              <w:spacing w:after="0" w:line="149" w:lineRule="exact"/>
              <w:rPr>
                <w:sz w:val="20"/>
                <w:szCs w:val="20"/>
                <w:color w:val="auto"/>
              </w:rPr>
            </w:pPr>
            <w:r>
              <w:rPr>
                <w:rFonts w:ascii="Arial" w:cs="Arial" w:eastAsia="Arial" w:hAnsi="Arial"/>
                <w:sz w:val="14"/>
                <w:szCs w:val="14"/>
                <w:color w:val="auto"/>
              </w:rPr>
              <w:t>Noncontrolling</w:t>
            </w:r>
          </w:p>
        </w:tc>
        <w:tc>
          <w:tcPr>
            <w:tcW w:w="1320" w:type="dxa"/>
            <w:vAlign w:val="bottom"/>
          </w:tcPr>
          <w:p>
            <w:pPr>
              <w:jc w:val="right"/>
              <w:ind w:right="235"/>
              <w:spacing w:after="0" w:line="149" w:lineRule="exact"/>
              <w:rPr>
                <w:sz w:val="20"/>
                <w:szCs w:val="20"/>
                <w:color w:val="auto"/>
              </w:rPr>
            </w:pPr>
            <w:r>
              <w:rPr>
                <w:rFonts w:ascii="Arial" w:cs="Arial" w:eastAsia="Arial" w:hAnsi="Arial"/>
                <w:sz w:val="14"/>
                <w:szCs w:val="14"/>
                <w:color w:val="auto"/>
              </w:rPr>
              <w:t>Member’s</w:t>
            </w:r>
          </w:p>
        </w:tc>
        <w:tc>
          <w:tcPr>
            <w:tcW w:w="14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Comprehensive</w:t>
            </w:r>
          </w:p>
        </w:tc>
        <w:tc>
          <w:tcPr>
            <w:tcW w:w="13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Noncontrolling</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9"/>
        </w:trPr>
        <w:tc>
          <w:tcPr>
            <w:tcW w:w="456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13"/>
                <w:szCs w:val="13"/>
                <w:color w:val="auto"/>
              </w:rPr>
            </w:pPr>
          </w:p>
        </w:tc>
        <w:tc>
          <w:tcPr>
            <w:tcW w:w="1360" w:type="dxa"/>
            <w:vAlign w:val="bottom"/>
            <w:tcBorders>
              <w:right w:val="single" w:sz="8" w:color="auto"/>
            </w:tcBorders>
          </w:tcPr>
          <w:p>
            <w:pPr>
              <w:jc w:val="right"/>
              <w:ind w:right="774"/>
              <w:spacing w:after="0" w:line="159" w:lineRule="exact"/>
              <w:rPr>
                <w:sz w:val="20"/>
                <w:szCs w:val="20"/>
                <w:color w:val="auto"/>
              </w:rPr>
            </w:pPr>
            <w:r>
              <w:rPr>
                <w:rFonts w:ascii="Arial" w:cs="Arial" w:eastAsia="Arial" w:hAnsi="Arial"/>
                <w:sz w:val="14"/>
                <w:szCs w:val="14"/>
                <w:color w:val="auto"/>
                <w:w w:val="89"/>
              </w:rPr>
              <w:t>Interests</w:t>
            </w:r>
          </w:p>
        </w:tc>
        <w:tc>
          <w:tcPr>
            <w:tcW w:w="1320" w:type="dxa"/>
            <w:vAlign w:val="bottom"/>
          </w:tcPr>
          <w:p>
            <w:pPr>
              <w:jc w:val="right"/>
              <w:ind w:right="315"/>
              <w:spacing w:after="0" w:line="159" w:lineRule="exact"/>
              <w:rPr>
                <w:sz w:val="20"/>
                <w:szCs w:val="20"/>
                <w:color w:val="auto"/>
              </w:rPr>
            </w:pPr>
            <w:r>
              <w:rPr>
                <w:rFonts w:ascii="Arial" w:cs="Arial" w:eastAsia="Arial" w:hAnsi="Arial"/>
                <w:sz w:val="14"/>
                <w:szCs w:val="14"/>
                <w:color w:val="auto"/>
              </w:rPr>
              <w:t>Capital</w:t>
            </w:r>
          </w:p>
        </w:tc>
        <w:tc>
          <w:tcPr>
            <w:tcW w:w="140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7"/>
              </w:rPr>
              <w:t>Income (Loss)</w:t>
            </w:r>
          </w:p>
        </w:tc>
        <w:tc>
          <w:tcPr>
            <w:tcW w:w="380" w:type="dxa"/>
            <w:vAlign w:val="bottom"/>
          </w:tcPr>
          <w:p>
            <w:pPr>
              <w:spacing w:after="0"/>
              <w:rPr>
                <w:sz w:val="13"/>
                <w:szCs w:val="13"/>
                <w:color w:val="auto"/>
              </w:rPr>
            </w:pPr>
          </w:p>
        </w:tc>
        <w:tc>
          <w:tcPr>
            <w:tcW w:w="1000" w:type="dxa"/>
            <w:vAlign w:val="bottom"/>
          </w:tcPr>
          <w:p>
            <w:pPr>
              <w:jc w:val="right"/>
              <w:ind w:right="394"/>
              <w:spacing w:after="0" w:line="159" w:lineRule="exact"/>
              <w:rPr>
                <w:sz w:val="20"/>
                <w:szCs w:val="20"/>
                <w:color w:val="auto"/>
              </w:rPr>
            </w:pPr>
            <w:r>
              <w:rPr>
                <w:rFonts w:ascii="Arial" w:cs="Arial" w:eastAsia="Arial" w:hAnsi="Arial"/>
                <w:sz w:val="14"/>
                <w:szCs w:val="14"/>
                <w:color w:val="auto"/>
                <w:w w:val="93"/>
              </w:rPr>
              <w:t>Interests</w:t>
            </w:r>
          </w:p>
        </w:tc>
        <w:tc>
          <w:tcPr>
            <w:tcW w:w="104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Total Equity</w:t>
            </w:r>
          </w:p>
        </w:tc>
      </w:tr>
      <w:tr>
        <w:trPr>
          <w:trHeight w:val="210"/>
        </w:trPr>
        <w:tc>
          <w:tcPr>
            <w:tcW w:w="20" w:type="dxa"/>
            <w:vAlign w:val="bottom"/>
          </w:tcPr>
          <w:p>
            <w:pPr>
              <w:spacing w:after="0"/>
              <w:rPr>
                <w:sz w:val="18"/>
                <w:szCs w:val="18"/>
                <w:color w:val="auto"/>
              </w:rPr>
            </w:pPr>
          </w:p>
        </w:tc>
        <w:tc>
          <w:tcPr>
            <w:tcW w:w="45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Balance, January 1, 2013</w:t>
            </w:r>
          </w:p>
        </w:tc>
        <w:tc>
          <w:tcPr>
            <w:tcW w:w="36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right w:val="single" w:sz="8" w:color="auto"/>
            </w:tcBorders>
            <w:shd w:val="clear" w:color="auto" w:fill="E5E5E5"/>
          </w:tcPr>
          <w:p>
            <w:pPr>
              <w:jc w:val="right"/>
              <w:ind w:right="574"/>
              <w:spacing w:after="0"/>
              <w:rPr>
                <w:sz w:val="20"/>
                <w:szCs w:val="20"/>
                <w:color w:val="auto"/>
              </w:rPr>
            </w:pPr>
            <w:r>
              <w:rPr>
                <w:rFonts w:ascii="Arial" w:cs="Arial" w:eastAsia="Arial" w:hAnsi="Arial"/>
                <w:sz w:val="18"/>
                <w:szCs w:val="18"/>
                <w:color w:val="auto"/>
              </w:rPr>
              <w:t>131</w:t>
            </w:r>
          </w:p>
        </w:tc>
        <w:tc>
          <w:tcPr>
            <w:tcW w:w="1320" w:type="dxa"/>
            <w:vAlign w:val="bottom"/>
            <w:tcBorders>
              <w:top w:val="single" w:sz="8" w:color="auto"/>
            </w:tcBorders>
            <w:shd w:val="clear" w:color="auto" w:fill="E5E5E5"/>
          </w:tcPr>
          <w:p>
            <w:pPr>
              <w:jc w:val="right"/>
              <w:ind w:right="235"/>
              <w:spacing w:after="0"/>
              <w:rPr>
                <w:sz w:val="20"/>
                <w:szCs w:val="20"/>
                <w:color w:val="auto"/>
              </w:rPr>
            </w:pPr>
            <w:r>
              <w:rPr>
                <w:rFonts w:ascii="Arial" w:cs="Arial" w:eastAsia="Arial" w:hAnsi="Arial"/>
                <w:sz w:val="18"/>
                <w:szCs w:val="18"/>
                <w:color w:val="auto"/>
              </w:rPr>
              <w:t>$31,900</w:t>
            </w:r>
          </w:p>
        </w:tc>
        <w:tc>
          <w:tcPr>
            <w:tcW w:w="42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(65)</w:t>
            </w:r>
          </w:p>
        </w:tc>
        <w:tc>
          <w:tcPr>
            <w:tcW w:w="38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419</w:t>
            </w:r>
          </w:p>
        </w:tc>
        <w:tc>
          <w:tcPr>
            <w:tcW w:w="400" w:type="dxa"/>
            <w:vAlign w:val="bottom"/>
            <w:tcBorders>
              <w:top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94"/>
              </w:rPr>
              <w:t>32,254</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Compensation plans</w:t>
            </w:r>
          </w:p>
        </w:tc>
        <w:tc>
          <w:tcPr>
            <w:tcW w:w="36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20" w:type="dxa"/>
            <w:vAlign w:val="bottom"/>
          </w:tcPr>
          <w:p>
            <w:pPr>
              <w:jc w:val="right"/>
              <w:ind w:right="235"/>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Redemption Transaction distribution</w:t>
            </w:r>
          </w:p>
        </w:tc>
        <w:tc>
          <w:tcPr>
            <w:tcW w:w="360" w:type="dxa"/>
            <w:vAlign w:val="bottom"/>
            <w:shd w:val="clear" w:color="auto" w:fill="E5E5E5"/>
          </w:tcPr>
          <w:p>
            <w:pPr>
              <w:spacing w:after="0"/>
              <w:rPr>
                <w:sz w:val="18"/>
                <w:szCs w:val="18"/>
                <w:color w:val="auto"/>
              </w:rPr>
            </w:pPr>
          </w:p>
        </w:tc>
        <w:tc>
          <w:tcPr>
            <w:tcW w:w="1360" w:type="dxa"/>
            <w:vAlign w:val="bottom"/>
            <w:tcBorders>
              <w:right w:val="single" w:sz="8" w:color="auto"/>
            </w:tcBorders>
            <w:shd w:val="clear" w:color="auto" w:fill="E5E5E5"/>
          </w:tcPr>
          <w:p>
            <w:pPr>
              <w:spacing w:after="0"/>
              <w:rPr>
                <w:sz w:val="18"/>
                <w:szCs w:val="18"/>
                <w:color w:val="auto"/>
              </w:rPr>
            </w:pPr>
          </w:p>
        </w:tc>
        <w:tc>
          <w:tcPr>
            <w:tcW w:w="132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(3,200)</w:t>
            </w:r>
          </w:p>
        </w:tc>
        <w:tc>
          <w:tcPr>
            <w:tcW w:w="4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(3,200)</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Dividends declared</w:t>
            </w:r>
          </w:p>
        </w:tc>
        <w:tc>
          <w:tcPr>
            <w:tcW w:w="36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20" w:type="dxa"/>
            <w:vAlign w:val="bottom"/>
          </w:tcPr>
          <w:p>
            <w:pPr>
              <w:jc w:val="right"/>
              <w:ind w:right="175"/>
              <w:spacing w:after="0"/>
              <w:rPr>
                <w:sz w:val="20"/>
                <w:szCs w:val="20"/>
                <w:color w:val="auto"/>
              </w:rPr>
            </w:pPr>
            <w:r>
              <w:rPr>
                <w:rFonts w:ascii="Arial" w:cs="Arial" w:eastAsia="Arial" w:hAnsi="Arial"/>
                <w:sz w:val="18"/>
                <w:szCs w:val="18"/>
                <w:color w:val="auto"/>
              </w:rPr>
              <w:t>(938)</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(938)</w:t>
            </w:r>
          </w:p>
        </w:tc>
      </w:tr>
      <w:tr>
        <w:trPr>
          <w:trHeight w:val="208"/>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w w:val="95"/>
              </w:rPr>
              <w:t>Contributions from (distributions to) noncontrolling interests,</w:t>
            </w:r>
          </w:p>
        </w:tc>
        <w:tc>
          <w:tcPr>
            <w:tcW w:w="360" w:type="dxa"/>
            <w:vAlign w:val="bottom"/>
            <w:shd w:val="clear" w:color="auto" w:fill="E5E5E5"/>
          </w:tcPr>
          <w:p>
            <w:pPr>
              <w:spacing w:after="0"/>
              <w:rPr>
                <w:sz w:val="18"/>
                <w:szCs w:val="18"/>
                <w:color w:val="auto"/>
              </w:rPr>
            </w:pPr>
          </w:p>
        </w:tc>
        <w:tc>
          <w:tcPr>
            <w:tcW w:w="1360" w:type="dxa"/>
            <w:vAlign w:val="bottom"/>
            <w:tcBorders>
              <w:right w:val="single" w:sz="8" w:color="auto"/>
            </w:tcBorders>
            <w:shd w:val="clear" w:color="auto" w:fill="E5E5E5"/>
          </w:tcPr>
          <w:p>
            <w:pPr>
              <w:spacing w:after="0"/>
              <w:rPr>
                <w:sz w:val="18"/>
                <w:szCs w:val="18"/>
                <w:color w:val="auto"/>
              </w:rPr>
            </w:pPr>
          </w:p>
        </w:tc>
        <w:tc>
          <w:tcPr>
            <w:tcW w:w="13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5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w:t>
            </w:r>
          </w:p>
        </w:tc>
        <w:tc>
          <w:tcPr>
            <w:tcW w:w="360" w:type="dxa"/>
            <w:vAlign w:val="bottom"/>
            <w:shd w:val="clear" w:color="auto" w:fill="E5E5E5"/>
          </w:tcPr>
          <w:p>
            <w:pPr>
              <w:spacing w:after="0"/>
              <w:rPr>
                <w:sz w:val="19"/>
                <w:szCs w:val="19"/>
                <w:color w:val="auto"/>
              </w:rPr>
            </w:pPr>
          </w:p>
        </w:tc>
        <w:tc>
          <w:tcPr>
            <w:tcW w:w="1360" w:type="dxa"/>
            <w:vAlign w:val="bottom"/>
            <w:tcBorders>
              <w:right w:val="single" w:sz="8" w:color="auto"/>
            </w:tcBorders>
            <w:shd w:val="clear" w:color="auto" w:fill="E5E5E5"/>
          </w:tcPr>
          <w:p>
            <w:pPr>
              <w:jc w:val="right"/>
              <w:ind w:right="514"/>
              <w:spacing w:after="0"/>
              <w:rPr>
                <w:sz w:val="20"/>
                <w:szCs w:val="20"/>
                <w:color w:val="auto"/>
              </w:rPr>
            </w:pPr>
            <w:r>
              <w:rPr>
                <w:rFonts w:ascii="Arial" w:cs="Arial" w:eastAsia="Arial" w:hAnsi="Arial"/>
                <w:sz w:val="18"/>
                <w:szCs w:val="18"/>
                <w:color w:val="auto"/>
              </w:rPr>
              <w:t>(14)</w:t>
            </w:r>
          </w:p>
        </w:tc>
        <w:tc>
          <w:tcPr>
            <w:tcW w:w="132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980" w:type="dxa"/>
            <w:vAlign w:val="bottom"/>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10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(125)</w:t>
            </w:r>
          </w:p>
        </w:tc>
        <w:tc>
          <w:tcPr>
            <w:tcW w:w="400" w:type="dxa"/>
            <w:vAlign w:val="bottom"/>
            <w:shd w:val="clear" w:color="auto" w:fill="E5E5E5"/>
          </w:tcPr>
          <w:p>
            <w:pPr>
              <w:spacing w:after="0"/>
              <w:rPr>
                <w:sz w:val="19"/>
                <w:szCs w:val="19"/>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20" w:type="dxa"/>
            <w:vAlign w:val="bottom"/>
          </w:tcPr>
          <w:p>
            <w:pPr>
              <w:jc w:val="right"/>
              <w:ind w:right="175"/>
              <w:spacing w:after="0"/>
              <w:rPr>
                <w:sz w:val="20"/>
                <w:szCs w:val="20"/>
                <w:color w:val="auto"/>
              </w:rPr>
            </w:pPr>
            <w:r>
              <w:rPr>
                <w:rFonts w:ascii="Arial" w:cs="Arial" w:eastAsia="Arial" w:hAnsi="Arial"/>
                <w:sz w:val="18"/>
                <w:szCs w:val="18"/>
                <w:color w:val="auto"/>
              </w:rPr>
              <w:t>(198)</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Other comprehensive income (loss)</w:t>
            </w:r>
          </w:p>
        </w:tc>
        <w:tc>
          <w:tcPr>
            <w:tcW w:w="360" w:type="dxa"/>
            <w:vAlign w:val="bottom"/>
            <w:shd w:val="clear" w:color="auto" w:fill="E5E5E5"/>
          </w:tcPr>
          <w:p>
            <w:pPr>
              <w:spacing w:after="0"/>
              <w:rPr>
                <w:sz w:val="18"/>
                <w:szCs w:val="18"/>
                <w:color w:val="auto"/>
              </w:rPr>
            </w:pPr>
          </w:p>
        </w:tc>
        <w:tc>
          <w:tcPr>
            <w:tcW w:w="1360" w:type="dxa"/>
            <w:vAlign w:val="bottom"/>
            <w:tcBorders>
              <w:right w:val="single" w:sz="8" w:color="auto"/>
            </w:tcBorders>
            <w:shd w:val="clear" w:color="auto" w:fill="E5E5E5"/>
          </w:tcPr>
          <w:p>
            <w:pPr>
              <w:spacing w:after="0"/>
              <w:rPr>
                <w:sz w:val="18"/>
                <w:szCs w:val="18"/>
                <w:color w:val="auto"/>
              </w:rPr>
            </w:pPr>
          </w:p>
        </w:tc>
        <w:tc>
          <w:tcPr>
            <w:tcW w:w="13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(38)</w:t>
            </w:r>
          </w:p>
        </w:tc>
        <w:tc>
          <w:tcPr>
            <w:tcW w:w="3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right"/>
              <w:ind w:right="574"/>
              <w:spacing w:after="0"/>
              <w:rPr>
                <w:sz w:val="20"/>
                <w:szCs w:val="20"/>
                <w:color w:val="auto"/>
              </w:rPr>
            </w:pPr>
            <w:r>
              <w:rPr>
                <w:rFonts w:ascii="Arial" w:cs="Arial" w:eastAsia="Arial" w:hAnsi="Arial"/>
                <w:sz w:val="18"/>
                <w:szCs w:val="18"/>
                <w:color w:val="auto"/>
              </w:rPr>
              <w:t>10</w:t>
            </w:r>
          </w:p>
        </w:tc>
        <w:tc>
          <w:tcPr>
            <w:tcW w:w="132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1,214</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95</w:t>
            </w: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1,309</w:t>
            </w:r>
          </w:p>
        </w:tc>
      </w:tr>
      <w:tr>
        <w:trPr>
          <w:trHeight w:val="217"/>
        </w:trPr>
        <w:tc>
          <w:tcPr>
            <w:tcW w:w="20" w:type="dxa"/>
            <w:vAlign w:val="bottom"/>
          </w:tcPr>
          <w:p>
            <w:pPr>
              <w:spacing w:after="0"/>
              <w:rPr>
                <w:sz w:val="18"/>
                <w:szCs w:val="18"/>
                <w:color w:val="auto"/>
              </w:rPr>
            </w:pPr>
          </w:p>
        </w:tc>
        <w:tc>
          <w:tcPr>
            <w:tcW w:w="4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September 30, 2013</w:t>
            </w:r>
          </w:p>
        </w:tc>
        <w:tc>
          <w:tcPr>
            <w:tcW w:w="3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right w:val="single" w:sz="8" w:color="auto"/>
            </w:tcBorders>
            <w:shd w:val="clear" w:color="auto" w:fill="E5E5E5"/>
          </w:tcPr>
          <w:p>
            <w:pPr>
              <w:jc w:val="right"/>
              <w:ind w:right="574"/>
              <w:spacing w:after="0"/>
              <w:rPr>
                <w:sz w:val="20"/>
                <w:szCs w:val="20"/>
                <w:color w:val="auto"/>
              </w:rPr>
            </w:pPr>
            <w:r>
              <w:rPr>
                <w:rFonts w:ascii="Arial" w:cs="Arial" w:eastAsia="Arial" w:hAnsi="Arial"/>
                <w:sz w:val="18"/>
                <w:szCs w:val="18"/>
                <w:b w:val="1"/>
                <w:bCs w:val="1"/>
                <w:color w:val="auto"/>
              </w:rPr>
              <w:t>127</w:t>
            </w:r>
          </w:p>
        </w:tc>
        <w:tc>
          <w:tcPr>
            <w:tcW w:w="1320" w:type="dxa"/>
            <w:vAlign w:val="bottom"/>
            <w:tcBorders>
              <w:bottom w:val="single" w:sz="8" w:color="auto"/>
            </w:tcBorders>
            <w:shd w:val="clear" w:color="auto" w:fill="E5E5E5"/>
          </w:tcPr>
          <w:p>
            <w:pPr>
              <w:jc w:val="right"/>
              <w:ind w:right="235"/>
              <w:spacing w:after="0"/>
              <w:rPr>
                <w:sz w:val="20"/>
                <w:szCs w:val="20"/>
                <w:color w:val="auto"/>
              </w:rPr>
            </w:pPr>
            <w:r>
              <w:rPr>
                <w:rFonts w:ascii="Arial" w:cs="Arial" w:eastAsia="Arial" w:hAnsi="Arial"/>
                <w:sz w:val="18"/>
                <w:szCs w:val="18"/>
                <w:b w:val="1"/>
                <w:bCs w:val="1"/>
                <w:color w:val="auto"/>
              </w:rPr>
              <w:t>$28,785</w:t>
            </w:r>
          </w:p>
        </w:tc>
        <w:tc>
          <w:tcPr>
            <w:tcW w:w="4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(103)</w:t>
            </w:r>
          </w:p>
        </w:tc>
        <w:tc>
          <w:tcPr>
            <w:tcW w:w="38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b w:val="1"/>
                <w:bCs w:val="1"/>
                <w:color w:val="auto"/>
              </w:rPr>
              <w:t>387</w:t>
            </w:r>
          </w:p>
        </w:tc>
        <w:tc>
          <w:tcPr>
            <w:tcW w:w="40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w w:val="94"/>
              </w:rPr>
              <w:t>29,069</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Balance, January 1, 2014</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tcPr>
          <w:p>
            <w:pPr>
              <w:jc w:val="right"/>
              <w:ind w:right="574"/>
              <w:spacing w:after="0"/>
              <w:rPr>
                <w:sz w:val="20"/>
                <w:szCs w:val="20"/>
                <w:color w:val="auto"/>
              </w:rPr>
            </w:pPr>
            <w:r>
              <w:rPr>
                <w:rFonts w:ascii="Arial" w:cs="Arial" w:eastAsia="Arial" w:hAnsi="Arial"/>
                <w:sz w:val="18"/>
                <w:szCs w:val="18"/>
                <w:color w:val="auto"/>
              </w:rPr>
              <w:t>231</w:t>
            </w:r>
          </w:p>
        </w:tc>
        <w:tc>
          <w:tcPr>
            <w:tcW w:w="1320" w:type="dxa"/>
            <w:vAlign w:val="bottom"/>
          </w:tcPr>
          <w:p>
            <w:pPr>
              <w:jc w:val="right"/>
              <w:ind w:right="235"/>
              <w:spacing w:after="0"/>
              <w:rPr>
                <w:sz w:val="20"/>
                <w:szCs w:val="20"/>
                <w:color w:val="auto"/>
              </w:rPr>
            </w:pPr>
            <w:r>
              <w:rPr>
                <w:rFonts w:ascii="Arial" w:cs="Arial" w:eastAsia="Arial" w:hAnsi="Arial"/>
                <w:sz w:val="18"/>
                <w:szCs w:val="18"/>
                <w:color w:val="auto"/>
              </w:rPr>
              <w:t>$29,056</w:t>
            </w:r>
          </w:p>
        </w:tc>
        <w:tc>
          <w:tcPr>
            <w:tcW w:w="420" w:type="dxa"/>
            <w:vAlign w:val="bottom"/>
          </w:tcPr>
          <w:p>
            <w:pPr>
              <w:ind w:left="2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5"/>
              <w:spacing w:after="0"/>
              <w:rPr>
                <w:sz w:val="20"/>
                <w:szCs w:val="20"/>
                <w:color w:val="auto"/>
              </w:rPr>
            </w:pPr>
            <w:r>
              <w:rPr>
                <w:rFonts w:ascii="Arial" w:cs="Arial" w:eastAsia="Arial" w:hAnsi="Arial"/>
                <w:sz w:val="18"/>
                <w:szCs w:val="18"/>
                <w:color w:val="auto"/>
              </w:rPr>
              <w:t>(16)</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287</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w w:val="94"/>
              </w:rPr>
              <w:t>29,327</w:t>
            </w: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Dividends declared</w:t>
            </w:r>
          </w:p>
        </w:tc>
        <w:tc>
          <w:tcPr>
            <w:tcW w:w="360" w:type="dxa"/>
            <w:vAlign w:val="bottom"/>
            <w:shd w:val="clear" w:color="auto" w:fill="E5E5E5"/>
          </w:tcPr>
          <w:p>
            <w:pPr>
              <w:spacing w:after="0"/>
              <w:rPr>
                <w:sz w:val="18"/>
                <w:szCs w:val="18"/>
                <w:color w:val="auto"/>
              </w:rPr>
            </w:pPr>
          </w:p>
        </w:tc>
        <w:tc>
          <w:tcPr>
            <w:tcW w:w="1360" w:type="dxa"/>
            <w:vAlign w:val="bottom"/>
            <w:tcBorders>
              <w:right w:val="single" w:sz="8" w:color="auto"/>
            </w:tcBorders>
            <w:shd w:val="clear" w:color="auto" w:fill="E5E5E5"/>
          </w:tcPr>
          <w:p>
            <w:pPr>
              <w:spacing w:after="0"/>
              <w:rPr>
                <w:sz w:val="18"/>
                <w:szCs w:val="18"/>
                <w:color w:val="auto"/>
              </w:rPr>
            </w:pPr>
          </w:p>
        </w:tc>
        <w:tc>
          <w:tcPr>
            <w:tcW w:w="132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(1,237)</w:t>
            </w:r>
          </w:p>
        </w:tc>
        <w:tc>
          <w:tcPr>
            <w:tcW w:w="4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(1,237)</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Issuance of subsidiary shares to noncontrolling interests</w:t>
            </w:r>
          </w:p>
        </w:tc>
        <w:tc>
          <w:tcPr>
            <w:tcW w:w="360" w:type="dxa"/>
            <w:vAlign w:val="bottom"/>
          </w:tcPr>
          <w:p>
            <w:pPr>
              <w:spacing w:after="0"/>
              <w:rPr>
                <w:sz w:val="18"/>
                <w:szCs w:val="18"/>
                <w:color w:val="auto"/>
              </w:rPr>
            </w:pPr>
          </w:p>
        </w:tc>
        <w:tc>
          <w:tcPr>
            <w:tcW w:w="1360" w:type="dxa"/>
            <w:vAlign w:val="bottom"/>
            <w:tcBorders>
              <w:right w:val="single" w:sz="8" w:color="auto"/>
            </w:tcBorders>
          </w:tcPr>
          <w:p>
            <w:pPr>
              <w:jc w:val="right"/>
              <w:ind w:right="574"/>
              <w:spacing w:after="0"/>
              <w:rPr>
                <w:sz w:val="20"/>
                <w:szCs w:val="20"/>
                <w:color w:val="auto"/>
              </w:rPr>
            </w:pPr>
            <w:r>
              <w:rPr>
                <w:rFonts w:ascii="Arial" w:cs="Arial" w:eastAsia="Arial" w:hAnsi="Arial"/>
                <w:sz w:val="18"/>
                <w:szCs w:val="18"/>
                <w:color w:val="auto"/>
              </w:rPr>
              <w:t>85</w:t>
            </w: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w w:val="95"/>
              </w:rPr>
              <w:t>Contributions from (distributions to) noncontrolling interests,</w:t>
            </w:r>
          </w:p>
        </w:tc>
        <w:tc>
          <w:tcPr>
            <w:tcW w:w="360" w:type="dxa"/>
            <w:vAlign w:val="bottom"/>
            <w:shd w:val="clear" w:color="auto" w:fill="E5E5E5"/>
          </w:tcPr>
          <w:p>
            <w:pPr>
              <w:spacing w:after="0"/>
              <w:rPr>
                <w:sz w:val="18"/>
                <w:szCs w:val="18"/>
                <w:color w:val="auto"/>
              </w:rPr>
            </w:pPr>
          </w:p>
        </w:tc>
        <w:tc>
          <w:tcPr>
            <w:tcW w:w="1360" w:type="dxa"/>
            <w:vAlign w:val="bottom"/>
            <w:tcBorders>
              <w:right w:val="single" w:sz="8" w:color="auto"/>
            </w:tcBorders>
            <w:shd w:val="clear" w:color="auto" w:fill="E5E5E5"/>
          </w:tcPr>
          <w:p>
            <w:pPr>
              <w:spacing w:after="0"/>
              <w:rPr>
                <w:sz w:val="18"/>
                <w:szCs w:val="18"/>
                <w:color w:val="auto"/>
              </w:rPr>
            </w:pPr>
          </w:p>
        </w:tc>
        <w:tc>
          <w:tcPr>
            <w:tcW w:w="13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5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w:t>
            </w:r>
          </w:p>
        </w:tc>
        <w:tc>
          <w:tcPr>
            <w:tcW w:w="360" w:type="dxa"/>
            <w:vAlign w:val="bottom"/>
            <w:shd w:val="clear" w:color="auto" w:fill="E5E5E5"/>
          </w:tcPr>
          <w:p>
            <w:pPr>
              <w:spacing w:after="0"/>
              <w:rPr>
                <w:sz w:val="19"/>
                <w:szCs w:val="19"/>
                <w:color w:val="auto"/>
              </w:rPr>
            </w:pPr>
          </w:p>
        </w:tc>
        <w:tc>
          <w:tcPr>
            <w:tcW w:w="1360" w:type="dxa"/>
            <w:vAlign w:val="bottom"/>
            <w:tcBorders>
              <w:right w:val="single" w:sz="8" w:color="auto"/>
            </w:tcBorders>
            <w:shd w:val="clear" w:color="auto" w:fill="E5E5E5"/>
          </w:tcPr>
          <w:p>
            <w:pPr>
              <w:jc w:val="right"/>
              <w:ind w:right="514"/>
              <w:spacing w:after="0"/>
              <w:rPr>
                <w:sz w:val="20"/>
                <w:szCs w:val="20"/>
                <w:color w:val="auto"/>
              </w:rPr>
            </w:pPr>
            <w:r>
              <w:rPr>
                <w:rFonts w:ascii="Arial" w:cs="Arial" w:eastAsia="Arial" w:hAnsi="Arial"/>
                <w:sz w:val="18"/>
                <w:szCs w:val="18"/>
                <w:color w:val="auto"/>
              </w:rPr>
              <w:t>(15)</w:t>
            </w:r>
          </w:p>
        </w:tc>
        <w:tc>
          <w:tcPr>
            <w:tcW w:w="132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980" w:type="dxa"/>
            <w:vAlign w:val="bottom"/>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10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(120)</w:t>
            </w:r>
          </w:p>
        </w:tc>
        <w:tc>
          <w:tcPr>
            <w:tcW w:w="400" w:type="dxa"/>
            <w:vAlign w:val="bottom"/>
            <w:shd w:val="clear" w:color="auto" w:fill="E5E5E5"/>
          </w:tcPr>
          <w:p>
            <w:pPr>
              <w:spacing w:after="0"/>
              <w:rPr>
                <w:sz w:val="19"/>
                <w:szCs w:val="19"/>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20" w:type="dxa"/>
            <w:vAlign w:val="bottom"/>
          </w:tcPr>
          <w:p>
            <w:pPr>
              <w:jc w:val="right"/>
              <w:ind w:right="175"/>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Other comprehensive income (loss)</w:t>
            </w:r>
          </w:p>
        </w:tc>
        <w:tc>
          <w:tcPr>
            <w:tcW w:w="360" w:type="dxa"/>
            <w:vAlign w:val="bottom"/>
            <w:shd w:val="clear" w:color="auto" w:fill="E5E5E5"/>
          </w:tcPr>
          <w:p>
            <w:pPr>
              <w:spacing w:after="0"/>
              <w:rPr>
                <w:sz w:val="18"/>
                <w:szCs w:val="18"/>
                <w:color w:val="auto"/>
              </w:rPr>
            </w:pPr>
          </w:p>
        </w:tc>
        <w:tc>
          <w:tcPr>
            <w:tcW w:w="1360" w:type="dxa"/>
            <w:vAlign w:val="bottom"/>
            <w:tcBorders>
              <w:right w:val="single" w:sz="8" w:color="auto"/>
            </w:tcBorders>
            <w:shd w:val="clear" w:color="auto" w:fill="E5E5E5"/>
          </w:tcPr>
          <w:p>
            <w:pPr>
              <w:spacing w:after="0"/>
              <w:rPr>
                <w:sz w:val="18"/>
                <w:szCs w:val="18"/>
                <w:color w:val="auto"/>
              </w:rPr>
            </w:pPr>
          </w:p>
        </w:tc>
        <w:tc>
          <w:tcPr>
            <w:tcW w:w="13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4</w:t>
            </w:r>
          </w:p>
        </w:tc>
        <w:tc>
          <w:tcPr>
            <w:tcW w:w="3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right"/>
              <w:ind w:right="574"/>
              <w:spacing w:after="0"/>
              <w:rPr>
                <w:sz w:val="20"/>
                <w:szCs w:val="20"/>
                <w:color w:val="auto"/>
              </w:rPr>
            </w:pPr>
            <w:r>
              <w:rPr>
                <w:rFonts w:ascii="Arial" w:cs="Arial" w:eastAsia="Arial" w:hAnsi="Arial"/>
                <w:sz w:val="18"/>
                <w:szCs w:val="18"/>
                <w:color w:val="auto"/>
              </w:rPr>
              <w:t>21</w:t>
            </w:r>
          </w:p>
        </w:tc>
        <w:tc>
          <w:tcPr>
            <w:tcW w:w="132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2,298</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97</w:t>
            </w: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2,395</w:t>
            </w:r>
          </w:p>
        </w:tc>
      </w:tr>
      <w:tr>
        <w:trPr>
          <w:trHeight w:val="217"/>
        </w:trPr>
        <w:tc>
          <w:tcPr>
            <w:tcW w:w="20" w:type="dxa"/>
            <w:vAlign w:val="bottom"/>
          </w:tcPr>
          <w:p>
            <w:pPr>
              <w:spacing w:after="0"/>
              <w:rPr>
                <w:sz w:val="18"/>
                <w:szCs w:val="18"/>
                <w:color w:val="auto"/>
              </w:rPr>
            </w:pPr>
          </w:p>
        </w:tc>
        <w:tc>
          <w:tcPr>
            <w:tcW w:w="4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September 30, 2014</w:t>
            </w:r>
          </w:p>
        </w:tc>
        <w:tc>
          <w:tcPr>
            <w:tcW w:w="3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right w:val="single" w:sz="8" w:color="auto"/>
            </w:tcBorders>
            <w:shd w:val="clear" w:color="auto" w:fill="E5E5E5"/>
          </w:tcPr>
          <w:p>
            <w:pPr>
              <w:jc w:val="right"/>
              <w:ind w:right="574"/>
              <w:spacing w:after="0"/>
              <w:rPr>
                <w:sz w:val="20"/>
                <w:szCs w:val="20"/>
                <w:color w:val="auto"/>
              </w:rPr>
            </w:pPr>
            <w:r>
              <w:rPr>
                <w:rFonts w:ascii="Arial" w:cs="Arial" w:eastAsia="Arial" w:hAnsi="Arial"/>
                <w:sz w:val="18"/>
                <w:szCs w:val="18"/>
                <w:b w:val="1"/>
                <w:bCs w:val="1"/>
                <w:color w:val="auto"/>
              </w:rPr>
              <w:t>322</w:t>
            </w:r>
          </w:p>
        </w:tc>
        <w:tc>
          <w:tcPr>
            <w:tcW w:w="1320" w:type="dxa"/>
            <w:vAlign w:val="bottom"/>
            <w:tcBorders>
              <w:bottom w:val="single" w:sz="8" w:color="auto"/>
            </w:tcBorders>
            <w:shd w:val="clear" w:color="auto" w:fill="E5E5E5"/>
          </w:tcPr>
          <w:p>
            <w:pPr>
              <w:jc w:val="right"/>
              <w:ind w:right="235"/>
              <w:spacing w:after="0"/>
              <w:rPr>
                <w:sz w:val="20"/>
                <w:szCs w:val="20"/>
                <w:color w:val="auto"/>
              </w:rPr>
            </w:pPr>
            <w:r>
              <w:rPr>
                <w:rFonts w:ascii="Arial" w:cs="Arial" w:eastAsia="Arial" w:hAnsi="Arial"/>
                <w:sz w:val="18"/>
                <w:szCs w:val="18"/>
                <w:b w:val="1"/>
                <w:bCs w:val="1"/>
                <w:color w:val="auto"/>
              </w:rPr>
              <w:t>$ 30,115</w:t>
            </w:r>
          </w:p>
        </w:tc>
        <w:tc>
          <w:tcPr>
            <w:tcW w:w="4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(12)</w:t>
            </w:r>
          </w:p>
        </w:tc>
        <w:tc>
          <w:tcPr>
            <w:tcW w:w="38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b w:val="1"/>
                <w:bCs w:val="1"/>
                <w:color w:val="auto"/>
              </w:rPr>
              <w:t>263</w:t>
            </w:r>
          </w:p>
        </w:tc>
        <w:tc>
          <w:tcPr>
            <w:tcW w:w="40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w w:val="94"/>
              </w:rPr>
              <w:t>30,366</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53"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Unless indicated otherwise, throughout these notes to the condensed consolidated financial statements, we refer to NBCUniversal Media, LLC and its consolidated subsidiaries as “we,” “us” and “our.” 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2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year-end condensed consolidated balance sheet was derived from audited financial statements but does not include all disclosures required by generally accepted accounting principles in the United States of America (“GAAP”). For a more complete discussion of our accounting policies and certain other information, refer to our consolidated financial statements included in our 2013 Annual Report on Form 10-K.</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2014, the Financial Accounting Standards Board (“FASB”) updated the accounting guidance related to discontinued operations. The updated accounting guidance provides a narrower definition of discontinued operations than existing GAAP. The updated accounting guidance requires that only disposals of components of an entity, or groups of components, that represent a strategic shift that has or will have a material effect on the reporting entity’s operations be reported in the financial statements as discontinued operations. The updated accounting guidance also provides guidance on the financial statement presentations and disclosures of discontinued operations. The updated accounting guidance will be effective prospectively for us on January 1, 2015, with early adoption permitted in 2014.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2014, the FASB and the International Accounting Standards Board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entities have to refer. The updated accounting guidance will be effective for us on January 1, 2017, and early adoption is not permitted. The updated accounting guidance allows for either a full retrospective adoption or modified retrospective adoption. We are currently in the process of determining the impact that the updated accounting guidance will have on our consolidated financial statements and our method of adoption.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Related Party Transactions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In the ordinary course of our business, we enter into transactions with Comcast.</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generate revenue from Comcast primarily from the distribution of our cable network programming and, to a lesser extent, the sale of advertising and our owned programming, and we incur expenses primarily related to various support services provided by Comcast to us.</w:t>
      </w:r>
    </w:p>
    <w:p>
      <w:pPr>
        <w:spacing w:after="0" w:line="3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2013, as part of the Comcast cash management process, we and Comcast entered into a revolving credit agreement under which we can borrow up to $3 billion from Comcast and Comcast can borrow up to $3 billion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us. Amounts owed by us to Comcast under the revolving credit agreement, including accrued interest, are presented under the caption “note payable to Comcast” in our condensed consolidated balance sheet. The revolving credit agreement bears interest at floating rates equal to the interest rate under the Comcast and Comcast Cable Communications, LLC revolving credit facility (the “Comcast revolving credit facility”). The interest rate on the Comcast revolving credit facility consists of a base rate plus a borrowing margin that is determined based on Comcast’s credit rating. As of September 30, 2014, the borrowing margin for our London Interbank Offered Rate-based borrowings was 1.00%.</w:t>
      </w:r>
    </w:p>
    <w:p>
      <w:pPr>
        <w:spacing w:after="0" w:line="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Comcast is the counterparty to one of our contractual obligations. As of September 30, 2014, the carrying value of the liability associated with this contractual obligation was $383 million.</w:t>
      </w:r>
    </w:p>
    <w:p>
      <w:pPr>
        <w:spacing w:after="0" w:line="37" w:lineRule="exact"/>
        <w:rPr>
          <w:sz w:val="20"/>
          <w:szCs w:val="20"/>
          <w:color w:val="auto"/>
        </w:rPr>
      </w:pPr>
    </w:p>
    <w:p>
      <w:pPr>
        <w:jc w:val="center"/>
        <w:ind w:right="320"/>
        <w:spacing w:after="0" w:line="390" w:lineRule="auto"/>
        <w:rPr>
          <w:sz w:val="20"/>
          <w:szCs w:val="20"/>
          <w:color w:val="auto"/>
        </w:rPr>
      </w:pPr>
      <w:r>
        <w:rPr>
          <w:rFonts w:ascii="Arial" w:cs="Arial" w:eastAsia="Arial" w:hAnsi="Arial"/>
          <w:sz w:val="18"/>
          <w:szCs w:val="18"/>
          <w:color w:val="auto"/>
        </w:rPr>
        <w:t xml:space="preserve">The following tables present transactions with Comcast and its consolidated subsidiaries that are included in our condensed consolidated financial statements. </w:t>
      </w:r>
      <w:r>
        <w:rPr>
          <w:rFonts w:ascii="Arial" w:cs="Arial" w:eastAsia="Arial" w:hAnsi="Arial"/>
          <w:sz w:val="18"/>
          <w:szCs w:val="18"/>
          <w:b w:val="1"/>
          <w:bCs w:val="1"/>
          <w:color w:val="auto"/>
        </w:rPr>
        <w:t>Condensed Consolidated Balance Sheet</w:t>
      </w:r>
    </w:p>
    <w:tbl>
      <w:tblPr>
        <w:tblLayout w:type="fixed"/>
        <w:tblInd w:w="0" w:type="dxa"/>
        <w:tblCellMar>
          <w:top w:w="0" w:type="dxa"/>
          <w:left w:w="0" w:type="dxa"/>
          <w:bottom w:w="0" w:type="dxa"/>
          <w:right w:w="0" w:type="dxa"/>
        </w:tblCellMar>
      </w:tblPr>
      <w:tr>
        <w:trPr>
          <w:trHeight w:val="149"/>
        </w:trPr>
        <w:tc>
          <w:tcPr>
            <w:tcW w:w="6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87"/>
              </w:rPr>
              <w:t>September 30,</w:t>
            </w:r>
          </w:p>
        </w:tc>
        <w:tc>
          <w:tcPr>
            <w:tcW w:w="160" w:type="dxa"/>
            <w:vAlign w:val="bottom"/>
          </w:tcPr>
          <w:p>
            <w:pPr>
              <w:spacing w:after="0"/>
              <w:rPr>
                <w:sz w:val="12"/>
                <w:szCs w:val="12"/>
                <w:color w:val="auto"/>
              </w:rPr>
            </w:pPr>
          </w:p>
        </w:tc>
        <w:tc>
          <w:tcPr>
            <w:tcW w:w="1580" w:type="dxa"/>
            <w:vAlign w:val="bottom"/>
            <w:gridSpan w:val="3"/>
          </w:tcPr>
          <w:p>
            <w:pPr>
              <w:ind w:left="720"/>
              <w:spacing w:after="0" w:line="149" w:lineRule="exact"/>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69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5"/>
              <w:spacing w:after="0" w:line="159" w:lineRule="exact"/>
              <w:rPr>
                <w:sz w:val="20"/>
                <w:szCs w:val="20"/>
                <w:color w:val="auto"/>
              </w:rPr>
            </w:pPr>
            <w:r>
              <w:rPr>
                <w:rFonts w:ascii="Arial" w:cs="Arial" w:eastAsia="Arial" w:hAnsi="Arial"/>
                <w:sz w:val="14"/>
                <w:szCs w:val="14"/>
                <w:color w:val="auto"/>
              </w:rPr>
              <w:t>2014</w:t>
            </w: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56"/>
              <w:spacing w:after="0" w:line="159" w:lineRule="exact"/>
              <w:rPr>
                <w:sz w:val="20"/>
                <w:szCs w:val="20"/>
                <w:color w:val="auto"/>
              </w:rPr>
            </w:pPr>
            <w:r>
              <w:rPr>
                <w:rFonts w:ascii="Arial" w:cs="Arial" w:eastAsia="Arial" w:hAnsi="Arial"/>
                <w:sz w:val="14"/>
                <w:szCs w:val="14"/>
                <w:color w:val="auto"/>
                <w:w w:val="89"/>
              </w:rPr>
              <w:t>2013</w:t>
            </w:r>
          </w:p>
        </w:tc>
        <w:tc>
          <w:tcPr>
            <w:tcW w:w="0" w:type="dxa"/>
            <w:vAlign w:val="bottom"/>
          </w:tcPr>
          <w:p>
            <w:pPr>
              <w:spacing w:after="0"/>
              <w:rPr>
                <w:sz w:val="1"/>
                <w:szCs w:val="1"/>
                <w:color w:val="auto"/>
              </w:rPr>
            </w:pPr>
          </w:p>
        </w:tc>
      </w:tr>
      <w:tr>
        <w:trPr>
          <w:trHeight w:val="210"/>
        </w:trPr>
        <w:tc>
          <w:tcPr>
            <w:tcW w:w="69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6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Receivables, net</w:t>
            </w: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8"/>
                <w:szCs w:val="18"/>
                <w:color w:val="auto"/>
              </w:rPr>
            </w:pPr>
          </w:p>
        </w:tc>
        <w:tc>
          <w:tcPr>
            <w:tcW w:w="820" w:type="dxa"/>
            <w:vAlign w:val="bottom"/>
          </w:tcPr>
          <w:p>
            <w:pPr>
              <w:ind w:left="72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6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6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260" w:type="dxa"/>
            <w:vAlign w:val="bottom"/>
            <w:shd w:val="clear" w:color="auto" w:fill="E5E5E5"/>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E5E5E5"/>
          </w:tcPr>
          <w:p>
            <w:pPr>
              <w:spacing w:after="0"/>
              <w:rPr>
                <w:sz w:val="18"/>
                <w:szCs w:val="18"/>
                <w:color w:val="auto"/>
              </w:rPr>
            </w:pPr>
          </w:p>
        </w:tc>
        <w:tc>
          <w:tcPr>
            <w:tcW w:w="820" w:type="dxa"/>
            <w:vAlign w:val="bottom"/>
            <w:shd w:val="clear" w:color="auto" w:fill="E5E5E5"/>
          </w:tcPr>
          <w:p>
            <w:pPr>
              <w:ind w:left="72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820" w:type="dxa"/>
            <w:vAlign w:val="bottom"/>
          </w:tcPr>
          <w:p>
            <w:pPr>
              <w:ind w:left="72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Note payable to Comcast</w:t>
            </w:r>
          </w:p>
        </w:tc>
        <w:tc>
          <w:tcPr>
            <w:tcW w:w="6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260" w:type="dxa"/>
            <w:vAlign w:val="bottom"/>
            <w:shd w:val="clear" w:color="auto" w:fill="E5E5E5"/>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1,078</w:t>
            </w:r>
          </w:p>
        </w:tc>
        <w:tc>
          <w:tcPr>
            <w:tcW w:w="160" w:type="dxa"/>
            <w:vAlign w:val="bottom"/>
            <w:shd w:val="clear" w:color="auto" w:fill="E5E5E5"/>
          </w:tcPr>
          <w:p>
            <w:pPr>
              <w:spacing w:after="0"/>
              <w:rPr>
                <w:sz w:val="18"/>
                <w:szCs w:val="18"/>
                <w:color w:val="auto"/>
              </w:rPr>
            </w:pPr>
          </w:p>
        </w:tc>
        <w:tc>
          <w:tcPr>
            <w:tcW w:w="820" w:type="dxa"/>
            <w:vAlign w:val="bottom"/>
            <w:shd w:val="clear" w:color="auto" w:fill="E5E5E5"/>
          </w:tcPr>
          <w:p>
            <w:pPr>
              <w:ind w:left="72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 noncurrent liabilities</w:t>
            </w:r>
          </w:p>
        </w:tc>
        <w:tc>
          <w:tcPr>
            <w:tcW w:w="6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329"/>
        </w:trPr>
        <w:tc>
          <w:tcPr>
            <w:tcW w:w="8320" w:type="dxa"/>
            <w:vAlign w:val="bottom"/>
            <w:gridSpan w:val="3"/>
          </w:tcPr>
          <w:p>
            <w:pPr>
              <w:ind w:left="3760"/>
              <w:spacing w:after="0"/>
              <w:rPr>
                <w:sz w:val="20"/>
                <w:szCs w:val="20"/>
                <w:color w:val="auto"/>
              </w:rPr>
            </w:pPr>
            <w:r>
              <w:rPr>
                <w:rFonts w:ascii="Arial" w:cs="Arial" w:eastAsia="Arial" w:hAnsi="Arial"/>
                <w:sz w:val="18"/>
                <w:szCs w:val="18"/>
                <w:b w:val="1"/>
                <w:bCs w:val="1"/>
                <w:color w:val="auto"/>
              </w:rPr>
              <w:t>Condensed Consolidated Statement of Income</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69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80" w:type="dxa"/>
            <w:vAlign w:val="bottom"/>
            <w:gridSpan w:val="3"/>
          </w:tcPr>
          <w:p>
            <w:pPr>
              <w:ind w:left="160"/>
              <w:spacing w:after="0"/>
              <w:rPr>
                <w:sz w:val="20"/>
                <w:szCs w:val="20"/>
                <w:color w:val="auto"/>
              </w:rPr>
            </w:pPr>
            <w:r>
              <w:rPr>
                <w:rFonts w:ascii="Arial" w:cs="Arial" w:eastAsia="Arial" w:hAnsi="Arial"/>
                <w:sz w:val="14"/>
                <w:szCs w:val="14"/>
                <w:color w:val="auto"/>
                <w:w w:val="91"/>
              </w:rPr>
              <w:t>Three Months Ended</w:t>
            </w: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gridSpan w:val="3"/>
          </w:tcPr>
          <w:p>
            <w:pPr>
              <w:jc w:val="right"/>
              <w:ind w:right="316"/>
              <w:spacing w:after="0"/>
              <w:rPr>
                <w:sz w:val="20"/>
                <w:szCs w:val="20"/>
                <w:color w:val="auto"/>
              </w:rPr>
            </w:pPr>
            <w:r>
              <w:rPr>
                <w:rFonts w:ascii="Arial" w:cs="Arial" w:eastAsia="Arial" w:hAnsi="Arial"/>
                <w:sz w:val="14"/>
                <w:szCs w:val="14"/>
                <w:color w:val="auto"/>
                <w:w w:val="94"/>
              </w:rPr>
              <w:t>Nine Months Ended</w:t>
            </w:r>
          </w:p>
        </w:tc>
        <w:tc>
          <w:tcPr>
            <w:tcW w:w="0" w:type="dxa"/>
            <w:vAlign w:val="bottom"/>
          </w:tcPr>
          <w:p>
            <w:pPr>
              <w:spacing w:after="0"/>
              <w:rPr>
                <w:sz w:val="1"/>
                <w:szCs w:val="1"/>
                <w:color w:val="auto"/>
              </w:rPr>
            </w:pPr>
          </w:p>
        </w:tc>
      </w:tr>
      <w:tr>
        <w:trPr>
          <w:trHeight w:val="159"/>
        </w:trPr>
        <w:tc>
          <w:tcPr>
            <w:tcW w:w="69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496"/>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698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82"/>
              <w:spacing w:after="0" w:line="142" w:lineRule="exact"/>
              <w:rPr>
                <w:sz w:val="20"/>
                <w:szCs w:val="20"/>
                <w:color w:val="auto"/>
              </w:rPr>
            </w:pPr>
            <w:r>
              <w:rPr>
                <w:rFonts w:ascii="Arial" w:cs="Arial" w:eastAsia="Arial" w:hAnsi="Arial"/>
                <w:sz w:val="14"/>
                <w:szCs w:val="14"/>
                <w:color w:val="auto"/>
                <w:w w:val="83"/>
              </w:rPr>
              <w:t>2014</w:t>
            </w: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595"/>
              <w:spacing w:after="0" w:line="142" w:lineRule="exact"/>
              <w:rPr>
                <w:sz w:val="20"/>
                <w:szCs w:val="20"/>
                <w:color w:val="auto"/>
              </w:rPr>
            </w:pPr>
            <w:r>
              <w:rPr>
                <w:rFonts w:ascii="Arial" w:cs="Arial" w:eastAsia="Arial" w:hAnsi="Arial"/>
                <w:sz w:val="14"/>
                <w:szCs w:val="14"/>
                <w:color w:val="auto"/>
                <w:w w:val="89"/>
              </w:rPr>
              <w:t>2013</w:t>
            </w: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39"/>
              <w:spacing w:after="0" w:line="142" w:lineRule="exact"/>
              <w:rPr>
                <w:sz w:val="20"/>
                <w:szCs w:val="20"/>
                <w:color w:val="auto"/>
              </w:rPr>
            </w:pPr>
            <w:r>
              <w:rPr>
                <w:rFonts w:ascii="Arial" w:cs="Arial" w:eastAsia="Arial" w:hAnsi="Arial"/>
                <w:sz w:val="14"/>
                <w:szCs w:val="14"/>
                <w:color w:val="auto"/>
                <w:w w:val="89"/>
              </w:rPr>
              <w:t>2014</w:t>
            </w: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color w:val="auto"/>
                <w:w w:val="89"/>
              </w:rPr>
              <w:t>2013</w:t>
            </w:r>
          </w:p>
        </w:tc>
        <w:tc>
          <w:tcPr>
            <w:tcW w:w="0" w:type="dxa"/>
            <w:vAlign w:val="bottom"/>
          </w:tcPr>
          <w:p>
            <w:pPr>
              <w:spacing w:after="0"/>
              <w:rPr>
                <w:sz w:val="1"/>
                <w:szCs w:val="1"/>
                <w:color w:val="auto"/>
              </w:rPr>
            </w:pPr>
          </w:p>
        </w:tc>
      </w:tr>
      <w:tr>
        <w:trPr>
          <w:trHeight w:val="210"/>
        </w:trPr>
        <w:tc>
          <w:tcPr>
            <w:tcW w:w="69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6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Revenue</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42"/>
              <w:spacing w:after="0"/>
              <w:rPr>
                <w:sz w:val="20"/>
                <w:szCs w:val="20"/>
                <w:color w:val="auto"/>
              </w:rPr>
            </w:pPr>
            <w:r>
              <w:rPr>
                <w:rFonts w:ascii="Arial" w:cs="Arial" w:eastAsia="Arial" w:hAnsi="Arial"/>
                <w:sz w:val="18"/>
                <w:szCs w:val="18"/>
                <w:color w:val="auto"/>
              </w:rPr>
              <w:t>316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55"/>
              <w:spacing w:after="0"/>
              <w:rPr>
                <w:sz w:val="20"/>
                <w:szCs w:val="20"/>
                <w:color w:val="auto"/>
              </w:rPr>
            </w:pPr>
            <w:r>
              <w:rPr>
                <w:rFonts w:ascii="Arial" w:cs="Arial" w:eastAsia="Arial" w:hAnsi="Arial"/>
                <w:sz w:val="18"/>
                <w:szCs w:val="18"/>
                <w:color w:val="auto"/>
              </w:rPr>
              <w:t>299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99"/>
              <w:spacing w:after="0"/>
              <w:rPr>
                <w:sz w:val="20"/>
                <w:szCs w:val="20"/>
                <w:color w:val="auto"/>
              </w:rPr>
            </w:pPr>
            <w:r>
              <w:rPr>
                <w:rFonts w:ascii="Arial" w:cs="Arial" w:eastAsia="Arial" w:hAnsi="Arial"/>
                <w:sz w:val="18"/>
                <w:szCs w:val="18"/>
                <w:color w:val="auto"/>
              </w:rPr>
              <w:t>989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16"/>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6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Operating costs and expenses</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82"/>
              <w:spacing w:after="0"/>
              <w:rPr>
                <w:sz w:val="20"/>
                <w:szCs w:val="20"/>
                <w:color w:val="auto"/>
              </w:rPr>
            </w:pPr>
            <w:r>
              <w:rPr>
                <w:rFonts w:ascii="Arial" w:cs="Arial" w:eastAsia="Arial" w:hAnsi="Arial"/>
                <w:sz w:val="18"/>
                <w:szCs w:val="18"/>
                <w:color w:val="auto"/>
              </w:rPr>
              <w:t>(32)</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395"/>
              <w:spacing w:after="0"/>
              <w:rPr>
                <w:sz w:val="20"/>
                <w:szCs w:val="20"/>
                <w:color w:val="auto"/>
              </w:rPr>
            </w:pPr>
            <w:r>
              <w:rPr>
                <w:rFonts w:ascii="Arial" w:cs="Arial" w:eastAsia="Arial" w:hAnsi="Arial"/>
                <w:sz w:val="18"/>
                <w:szCs w:val="18"/>
                <w:color w:val="auto"/>
              </w:rPr>
              <w:t>(29)</w:t>
            </w: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ind w:right="239"/>
              <w:spacing w:after="0"/>
              <w:rPr>
                <w:sz w:val="20"/>
                <w:szCs w:val="20"/>
                <w:color w:val="auto"/>
              </w:rPr>
            </w:pPr>
            <w:r>
              <w:rPr>
                <w:rFonts w:ascii="Arial" w:cs="Arial" w:eastAsia="Arial" w:hAnsi="Arial"/>
                <w:sz w:val="18"/>
                <w:szCs w:val="18"/>
                <w:color w:val="auto"/>
              </w:rPr>
              <w:t>(96)</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 income (expense)</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82"/>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55"/>
              <w:spacing w:after="0"/>
              <w:rPr>
                <w:sz w:val="20"/>
                <w:szCs w:val="20"/>
                <w:color w:val="auto"/>
              </w:rPr>
            </w:pPr>
            <w:r>
              <w:rPr>
                <w:rFonts w:ascii="Arial" w:cs="Arial" w:eastAsia="Arial" w:hAnsi="Arial"/>
                <w:sz w:val="18"/>
                <w:szCs w:val="18"/>
                <w:color w:val="auto"/>
                <w:w w:val="88"/>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to NBCUniversal Holdings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addition to the transactions above, we make distributions to NBCUniversal Holdings on a periodic basis to enable its owners to meet their obligations to pay taxes on taxable income generated by our businesses. We also make quarterly distributions to NBCUniversal Holdings to enable it to make its required quarterly payments to NBCUniversal Enterprise, Inc. (“NBCUniversal Enterprise”) at an initial annual rate of 8.25% on the $9.4 billion aggregate liquidation preference of preferred units. These distributions are presented under the caption “distributions to member” in our condensed consolidated statement of cash flows.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Film and Television Costs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4100" w:type="dxa"/>
            <w:vAlign w:val="bottom"/>
            <w:gridSpan w:val="2"/>
          </w:tcPr>
          <w:p>
            <w:pPr>
              <w:ind w:left="2920"/>
              <w:spacing w:after="0"/>
              <w:rPr>
                <w:sz w:val="20"/>
                <w:szCs w:val="20"/>
                <w:color w:val="auto"/>
              </w:rPr>
            </w:pPr>
            <w:r>
              <w:rPr>
                <w:rFonts w:ascii="Arial" w:cs="Arial" w:eastAsia="Arial" w:hAnsi="Arial"/>
                <w:sz w:val="14"/>
                <w:szCs w:val="14"/>
                <w:color w:val="auto"/>
              </w:rPr>
              <w:t>September 30,</w:t>
            </w:r>
          </w:p>
        </w:tc>
        <w:tc>
          <w:tcPr>
            <w:tcW w:w="1280" w:type="dxa"/>
            <w:vAlign w:val="bottom"/>
            <w:gridSpan w:val="2"/>
          </w:tcPr>
          <w:p>
            <w:pPr>
              <w:ind w:left="420"/>
              <w:spacing w:after="0"/>
              <w:rPr>
                <w:sz w:val="20"/>
                <w:szCs w:val="20"/>
                <w:color w:val="auto"/>
              </w:rPr>
            </w:pPr>
            <w:r>
              <w:rPr>
                <w:rFonts w:ascii="Arial" w:cs="Arial" w:eastAsia="Arial" w:hAnsi="Arial"/>
                <w:sz w:val="14"/>
                <w:szCs w:val="14"/>
                <w:color w:val="auto"/>
                <w:w w:val="95"/>
              </w:rPr>
              <w:t>December 31,</w:t>
            </w:r>
          </w:p>
        </w:tc>
      </w:tr>
      <w:tr>
        <w:trPr>
          <w:trHeight w:val="159"/>
        </w:trPr>
        <w:tc>
          <w:tcPr>
            <w:tcW w:w="60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0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4"/>
              <w:spacing w:after="0" w:line="159" w:lineRule="exact"/>
              <w:rPr>
                <w:sz w:val="20"/>
                <w:szCs w:val="20"/>
                <w:color w:val="auto"/>
              </w:rPr>
            </w:pPr>
            <w:r>
              <w:rPr>
                <w:rFonts w:ascii="Arial" w:cs="Arial" w:eastAsia="Arial" w:hAnsi="Arial"/>
                <w:sz w:val="14"/>
                <w:szCs w:val="14"/>
                <w:color w:val="auto"/>
              </w:rPr>
              <w:t>2014</w:t>
            </w:r>
          </w:p>
        </w:tc>
        <w:tc>
          <w:tcPr>
            <w:tcW w:w="5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4"/>
              <w:spacing w:after="0" w:line="159" w:lineRule="exact"/>
              <w:rPr>
                <w:sz w:val="20"/>
                <w:szCs w:val="20"/>
                <w:color w:val="auto"/>
              </w:rPr>
            </w:pPr>
            <w:r>
              <w:rPr>
                <w:rFonts w:ascii="Arial" w:cs="Arial" w:eastAsia="Arial" w:hAnsi="Arial"/>
                <w:sz w:val="14"/>
                <w:szCs w:val="14"/>
                <w:color w:val="auto"/>
              </w:rPr>
              <w:t>2013</w:t>
            </w:r>
          </w:p>
        </w:tc>
      </w:tr>
      <w:tr>
        <w:trPr>
          <w:trHeight w:val="210"/>
        </w:trPr>
        <w:tc>
          <w:tcPr>
            <w:tcW w:w="60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Film Costs:</w:t>
            </w:r>
          </w:p>
        </w:tc>
        <w:tc>
          <w:tcPr>
            <w:tcW w:w="308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Released, less amortization</w:t>
            </w:r>
          </w:p>
        </w:tc>
        <w:tc>
          <w:tcPr>
            <w:tcW w:w="3080" w:type="dxa"/>
            <w:vAlign w:val="bottom"/>
          </w:tcPr>
          <w:p>
            <w:pPr>
              <w:ind w:left="29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1,313</w:t>
            </w:r>
          </w:p>
        </w:tc>
        <w:tc>
          <w:tcPr>
            <w:tcW w:w="580" w:type="dxa"/>
            <w:vAlign w:val="bottom"/>
          </w:tcPr>
          <w:p>
            <w:pPr>
              <w:ind w:left="4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1,630</w:t>
            </w:r>
          </w:p>
        </w:tc>
      </w:tr>
      <w:tr>
        <w:trPr>
          <w:trHeight w:val="216"/>
        </w:trPr>
        <w:tc>
          <w:tcPr>
            <w:tcW w:w="60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Completed, not released</w:t>
            </w:r>
          </w:p>
        </w:tc>
        <w:tc>
          <w:tcPr>
            <w:tcW w:w="30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193</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70</w:t>
            </w:r>
          </w:p>
        </w:tc>
      </w:tr>
      <w:tr>
        <w:trPr>
          <w:trHeight w:val="216"/>
        </w:trPr>
        <w:tc>
          <w:tcPr>
            <w:tcW w:w="60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0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1,143</w:t>
            </w: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658</w:t>
            </w:r>
          </w:p>
        </w:tc>
      </w:tr>
      <w:tr>
        <w:trPr>
          <w:trHeight w:val="210"/>
        </w:trPr>
        <w:tc>
          <w:tcPr>
            <w:tcW w:w="6040" w:type="dxa"/>
            <w:vAlign w:val="bottom"/>
            <w:shd w:val="clear" w:color="auto" w:fill="E5E5E5"/>
          </w:tcPr>
          <w:p>
            <w:pPr>
              <w:spacing w:after="0"/>
              <w:rPr>
                <w:sz w:val="18"/>
                <w:szCs w:val="18"/>
                <w:color w:val="auto"/>
              </w:rPr>
            </w:pPr>
          </w:p>
        </w:tc>
        <w:tc>
          <w:tcPr>
            <w:tcW w:w="30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2,649</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2,358</w:t>
            </w:r>
          </w:p>
        </w:tc>
      </w:tr>
      <w:tr>
        <w:trPr>
          <w:trHeight w:val="216"/>
        </w:trPr>
        <w:tc>
          <w:tcPr>
            <w:tcW w:w="6040" w:type="dxa"/>
            <w:vAlign w:val="bottom"/>
          </w:tcPr>
          <w:p>
            <w:pPr>
              <w:spacing w:after="0"/>
              <w:rPr>
                <w:sz w:val="20"/>
                <w:szCs w:val="20"/>
                <w:color w:val="auto"/>
              </w:rPr>
            </w:pPr>
            <w:r>
              <w:rPr>
                <w:rFonts w:ascii="Arial" w:cs="Arial" w:eastAsia="Arial" w:hAnsi="Arial"/>
                <w:sz w:val="18"/>
                <w:szCs w:val="18"/>
                <w:b w:val="1"/>
                <w:bCs w:val="1"/>
                <w:color w:val="auto"/>
              </w:rPr>
              <w:t>Television Costs:</w:t>
            </w:r>
          </w:p>
        </w:tc>
        <w:tc>
          <w:tcPr>
            <w:tcW w:w="3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0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Released, less amortization</w:t>
            </w:r>
          </w:p>
        </w:tc>
        <w:tc>
          <w:tcPr>
            <w:tcW w:w="30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1,187</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1,155</w:t>
            </w:r>
          </w:p>
        </w:tc>
      </w:tr>
      <w:tr>
        <w:trPr>
          <w:trHeight w:val="216"/>
        </w:trPr>
        <w:tc>
          <w:tcPr>
            <w:tcW w:w="60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0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445</w:t>
            </w: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370</w:t>
            </w:r>
          </w:p>
        </w:tc>
      </w:tr>
      <w:tr>
        <w:trPr>
          <w:trHeight w:val="210"/>
        </w:trPr>
        <w:tc>
          <w:tcPr>
            <w:tcW w:w="6040" w:type="dxa"/>
            <w:vAlign w:val="bottom"/>
            <w:shd w:val="clear" w:color="auto" w:fill="E5E5E5"/>
          </w:tcPr>
          <w:p>
            <w:pPr>
              <w:spacing w:after="0"/>
              <w:rPr>
                <w:sz w:val="18"/>
                <w:szCs w:val="18"/>
                <w:color w:val="auto"/>
              </w:rPr>
            </w:pPr>
          </w:p>
        </w:tc>
        <w:tc>
          <w:tcPr>
            <w:tcW w:w="30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1,632</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1,525</w:t>
            </w:r>
          </w:p>
        </w:tc>
      </w:tr>
      <w:tr>
        <w:trPr>
          <w:trHeight w:val="216"/>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30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2,247</w:t>
            </w: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2,003</w:t>
            </w:r>
          </w:p>
        </w:tc>
      </w:tr>
      <w:tr>
        <w:trPr>
          <w:trHeight w:val="210"/>
        </w:trPr>
        <w:tc>
          <w:tcPr>
            <w:tcW w:w="6040" w:type="dxa"/>
            <w:vAlign w:val="bottom"/>
            <w:shd w:val="clear" w:color="auto" w:fill="E5E5E5"/>
          </w:tcPr>
          <w:p>
            <w:pPr>
              <w:spacing w:after="0"/>
              <w:rPr>
                <w:sz w:val="18"/>
                <w:szCs w:val="18"/>
                <w:color w:val="auto"/>
              </w:rPr>
            </w:pPr>
          </w:p>
        </w:tc>
        <w:tc>
          <w:tcPr>
            <w:tcW w:w="30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6,528</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5,886</w:t>
            </w:r>
          </w:p>
        </w:tc>
      </w:tr>
      <w:tr>
        <w:trPr>
          <w:trHeight w:val="216"/>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30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976</w:t>
            </w: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903</w:t>
            </w:r>
          </w:p>
        </w:tc>
      </w:tr>
      <w:tr>
        <w:trPr>
          <w:trHeight w:val="230"/>
        </w:trPr>
        <w:tc>
          <w:tcPr>
            <w:tcW w:w="60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Film and television costs</w:t>
            </w:r>
          </w:p>
        </w:tc>
        <w:tc>
          <w:tcPr>
            <w:tcW w:w="3080" w:type="dxa"/>
            <w:vAlign w:val="bottom"/>
            <w:tcBorders>
              <w:bottom w:val="single" w:sz="8" w:color="auto"/>
            </w:tcBorders>
            <w:shd w:val="clear" w:color="auto" w:fill="E5E5E5"/>
          </w:tcPr>
          <w:p>
            <w:pPr>
              <w:ind w:left="290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E5E5E5"/>
          </w:tcPr>
          <w:p>
            <w:pPr>
              <w:jc w:val="right"/>
              <w:ind w:right="314"/>
              <w:spacing w:after="0"/>
              <w:rPr>
                <w:sz w:val="20"/>
                <w:szCs w:val="20"/>
                <w:color w:val="auto"/>
              </w:rPr>
            </w:pPr>
            <w:r>
              <w:rPr>
                <w:rFonts w:ascii="Arial" w:cs="Arial" w:eastAsia="Arial" w:hAnsi="Arial"/>
                <w:sz w:val="18"/>
                <w:szCs w:val="18"/>
                <w:b w:val="1"/>
                <w:bCs w:val="1"/>
                <w:color w:val="auto"/>
              </w:rPr>
              <w:t>5,552</w:t>
            </w:r>
          </w:p>
        </w:tc>
        <w:tc>
          <w:tcPr>
            <w:tcW w:w="5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4,983</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Investments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4680" w:type="dxa"/>
            <w:vAlign w:val="bottom"/>
            <w:gridSpan w:val="2"/>
          </w:tcPr>
          <w:p>
            <w:pPr>
              <w:ind w:left="3440"/>
              <w:spacing w:after="0"/>
              <w:rPr>
                <w:sz w:val="20"/>
                <w:szCs w:val="20"/>
                <w:color w:val="auto"/>
              </w:rPr>
            </w:pPr>
            <w:r>
              <w:rPr>
                <w:rFonts w:ascii="Arial" w:cs="Arial" w:eastAsia="Arial" w:hAnsi="Arial"/>
                <w:sz w:val="14"/>
                <w:szCs w:val="14"/>
                <w:color w:val="auto"/>
              </w:rPr>
              <w:t>September 30,</w:t>
            </w:r>
          </w:p>
        </w:tc>
        <w:tc>
          <w:tcPr>
            <w:tcW w:w="1320" w:type="dxa"/>
            <w:vAlign w:val="bottom"/>
            <w:gridSpan w:val="2"/>
          </w:tcPr>
          <w:p>
            <w:pPr>
              <w:ind w:left="460"/>
              <w:spacing w:after="0"/>
              <w:rPr>
                <w:sz w:val="20"/>
                <w:szCs w:val="20"/>
                <w:color w:val="auto"/>
              </w:rPr>
            </w:pPr>
            <w:r>
              <w:rPr>
                <w:rFonts w:ascii="Arial" w:cs="Arial" w:eastAsia="Arial" w:hAnsi="Arial"/>
                <w:sz w:val="14"/>
                <w:szCs w:val="14"/>
                <w:color w:val="auto"/>
                <w:w w:val="95"/>
              </w:rPr>
              <w:t>December 31,</w:t>
            </w:r>
          </w:p>
        </w:tc>
      </w:tr>
      <w:tr>
        <w:trPr>
          <w:trHeight w:val="159"/>
        </w:trPr>
        <w:tc>
          <w:tcPr>
            <w:tcW w:w="542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600" w:type="dxa"/>
            <w:vAlign w:val="bottom"/>
          </w:tcPr>
          <w:p>
            <w:pPr>
              <w:spacing w:after="0"/>
              <w:rPr>
                <w:sz w:val="13"/>
                <w:szCs w:val="13"/>
                <w:color w:val="auto"/>
              </w:rPr>
            </w:pPr>
          </w:p>
        </w:tc>
        <w:tc>
          <w:tcPr>
            <w:tcW w:w="1080" w:type="dxa"/>
            <w:vAlign w:val="bottom"/>
          </w:tcPr>
          <w:p>
            <w:pPr>
              <w:jc w:val="right"/>
              <w:ind w:right="634"/>
              <w:spacing w:after="0" w:line="159" w:lineRule="exact"/>
              <w:rPr>
                <w:sz w:val="20"/>
                <w:szCs w:val="20"/>
                <w:color w:val="auto"/>
              </w:rPr>
            </w:pPr>
            <w:r>
              <w:rPr>
                <w:rFonts w:ascii="Arial" w:cs="Arial" w:eastAsia="Arial" w:hAnsi="Arial"/>
                <w:sz w:val="14"/>
                <w:szCs w:val="14"/>
                <w:color w:val="auto"/>
              </w:rPr>
              <w:t>2014</w:t>
            </w:r>
          </w:p>
        </w:tc>
        <w:tc>
          <w:tcPr>
            <w:tcW w:w="620" w:type="dxa"/>
            <w:vAlign w:val="bottom"/>
          </w:tcPr>
          <w:p>
            <w:pPr>
              <w:spacing w:after="0"/>
              <w:rPr>
                <w:sz w:val="13"/>
                <w:szCs w:val="13"/>
                <w:color w:val="auto"/>
              </w:rPr>
            </w:pPr>
          </w:p>
        </w:tc>
        <w:tc>
          <w:tcPr>
            <w:tcW w:w="700" w:type="dxa"/>
            <w:vAlign w:val="bottom"/>
          </w:tcPr>
          <w:p>
            <w:pPr>
              <w:jc w:val="right"/>
              <w:ind w:right="254"/>
              <w:spacing w:after="0" w:line="159" w:lineRule="exact"/>
              <w:rPr>
                <w:sz w:val="20"/>
                <w:szCs w:val="20"/>
                <w:color w:val="auto"/>
              </w:rPr>
            </w:pPr>
            <w:r>
              <w:rPr>
                <w:rFonts w:ascii="Arial" w:cs="Arial" w:eastAsia="Arial" w:hAnsi="Arial"/>
                <w:sz w:val="14"/>
                <w:szCs w:val="14"/>
                <w:color w:val="auto"/>
              </w:rPr>
              <w:t>2013</w:t>
            </w:r>
          </w:p>
        </w:tc>
      </w:tr>
      <w:tr>
        <w:trPr>
          <w:trHeight w:val="210"/>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3600" w:type="dxa"/>
            <w:vAlign w:val="bottom"/>
            <w:tcBorders>
              <w:top w:val="single" w:sz="8" w:color="auto"/>
            </w:tcBorders>
            <w:shd w:val="clear" w:color="auto" w:fill="E5E5E5"/>
          </w:tcPr>
          <w:p>
            <w:pPr>
              <w:ind w:left="34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E5E5E5"/>
          </w:tcPr>
          <w:p>
            <w:pPr>
              <w:jc w:val="right"/>
              <w:ind w:right="374"/>
              <w:spacing w:after="0"/>
              <w:rPr>
                <w:sz w:val="20"/>
                <w:szCs w:val="20"/>
                <w:color w:val="auto"/>
              </w:rPr>
            </w:pPr>
            <w:r>
              <w:rPr>
                <w:rFonts w:ascii="Arial" w:cs="Arial" w:eastAsia="Arial" w:hAnsi="Arial"/>
                <w:sz w:val="18"/>
                <w:szCs w:val="18"/>
                <w:color w:val="auto"/>
              </w:rPr>
              <w:t>16</w:t>
            </w:r>
          </w:p>
        </w:tc>
        <w:tc>
          <w:tcPr>
            <w:tcW w:w="620" w:type="dxa"/>
            <w:vAlign w:val="bottom"/>
            <w:tcBorders>
              <w:top w:val="single" w:sz="8" w:color="auto"/>
            </w:tcBorders>
            <w:shd w:val="clear" w:color="auto" w:fill="E5E5E5"/>
          </w:tcPr>
          <w:p>
            <w:pPr>
              <w:ind w:left="46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Equity Method:</w:t>
            </w:r>
          </w:p>
        </w:tc>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The Weather Channel</w:t>
            </w:r>
          </w:p>
        </w:tc>
        <w:tc>
          <w:tcPr>
            <w:tcW w:w="360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333</w:t>
            </w:r>
          </w:p>
        </w:tc>
        <w:tc>
          <w:tcPr>
            <w:tcW w:w="6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333</w:t>
            </w: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Hulu</w:t>
            </w:r>
          </w:p>
        </w:tc>
        <w:tc>
          <w:tcPr>
            <w:tcW w:w="3600" w:type="dxa"/>
            <w:vAlign w:val="bottom"/>
          </w:tcPr>
          <w:p>
            <w:pPr>
              <w:spacing w:after="0"/>
              <w:rPr>
                <w:sz w:val="18"/>
                <w:szCs w:val="18"/>
                <w:color w:val="auto"/>
              </w:rPr>
            </w:pPr>
          </w:p>
        </w:tc>
        <w:tc>
          <w:tcPr>
            <w:tcW w:w="1080" w:type="dxa"/>
            <w:vAlign w:val="bottom"/>
          </w:tcPr>
          <w:p>
            <w:pPr>
              <w:jc w:val="right"/>
              <w:ind w:right="374"/>
              <w:spacing w:after="0"/>
              <w:rPr>
                <w:sz w:val="20"/>
                <w:szCs w:val="20"/>
                <w:color w:val="auto"/>
              </w:rPr>
            </w:pPr>
            <w:r>
              <w:rPr>
                <w:rFonts w:ascii="Arial" w:cs="Arial" w:eastAsia="Arial" w:hAnsi="Arial"/>
                <w:sz w:val="18"/>
                <w:szCs w:val="18"/>
                <w:color w:val="auto"/>
              </w:rPr>
              <w:t>188</w:t>
            </w:r>
          </w:p>
        </w:tc>
        <w:tc>
          <w:tcPr>
            <w:tcW w:w="62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187</w:t>
            </w:r>
          </w:p>
        </w:tc>
      </w:tr>
      <w:tr>
        <w:trPr>
          <w:trHeight w:val="216"/>
        </w:trPr>
        <w:tc>
          <w:tcPr>
            <w:tcW w:w="20" w:type="dxa"/>
            <w:vAlign w:val="bottom"/>
          </w:tcPr>
          <w:p>
            <w:pPr>
              <w:spacing w:after="0"/>
              <w:rPr>
                <w:sz w:val="18"/>
                <w:szCs w:val="18"/>
                <w:color w:val="auto"/>
              </w:rPr>
            </w:pPr>
          </w:p>
        </w:tc>
        <w:tc>
          <w:tcPr>
            <w:tcW w:w="540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w:t>
            </w:r>
          </w:p>
        </w:tc>
        <w:tc>
          <w:tcPr>
            <w:tcW w:w="360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374"/>
              <w:spacing w:after="0"/>
              <w:rPr>
                <w:sz w:val="20"/>
                <w:szCs w:val="20"/>
                <w:color w:val="auto"/>
              </w:rPr>
            </w:pPr>
            <w:r>
              <w:rPr>
                <w:rFonts w:ascii="Arial" w:cs="Arial" w:eastAsia="Arial" w:hAnsi="Arial"/>
                <w:sz w:val="18"/>
                <w:szCs w:val="18"/>
                <w:color w:val="auto"/>
              </w:rPr>
              <w:t>347</w:t>
            </w:r>
          </w:p>
        </w:tc>
        <w:tc>
          <w:tcPr>
            <w:tcW w:w="6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332</w:t>
            </w: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80" w:type="dxa"/>
            <w:vAlign w:val="bottom"/>
          </w:tcPr>
          <w:p>
            <w:pPr>
              <w:jc w:val="right"/>
              <w:ind w:right="374"/>
              <w:spacing w:after="0"/>
              <w:rPr>
                <w:sz w:val="20"/>
                <w:szCs w:val="20"/>
                <w:color w:val="auto"/>
              </w:rPr>
            </w:pPr>
            <w:r>
              <w:rPr>
                <w:rFonts w:ascii="Arial" w:cs="Arial" w:eastAsia="Arial" w:hAnsi="Arial"/>
                <w:sz w:val="18"/>
                <w:szCs w:val="18"/>
                <w:color w:val="auto"/>
              </w:rPr>
              <w:t>868</w:t>
            </w:r>
          </w:p>
        </w:tc>
        <w:tc>
          <w:tcPr>
            <w:tcW w:w="62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852</w:t>
            </w:r>
          </w:p>
        </w:tc>
      </w:tr>
      <w:tr>
        <w:trPr>
          <w:trHeight w:val="216"/>
        </w:trPr>
        <w:tc>
          <w:tcPr>
            <w:tcW w:w="20" w:type="dxa"/>
            <w:vAlign w:val="bottom"/>
          </w:tcPr>
          <w:p>
            <w:pPr>
              <w:spacing w:after="0"/>
              <w:rPr>
                <w:sz w:val="18"/>
                <w:szCs w:val="18"/>
                <w:color w:val="auto"/>
              </w:rPr>
            </w:pPr>
          </w:p>
        </w:tc>
        <w:tc>
          <w:tcPr>
            <w:tcW w:w="54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Cost Method</w:t>
            </w:r>
          </w:p>
        </w:tc>
        <w:tc>
          <w:tcPr>
            <w:tcW w:w="360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374"/>
              <w:spacing w:after="0"/>
              <w:rPr>
                <w:sz w:val="20"/>
                <w:szCs w:val="20"/>
                <w:color w:val="auto"/>
              </w:rPr>
            </w:pPr>
            <w:r>
              <w:rPr>
                <w:rFonts w:ascii="Arial" w:cs="Arial" w:eastAsia="Arial" w:hAnsi="Arial"/>
                <w:sz w:val="18"/>
                <w:szCs w:val="18"/>
                <w:color w:val="auto"/>
              </w:rPr>
              <w:t>28</w:t>
            </w:r>
          </w:p>
        </w:tc>
        <w:tc>
          <w:tcPr>
            <w:tcW w:w="6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21</w:t>
            </w: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Total investments</w:t>
            </w:r>
          </w:p>
        </w:tc>
        <w:tc>
          <w:tcPr>
            <w:tcW w:w="3600" w:type="dxa"/>
            <w:vAlign w:val="bottom"/>
          </w:tcPr>
          <w:p>
            <w:pPr>
              <w:spacing w:after="0"/>
              <w:rPr>
                <w:sz w:val="18"/>
                <w:szCs w:val="18"/>
                <w:color w:val="auto"/>
              </w:rPr>
            </w:pPr>
          </w:p>
        </w:tc>
        <w:tc>
          <w:tcPr>
            <w:tcW w:w="1080" w:type="dxa"/>
            <w:vAlign w:val="bottom"/>
          </w:tcPr>
          <w:p>
            <w:pPr>
              <w:jc w:val="right"/>
              <w:ind w:right="374"/>
              <w:spacing w:after="0"/>
              <w:rPr>
                <w:sz w:val="20"/>
                <w:szCs w:val="20"/>
                <w:color w:val="auto"/>
              </w:rPr>
            </w:pPr>
            <w:r>
              <w:rPr>
                <w:rFonts w:ascii="Arial" w:cs="Arial" w:eastAsia="Arial" w:hAnsi="Arial"/>
                <w:sz w:val="18"/>
                <w:szCs w:val="18"/>
                <w:color w:val="auto"/>
              </w:rPr>
              <w:t>912</w:t>
            </w:r>
          </w:p>
        </w:tc>
        <w:tc>
          <w:tcPr>
            <w:tcW w:w="62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884</w:t>
            </w:r>
          </w:p>
        </w:tc>
      </w:tr>
      <w:tr>
        <w:trPr>
          <w:trHeight w:val="216"/>
        </w:trPr>
        <w:tc>
          <w:tcPr>
            <w:tcW w:w="20" w:type="dxa"/>
            <w:vAlign w:val="bottom"/>
          </w:tcPr>
          <w:p>
            <w:pPr>
              <w:spacing w:after="0"/>
              <w:rPr>
                <w:sz w:val="18"/>
                <w:szCs w:val="18"/>
                <w:color w:val="auto"/>
              </w:rPr>
            </w:pPr>
          </w:p>
        </w:tc>
        <w:tc>
          <w:tcPr>
            <w:tcW w:w="54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Current investments</w:t>
            </w:r>
          </w:p>
        </w:tc>
        <w:tc>
          <w:tcPr>
            <w:tcW w:w="360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374"/>
              <w:spacing w:after="0"/>
              <w:rPr>
                <w:sz w:val="20"/>
                <w:szCs w:val="20"/>
                <w:color w:val="auto"/>
              </w:rPr>
            </w:pPr>
            <w:r>
              <w:rPr>
                <w:rFonts w:ascii="Arial" w:cs="Arial" w:eastAsia="Arial" w:hAnsi="Arial"/>
                <w:sz w:val="18"/>
                <w:szCs w:val="18"/>
                <w:color w:val="auto"/>
              </w:rPr>
              <w:t>5</w:t>
            </w:r>
          </w:p>
        </w:tc>
        <w:tc>
          <w:tcPr>
            <w:tcW w:w="6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auto"/>
            </w:tcBorders>
          </w:tcPr>
          <w:p>
            <w:pPr>
              <w:spacing w:after="0"/>
              <w:rPr>
                <w:sz w:val="20"/>
                <w:szCs w:val="20"/>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Noncurrent Investments</w:t>
            </w:r>
          </w:p>
        </w:tc>
        <w:tc>
          <w:tcPr>
            <w:tcW w:w="3600" w:type="dxa"/>
            <w:vAlign w:val="bottom"/>
            <w:tcBorders>
              <w:bottom w:val="single" w:sz="8" w:color="auto"/>
            </w:tcBorders>
          </w:tcPr>
          <w:p>
            <w:pPr>
              <w:ind w:left="344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b w:val="1"/>
                <w:bCs w:val="1"/>
                <w:color w:val="auto"/>
              </w:rPr>
              <w:t>907</w:t>
            </w:r>
          </w:p>
        </w:tc>
        <w:tc>
          <w:tcPr>
            <w:tcW w:w="62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884</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Long-Term Debt</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of September 30, 2014, our debt, excluding the note payable to Comcast, had a carrying value of $10.3 billion and an estimated fair value of $11.3 billion. The estimated fair value of our publicly traded debt is based primarily on Level 1 inputs that use quoted market values for the debt. The estimated fair value of debt for which there are no quoted market prices is based on Level 2 inputs that use interest rates available to us for debt with similar terms and remaining maturities.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Repayments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In April 2014, we repaid $900 million aggregate principal amount of 2.10% senior notes due April 2014 at maturity.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Cross-Guarantee Structure</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2013, we, Comcast and certain of Comcast’s 100% owned cable holding company subsidiaries (the “cable guarantors”) entered into a series of agreements and supplemental indentures to include us as a part of Comcast’s existing cross-guarantee structure. As members of the cross-guarantee structure, Comcast and the cable guarantors fully and unconditionally guarantee our public debt securities, and we fully and unconditionally guarantee all of Comcast’s and the cable guarantors’ public debt securities. As of September 30, 2014, we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guaranteed $32.6 billion of outstanding debt securities of Comcast and the cable guarantors. We also fully and unconditionally guarantee the $6.25 billion Comcast revolving credit facility due 2017, of which no amounts were outstanding as of September 30, 2014.</w:t>
      </w:r>
    </w:p>
    <w:p>
      <w:pPr>
        <w:spacing w:after="0" w:line="9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do not, however, guarantee the obligations of NBCUniversal Enterprise with respect to its $4 billion aggregate principal amount of senior notes, $1.35 billion revolving credit facility and associated commercial paper program, or $725 million liquidation preference of Series A cumulative preferred stock.</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Fair Value Measurements</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Our assessment of the significance of a particular input to the fair value measurement requires judgment and may affect the valuation of financial instruments and their classification within the fair value hierarchy.</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financial instruments that are accounted for at fair value on a recurring basis were not material for all periods presented, except for the liability associated with our contractual obligation. The estimated fair value of the contractual obligation is primarily based on certain expected future discounted cash flows, the determination of which involves the use of significant unobservable inputs. As the inputs used are not quoted market prices or observable inputs, we classify the contractual obligation as a Level 3 financial instrument.</w:t>
      </w:r>
    </w:p>
    <w:p>
      <w:pPr>
        <w:spacing w:after="0" w:line="4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most significant unobservable inputs we use include our estimates of the future revenue we expect to generate from certain of our businesses. The discount rates used in the measurement of fair value were between 12% and 13% and are based on the underlying risk associated with our estimate of future revenue and the terms of the respective contract. The fair value adjustments to the contractual obligation are sensitive to the assumptions related to future revenue, as well as to current interest rates, and therefore, the adjustments are recorded to other income (expense), net in our condensed consolidated statement of income.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220" w:type="dxa"/>
            <w:vAlign w:val="bottom"/>
          </w:tcPr>
          <w:p>
            <w:pPr>
              <w:spacing w:after="0"/>
              <w:rPr>
                <w:sz w:val="20"/>
                <w:szCs w:val="20"/>
                <w:color w:val="auto"/>
              </w:rPr>
            </w:pPr>
          </w:p>
        </w:tc>
        <w:tc>
          <w:tcPr>
            <w:tcW w:w="7680" w:type="dxa"/>
            <w:vAlign w:val="bottom"/>
          </w:tcPr>
          <w:p>
            <w:pPr>
              <w:ind w:left="1060"/>
              <w:spacing w:after="0"/>
              <w:rPr>
                <w:sz w:val="20"/>
                <w:szCs w:val="20"/>
                <w:color w:val="auto"/>
              </w:rPr>
            </w:pPr>
            <w:r>
              <w:rPr>
                <w:rFonts w:ascii="Arial" w:cs="Arial" w:eastAsia="Arial" w:hAnsi="Arial"/>
                <w:sz w:val="18"/>
                <w:szCs w:val="18"/>
                <w:b w:val="1"/>
                <w:bCs w:val="1"/>
                <w:color w:val="auto"/>
              </w:rPr>
              <w:t>Changes in Contractual Obligation</w:t>
            </w:r>
          </w:p>
        </w:tc>
        <w:tc>
          <w:tcPr>
            <w:tcW w:w="520" w:type="dxa"/>
            <w:vAlign w:val="bottom"/>
          </w:tcPr>
          <w:p>
            <w:pPr>
              <w:spacing w:after="0"/>
              <w:rPr>
                <w:sz w:val="20"/>
                <w:szCs w:val="20"/>
                <w:color w:val="auto"/>
              </w:rPr>
            </w:pPr>
          </w:p>
        </w:tc>
      </w:tr>
      <w:tr>
        <w:trPr>
          <w:trHeight w:val="261"/>
        </w:trPr>
        <w:tc>
          <w:tcPr>
            <w:tcW w:w="3220" w:type="dxa"/>
            <w:vAlign w:val="bottom"/>
          </w:tcPr>
          <w:p>
            <w:pPr>
              <w:spacing w:after="0"/>
              <w:rPr>
                <w:sz w:val="22"/>
                <w:szCs w:val="22"/>
                <w:color w:val="auto"/>
              </w:rPr>
            </w:pPr>
          </w:p>
        </w:tc>
        <w:tc>
          <w:tcPr>
            <w:tcW w:w="8200" w:type="dxa"/>
            <w:vAlign w:val="bottom"/>
            <w:gridSpan w:val="2"/>
          </w:tcPr>
          <w:p>
            <w:pPr>
              <w:ind w:left="7460"/>
              <w:spacing w:after="0"/>
              <w:rPr>
                <w:sz w:val="20"/>
                <w:szCs w:val="20"/>
                <w:color w:val="auto"/>
              </w:rPr>
            </w:pPr>
            <w:r>
              <w:rPr>
                <w:rFonts w:ascii="Arial" w:cs="Arial" w:eastAsia="Arial" w:hAnsi="Arial"/>
                <w:sz w:val="14"/>
                <w:szCs w:val="14"/>
                <w:color w:val="auto"/>
              </w:rPr>
              <w:t>Contractual</w:t>
            </w:r>
          </w:p>
        </w:tc>
      </w:tr>
      <w:tr>
        <w:trPr>
          <w:trHeight w:val="159"/>
        </w:trPr>
        <w:tc>
          <w:tcPr>
            <w:tcW w:w="32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8200" w:type="dxa"/>
            <w:vAlign w:val="bottom"/>
            <w:tcBorders>
              <w:bottom w:val="single" w:sz="8" w:color="auto"/>
            </w:tcBorders>
            <w:gridSpan w:val="2"/>
          </w:tcPr>
          <w:p>
            <w:pPr>
              <w:jc w:val="right"/>
              <w:ind w:right="52"/>
              <w:spacing w:after="0" w:line="159" w:lineRule="exact"/>
              <w:rPr>
                <w:sz w:val="20"/>
                <w:szCs w:val="20"/>
                <w:color w:val="auto"/>
              </w:rPr>
            </w:pPr>
            <w:r>
              <w:rPr>
                <w:rFonts w:ascii="Arial" w:cs="Arial" w:eastAsia="Arial" w:hAnsi="Arial"/>
                <w:sz w:val="14"/>
                <w:szCs w:val="14"/>
                <w:color w:val="auto"/>
              </w:rPr>
              <w:t>Obligation</w:t>
            </w:r>
          </w:p>
        </w:tc>
      </w:tr>
      <w:tr>
        <w:trPr>
          <w:trHeight w:val="210"/>
        </w:trPr>
        <w:tc>
          <w:tcPr>
            <w:tcW w:w="3220" w:type="dxa"/>
            <w:vAlign w:val="bottom"/>
            <w:shd w:val="clear" w:color="auto" w:fill="E5E5E5"/>
          </w:tcPr>
          <w:p>
            <w:pPr>
              <w:spacing w:after="0"/>
              <w:rPr>
                <w:sz w:val="20"/>
                <w:szCs w:val="20"/>
                <w:color w:val="auto"/>
              </w:rPr>
            </w:pPr>
            <w:r>
              <w:rPr>
                <w:rFonts w:ascii="Arial" w:cs="Arial" w:eastAsia="Arial" w:hAnsi="Arial"/>
                <w:sz w:val="18"/>
                <w:szCs w:val="18"/>
                <w:color w:val="auto"/>
              </w:rPr>
              <w:t>Balance, January 1, 2014</w:t>
            </w:r>
          </w:p>
        </w:tc>
        <w:tc>
          <w:tcPr>
            <w:tcW w:w="7680" w:type="dxa"/>
            <w:vAlign w:val="bottom"/>
            <w:shd w:val="clear" w:color="auto" w:fill="E5E5E5"/>
          </w:tcPr>
          <w:p>
            <w:pPr>
              <w:ind w:left="7460"/>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747</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Fair value adjustments</w:t>
            </w:r>
          </w:p>
        </w:tc>
        <w:tc>
          <w:tcPr>
            <w:tcW w:w="768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120</w:t>
            </w:r>
          </w:p>
        </w:tc>
      </w:tr>
      <w:tr>
        <w:trPr>
          <w:trHeight w:val="216"/>
        </w:trPr>
        <w:tc>
          <w:tcPr>
            <w:tcW w:w="3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Payments</w:t>
            </w:r>
          </w:p>
        </w:tc>
        <w:tc>
          <w:tcPr>
            <w:tcW w:w="76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September 30, 2014</w:t>
            </w:r>
          </w:p>
        </w:tc>
        <w:tc>
          <w:tcPr>
            <w:tcW w:w="7680" w:type="dxa"/>
            <w:vAlign w:val="bottom"/>
            <w:tcBorders>
              <w:bottom w:val="single" w:sz="8" w:color="auto"/>
            </w:tcBorders>
          </w:tcPr>
          <w:p>
            <w:pPr>
              <w:ind w:left="746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818</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Share-Based Compensation</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maintains share-based compensation plans that primarily consist of awards of stock options and restricted share units (“RSUs”) to certain employees and directors as part of its approach to long-term incentive compensation. Additionally, through Comcast’s employee stock purchase plans, employees are able to purchase shares of its Class A common stock at a discount through payroll deductions. Certain of our employees participate in these plans and the expense associated with their participation is settled in cash with Comcast.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40" w:type="dxa"/>
            <w:vAlign w:val="bottom"/>
            <w:gridSpan w:val="3"/>
          </w:tcPr>
          <w:p>
            <w:pPr>
              <w:jc w:val="right"/>
              <w:ind w:right="476"/>
              <w:spacing w:after="0"/>
              <w:rPr>
                <w:sz w:val="20"/>
                <w:szCs w:val="20"/>
                <w:color w:val="auto"/>
              </w:rPr>
            </w:pPr>
            <w:r>
              <w:rPr>
                <w:rFonts w:ascii="Arial" w:cs="Arial" w:eastAsia="Arial" w:hAnsi="Arial"/>
                <w:sz w:val="14"/>
                <w:szCs w:val="14"/>
                <w:color w:val="auto"/>
                <w:w w:val="96"/>
              </w:rPr>
              <w:t>Three Months Ended</w:t>
            </w:r>
          </w:p>
        </w:tc>
        <w:tc>
          <w:tcPr>
            <w:tcW w:w="400" w:type="dxa"/>
            <w:vAlign w:val="bottom"/>
          </w:tcPr>
          <w:p>
            <w:pPr>
              <w:spacing w:after="0"/>
              <w:rPr>
                <w:sz w:val="14"/>
                <w:szCs w:val="14"/>
                <w:color w:val="auto"/>
              </w:rPr>
            </w:pPr>
          </w:p>
        </w:tc>
        <w:tc>
          <w:tcPr>
            <w:tcW w:w="1640" w:type="dxa"/>
            <w:vAlign w:val="bottom"/>
            <w:gridSpan w:val="3"/>
          </w:tcPr>
          <w:p>
            <w:pPr>
              <w:jc w:val="right"/>
              <w:ind w:right="296"/>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39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30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920" w:type="dxa"/>
            <w:vAlign w:val="bottom"/>
            <w:tcBorders>
              <w:bottom w:val="single" w:sz="8" w:color="auto"/>
            </w:tcBorders>
            <w:vMerge w:val="continue"/>
          </w:tcPr>
          <w:p>
            <w:pPr>
              <w:spacing w:after="0"/>
              <w:rPr>
                <w:sz w:val="12"/>
                <w:szCs w:val="12"/>
                <w:color w:val="auto"/>
              </w:rPr>
            </w:pPr>
          </w:p>
        </w:tc>
        <w:tc>
          <w:tcPr>
            <w:tcW w:w="30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61"/>
              <w:spacing w:after="0" w:line="142" w:lineRule="exact"/>
              <w:rPr>
                <w:sz w:val="20"/>
                <w:szCs w:val="20"/>
                <w:color w:val="auto"/>
              </w:rPr>
            </w:pPr>
            <w:r>
              <w:rPr>
                <w:rFonts w:ascii="Arial" w:cs="Arial" w:eastAsia="Arial" w:hAnsi="Arial"/>
                <w:sz w:val="14"/>
                <w:szCs w:val="14"/>
                <w:color w:val="auto"/>
                <w:w w:val="83"/>
              </w:rPr>
              <w:t>2014</w:t>
            </w: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color w:val="auto"/>
                <w:w w:val="83"/>
              </w:rPr>
              <w:t>2013</w:t>
            </w: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61"/>
              <w:spacing w:after="0" w:line="142" w:lineRule="exact"/>
              <w:rPr>
                <w:sz w:val="20"/>
                <w:szCs w:val="20"/>
                <w:color w:val="auto"/>
              </w:rPr>
            </w:pPr>
            <w:r>
              <w:rPr>
                <w:rFonts w:ascii="Arial" w:cs="Arial" w:eastAsia="Arial" w:hAnsi="Arial"/>
                <w:sz w:val="14"/>
                <w:szCs w:val="14"/>
                <w:color w:val="auto"/>
                <w:w w:val="83"/>
              </w:rPr>
              <w:t>2014</w:t>
            </w:r>
          </w:p>
        </w:tc>
        <w:tc>
          <w:tcPr>
            <w:tcW w:w="4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w w:val="89"/>
              </w:rPr>
              <w:t>2013</w:t>
            </w:r>
          </w:p>
        </w:tc>
        <w:tc>
          <w:tcPr>
            <w:tcW w:w="0" w:type="dxa"/>
            <w:vAlign w:val="bottom"/>
          </w:tcPr>
          <w:p>
            <w:pPr>
              <w:spacing w:after="0"/>
              <w:rPr>
                <w:sz w:val="1"/>
                <w:szCs w:val="1"/>
                <w:color w:val="auto"/>
              </w:rPr>
            </w:pPr>
          </w:p>
        </w:tc>
      </w:tr>
      <w:tr>
        <w:trPr>
          <w:trHeight w:val="210"/>
        </w:trPr>
        <w:tc>
          <w:tcPr>
            <w:tcW w:w="3920" w:type="dxa"/>
            <w:vAlign w:val="bottom"/>
            <w:shd w:val="clear" w:color="auto" w:fill="E5E5E5"/>
          </w:tcPr>
          <w:p>
            <w:pPr>
              <w:spacing w:after="0"/>
              <w:rPr>
                <w:sz w:val="20"/>
                <w:szCs w:val="20"/>
                <w:color w:val="auto"/>
              </w:rPr>
            </w:pPr>
            <w:r>
              <w:rPr>
                <w:rFonts w:ascii="Arial" w:cs="Arial" w:eastAsia="Arial" w:hAnsi="Arial"/>
                <w:sz w:val="18"/>
                <w:szCs w:val="18"/>
                <w:color w:val="auto"/>
              </w:rPr>
              <w:t>Stock options</w:t>
            </w:r>
          </w:p>
        </w:tc>
        <w:tc>
          <w:tcPr>
            <w:tcW w:w="362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21"/>
              <w:spacing w:after="0"/>
              <w:rPr>
                <w:sz w:val="20"/>
                <w:szCs w:val="20"/>
                <w:color w:val="auto"/>
              </w:rPr>
            </w:pPr>
            <w:r>
              <w:rPr>
                <w:rFonts w:ascii="Arial" w:cs="Arial" w:eastAsia="Arial" w:hAnsi="Arial"/>
                <w:sz w:val="18"/>
                <w:szCs w:val="18"/>
                <w:color w:val="auto"/>
              </w:rPr>
              <w:t>4</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4</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21"/>
              <w:spacing w:after="0"/>
              <w:rPr>
                <w:sz w:val="20"/>
                <w:szCs w:val="20"/>
                <w:color w:val="auto"/>
              </w:rPr>
            </w:pPr>
            <w:r>
              <w:rPr>
                <w:rFonts w:ascii="Arial" w:cs="Arial" w:eastAsia="Arial" w:hAnsi="Arial"/>
                <w:sz w:val="18"/>
                <w:szCs w:val="18"/>
                <w:color w:val="auto"/>
              </w:rPr>
              <w:t>13</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Restricted share units</w:t>
            </w:r>
          </w:p>
        </w:tc>
        <w:tc>
          <w:tcPr>
            <w:tcW w:w="3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jc w:val="right"/>
              <w:ind w:right="221"/>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8"/>
                <w:szCs w:val="18"/>
                <w:color w:val="auto"/>
              </w:rPr>
            </w:pPr>
          </w:p>
        </w:tc>
        <w:tc>
          <w:tcPr>
            <w:tcW w:w="720" w:type="dxa"/>
            <w:vAlign w:val="bottom"/>
          </w:tcPr>
          <w:p>
            <w:pPr>
              <w:jc w:val="right"/>
              <w:ind w:right="216"/>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8"/>
                <w:szCs w:val="18"/>
                <w:color w:val="auto"/>
              </w:rPr>
            </w:pPr>
          </w:p>
        </w:tc>
        <w:tc>
          <w:tcPr>
            <w:tcW w:w="720" w:type="dxa"/>
            <w:vAlign w:val="bottom"/>
          </w:tcPr>
          <w:p>
            <w:pPr>
              <w:jc w:val="right"/>
              <w:ind w:right="221"/>
              <w:spacing w:after="0"/>
              <w:rPr>
                <w:sz w:val="20"/>
                <w:szCs w:val="20"/>
                <w:color w:val="auto"/>
              </w:rPr>
            </w:pPr>
            <w:r>
              <w:rPr>
                <w:rFonts w:ascii="Arial" w:cs="Arial" w:eastAsia="Arial" w:hAnsi="Arial"/>
                <w:sz w:val="18"/>
                <w:szCs w:val="18"/>
                <w:color w:val="auto"/>
              </w:rPr>
              <w:t>52</w:t>
            </w:r>
          </w:p>
        </w:tc>
        <w:tc>
          <w:tcPr>
            <w:tcW w:w="400" w:type="dxa"/>
            <w:vAlign w:val="bottom"/>
          </w:tcPr>
          <w:p>
            <w:pPr>
              <w:spacing w:after="0"/>
              <w:rPr>
                <w:sz w:val="18"/>
                <w:szCs w:val="18"/>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plans</w:t>
            </w:r>
          </w:p>
        </w:tc>
        <w:tc>
          <w:tcPr>
            <w:tcW w:w="30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21"/>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16"/>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21"/>
              <w:spacing w:after="0"/>
              <w:rPr>
                <w:sz w:val="20"/>
                <w:szCs w:val="20"/>
                <w:color w:val="auto"/>
              </w:rPr>
            </w:pPr>
            <w:r>
              <w:rPr>
                <w:rFonts w:ascii="Arial" w:cs="Arial" w:eastAsia="Arial" w:hAnsi="Arial"/>
                <w:sz w:val="18"/>
                <w:szCs w:val="18"/>
                <w:color w:val="auto"/>
              </w:rPr>
              <w:t>5</w:t>
            </w:r>
          </w:p>
        </w:tc>
        <w:tc>
          <w:tcPr>
            <w:tcW w:w="4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7"/>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3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21"/>
              <w:spacing w:after="0"/>
              <w:rPr>
                <w:sz w:val="20"/>
                <w:szCs w:val="20"/>
                <w:color w:val="auto"/>
              </w:rPr>
            </w:pPr>
            <w:r>
              <w:rPr>
                <w:rFonts w:ascii="Arial" w:cs="Arial" w:eastAsia="Arial" w:hAnsi="Arial"/>
                <w:sz w:val="18"/>
                <w:szCs w:val="18"/>
                <w:b w:val="1"/>
                <w:bCs w:val="1"/>
                <w:color w:val="auto"/>
              </w:rPr>
              <w:t>20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b w:val="1"/>
                <w:bCs w:val="1"/>
                <w:color w:val="auto"/>
              </w:rPr>
              <w:t>16</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21"/>
              <w:spacing w:after="0"/>
              <w:rPr>
                <w:sz w:val="20"/>
                <w:szCs w:val="20"/>
                <w:color w:val="auto"/>
              </w:rPr>
            </w:pPr>
            <w:r>
              <w:rPr>
                <w:rFonts w:ascii="Arial" w:cs="Arial" w:eastAsia="Arial" w:hAnsi="Arial"/>
                <w:sz w:val="18"/>
                <w:szCs w:val="18"/>
                <w:b w:val="1"/>
                <w:bCs w:val="1"/>
                <w:color w:val="auto"/>
              </w:rPr>
              <w:t>70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363"/>
        </w:trPr>
        <w:tc>
          <w:tcPr>
            <w:tcW w:w="3920" w:type="dxa"/>
            <w:vAlign w:val="bottom"/>
          </w:tcPr>
          <w:p>
            <w:pPr>
              <w:spacing w:after="0"/>
              <w:rPr>
                <w:sz w:val="24"/>
                <w:szCs w:val="24"/>
                <w:color w:val="auto"/>
              </w:rPr>
            </w:pPr>
          </w:p>
        </w:tc>
        <w:tc>
          <w:tcPr>
            <w:tcW w:w="3020" w:type="dxa"/>
            <w:vAlign w:val="bottom"/>
          </w:tcPr>
          <w:p>
            <w:pPr>
              <w:jc w:val="right"/>
              <w:ind w:right="1032"/>
              <w:spacing w:after="0"/>
              <w:rPr>
                <w:sz w:val="20"/>
                <w:szCs w:val="20"/>
                <w:color w:val="auto"/>
              </w:rPr>
            </w:pPr>
            <w:r>
              <w:rPr>
                <w:rFonts w:ascii="Arial" w:cs="Arial" w:eastAsia="Arial" w:hAnsi="Arial"/>
                <w:sz w:val="18"/>
                <w:szCs w:val="18"/>
                <w:color w:val="auto"/>
              </w:rPr>
              <w:t>57</w:t>
            </w: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Supplemental Financial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480" w:type="dxa"/>
            <w:vAlign w:val="bottom"/>
            <w:gridSpan w:val="3"/>
          </w:tcPr>
          <w:p>
            <w:pPr>
              <w:ind w:left="660"/>
              <w:spacing w:after="0"/>
              <w:rPr>
                <w:sz w:val="20"/>
                <w:szCs w:val="20"/>
                <w:color w:val="auto"/>
              </w:rPr>
            </w:pPr>
            <w:r>
              <w:rPr>
                <w:rFonts w:ascii="Arial" w:cs="Arial" w:eastAsia="Arial" w:hAnsi="Arial"/>
                <w:sz w:val="14"/>
                <w:szCs w:val="14"/>
                <w:color w:val="auto"/>
                <w:w w:val="87"/>
              </w:rPr>
              <w:t>September 30,</w:t>
            </w:r>
          </w:p>
        </w:tc>
        <w:tc>
          <w:tcPr>
            <w:tcW w:w="1660" w:type="dxa"/>
            <w:vAlign w:val="bottom"/>
            <w:gridSpan w:val="2"/>
          </w:tcPr>
          <w:p>
            <w:pPr>
              <w:jc w:val="center"/>
              <w:ind w:left="617"/>
              <w:spacing w:after="0"/>
              <w:rPr>
                <w:sz w:val="20"/>
                <w:szCs w:val="20"/>
                <w:color w:val="auto"/>
              </w:rPr>
            </w:pPr>
            <w:r>
              <w:rPr>
                <w:rFonts w:ascii="Arial" w:cs="Arial" w:eastAsia="Arial" w:hAnsi="Arial"/>
                <w:sz w:val="14"/>
                <w:szCs w:val="14"/>
                <w:color w:val="auto"/>
                <w:w w:val="86"/>
              </w:rPr>
              <w:t>December 31,</w:t>
            </w:r>
          </w:p>
        </w:tc>
        <w:tc>
          <w:tcPr>
            <w:tcW w:w="0" w:type="dxa"/>
            <w:vAlign w:val="bottom"/>
          </w:tcPr>
          <w:p>
            <w:pPr>
              <w:spacing w:after="0"/>
              <w:rPr>
                <w:sz w:val="1"/>
                <w:szCs w:val="1"/>
                <w:color w:val="auto"/>
              </w:rPr>
            </w:pPr>
          </w:p>
        </w:tc>
      </w:tr>
      <w:tr>
        <w:trPr>
          <w:trHeight w:val="159"/>
        </w:trPr>
        <w:tc>
          <w:tcPr>
            <w:tcW w:w="82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8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300"/>
              <w:spacing w:after="0" w:line="159" w:lineRule="exact"/>
              <w:rPr>
                <w:sz w:val="20"/>
                <w:szCs w:val="20"/>
                <w:color w:val="auto"/>
              </w:rPr>
            </w:pPr>
            <w:r>
              <w:rPr>
                <w:rFonts w:ascii="Arial" w:cs="Arial" w:eastAsia="Arial" w:hAnsi="Arial"/>
                <w:sz w:val="14"/>
                <w:szCs w:val="14"/>
                <w:color w:val="auto"/>
              </w:rPr>
              <w:t>2014</w:t>
            </w:r>
          </w:p>
        </w:tc>
        <w:tc>
          <w:tcPr>
            <w:tcW w:w="9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15"/>
              <w:spacing w:after="0" w:line="159" w:lineRule="exact"/>
              <w:rPr>
                <w:sz w:val="20"/>
                <w:szCs w:val="20"/>
                <w:color w:val="auto"/>
              </w:rPr>
            </w:pPr>
            <w:r>
              <w:rPr>
                <w:rFonts w:ascii="Arial" w:cs="Arial" w:eastAsia="Arial" w:hAnsi="Arial"/>
                <w:sz w:val="14"/>
                <w:szCs w:val="14"/>
                <w:color w:val="auto"/>
                <w:w w:val="89"/>
              </w:rPr>
              <w:t>2013</w:t>
            </w:r>
          </w:p>
        </w:tc>
        <w:tc>
          <w:tcPr>
            <w:tcW w:w="0" w:type="dxa"/>
            <w:vAlign w:val="bottom"/>
          </w:tcPr>
          <w:p>
            <w:pPr>
              <w:spacing w:after="0"/>
              <w:rPr>
                <w:sz w:val="1"/>
                <w:szCs w:val="1"/>
                <w:color w:val="auto"/>
              </w:rPr>
            </w:pPr>
          </w:p>
        </w:tc>
      </w:tr>
      <w:tr>
        <w:trPr>
          <w:trHeight w:val="210"/>
        </w:trPr>
        <w:tc>
          <w:tcPr>
            <w:tcW w:w="8280" w:type="dxa"/>
            <w:vAlign w:val="bottom"/>
            <w:shd w:val="clear" w:color="auto" w:fill="E5E5E5"/>
          </w:tcPr>
          <w:p>
            <w:pPr>
              <w:spacing w:after="0"/>
              <w:rPr>
                <w:sz w:val="20"/>
                <w:szCs w:val="20"/>
                <w:color w:val="auto"/>
              </w:rPr>
            </w:pPr>
            <w:r>
              <w:rPr>
                <w:rFonts w:ascii="Arial" w:cs="Arial" w:eastAsia="Arial" w:hAnsi="Arial"/>
                <w:sz w:val="18"/>
                <w:szCs w:val="18"/>
                <w:color w:val="auto"/>
              </w:rPr>
              <w:t>Receivables, gross</w:t>
            </w:r>
          </w:p>
        </w:tc>
        <w:tc>
          <w:tcPr>
            <w:tcW w:w="820" w:type="dxa"/>
            <w:vAlign w:val="bottom"/>
            <w:shd w:val="clear" w:color="auto" w:fill="E5E5E5"/>
          </w:tcPr>
          <w:p>
            <w:pPr>
              <w:ind w:left="6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5,134</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5,348</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Less: Allowance for returns and customer incentives</w:t>
            </w:r>
          </w:p>
        </w:tc>
        <w:tc>
          <w:tcPr>
            <w:tcW w:w="8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281</w:t>
            </w:r>
          </w:p>
        </w:tc>
        <w:tc>
          <w:tcPr>
            <w:tcW w:w="90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8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Allowance for doubtful accounts</w:t>
            </w:r>
          </w:p>
        </w:tc>
        <w:tc>
          <w:tcPr>
            <w:tcW w:w="8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69</w:t>
            </w:r>
          </w:p>
        </w:tc>
        <w:tc>
          <w:tcPr>
            <w:tcW w:w="9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7"/>
        </w:trPr>
        <w:tc>
          <w:tcPr>
            <w:tcW w:w="8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Receivables, net</w:t>
            </w:r>
          </w:p>
        </w:tc>
        <w:tc>
          <w:tcPr>
            <w:tcW w:w="82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4,784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4,911</w:t>
            </w:r>
          </w:p>
        </w:tc>
        <w:tc>
          <w:tcPr>
            <w:tcW w:w="0" w:type="dxa"/>
            <w:vAlign w:val="bottom"/>
          </w:tcPr>
          <w:p>
            <w:pPr>
              <w:spacing w:after="0"/>
              <w:rPr>
                <w:sz w:val="1"/>
                <w:szCs w:val="1"/>
                <w:color w:val="auto"/>
              </w:rPr>
            </w:pPr>
          </w:p>
        </w:tc>
      </w:tr>
      <w:tr>
        <w:trPr>
          <w:trHeight w:val="403"/>
        </w:trPr>
        <w:tc>
          <w:tcPr>
            <w:tcW w:w="8280" w:type="dxa"/>
            <w:vAlign w:val="bottom"/>
          </w:tcPr>
          <w:p>
            <w:pPr>
              <w:ind w:left="3600"/>
              <w:spacing w:after="0"/>
              <w:rPr>
                <w:sz w:val="20"/>
                <w:szCs w:val="20"/>
                <w:color w:val="auto"/>
              </w:rPr>
            </w:pPr>
            <w:r>
              <w:rPr>
                <w:rFonts w:ascii="Arial" w:cs="Arial" w:eastAsia="Arial" w:hAnsi="Arial"/>
                <w:sz w:val="18"/>
                <w:szCs w:val="18"/>
                <w:b w:val="1"/>
                <w:bCs w:val="1"/>
                <w:color w:val="auto"/>
              </w:rPr>
              <w:t>Accumulated Other Comprehensive Income (Loss)</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80" w:type="dxa"/>
            <w:vAlign w:val="bottom"/>
          </w:tcPr>
          <w:p>
            <w:pPr>
              <w:spacing w:after="0"/>
              <w:rPr>
                <w:sz w:val="22"/>
                <w:szCs w:val="22"/>
                <w:color w:val="auto"/>
              </w:rPr>
            </w:pPr>
          </w:p>
        </w:tc>
        <w:tc>
          <w:tcPr>
            <w:tcW w:w="1480" w:type="dxa"/>
            <w:vAlign w:val="bottom"/>
            <w:gridSpan w:val="3"/>
          </w:tcPr>
          <w:p>
            <w:pPr>
              <w:ind w:left="460"/>
              <w:spacing w:after="0"/>
              <w:rPr>
                <w:sz w:val="20"/>
                <w:szCs w:val="20"/>
                <w:color w:val="auto"/>
              </w:rPr>
            </w:pPr>
            <w:r>
              <w:rPr>
                <w:rFonts w:ascii="Arial" w:cs="Arial" w:eastAsia="Arial" w:hAnsi="Arial"/>
                <w:sz w:val="14"/>
                <w:szCs w:val="14"/>
                <w:color w:val="auto"/>
              </w:rPr>
              <w:t>September 30,</w:t>
            </w:r>
          </w:p>
        </w:tc>
        <w:tc>
          <w:tcPr>
            <w:tcW w:w="1660" w:type="dxa"/>
            <w:vAlign w:val="bottom"/>
            <w:gridSpan w:val="2"/>
          </w:tcPr>
          <w:p>
            <w:pPr>
              <w:jc w:val="center"/>
              <w:ind w:left="597"/>
              <w:spacing w:after="0"/>
              <w:rPr>
                <w:sz w:val="20"/>
                <w:szCs w:val="20"/>
                <w:color w:val="auto"/>
              </w:rPr>
            </w:pPr>
            <w:r>
              <w:rPr>
                <w:rFonts w:ascii="Arial" w:cs="Arial" w:eastAsia="Arial" w:hAnsi="Arial"/>
                <w:sz w:val="14"/>
                <w:szCs w:val="14"/>
                <w:color w:val="auto"/>
                <w:w w:val="84"/>
              </w:rPr>
              <w:t>September 30,</w:t>
            </w:r>
          </w:p>
        </w:tc>
        <w:tc>
          <w:tcPr>
            <w:tcW w:w="0" w:type="dxa"/>
            <w:vAlign w:val="bottom"/>
          </w:tcPr>
          <w:p>
            <w:pPr>
              <w:spacing w:after="0"/>
              <w:rPr>
                <w:sz w:val="1"/>
                <w:szCs w:val="1"/>
                <w:color w:val="auto"/>
              </w:rPr>
            </w:pPr>
          </w:p>
        </w:tc>
      </w:tr>
      <w:tr>
        <w:trPr>
          <w:trHeight w:val="159"/>
        </w:trPr>
        <w:tc>
          <w:tcPr>
            <w:tcW w:w="82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080" w:type="dxa"/>
            <w:vAlign w:val="bottom"/>
            <w:tcBorders>
              <w:bottom w:val="single" w:sz="8" w:color="auto"/>
            </w:tcBorders>
            <w:gridSpan w:val="2"/>
          </w:tcPr>
          <w:p>
            <w:pPr>
              <w:ind w:left="700"/>
              <w:spacing w:after="0" w:line="159" w:lineRule="exact"/>
              <w:rPr>
                <w:sz w:val="20"/>
                <w:szCs w:val="20"/>
                <w:color w:val="auto"/>
              </w:rPr>
            </w:pPr>
            <w:r>
              <w:rPr>
                <w:rFonts w:ascii="Arial" w:cs="Arial" w:eastAsia="Arial" w:hAnsi="Arial"/>
                <w:sz w:val="14"/>
                <w:szCs w:val="14"/>
                <w:color w:val="auto"/>
              </w:rPr>
              <w:t>2014</w:t>
            </w: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55"/>
              <w:spacing w:after="0" w:line="159" w:lineRule="exact"/>
              <w:rPr>
                <w:sz w:val="20"/>
                <w:szCs w:val="20"/>
                <w:color w:val="auto"/>
              </w:rPr>
            </w:pPr>
            <w:r>
              <w:rPr>
                <w:rFonts w:ascii="Arial" w:cs="Arial" w:eastAsia="Arial" w:hAnsi="Arial"/>
                <w:sz w:val="14"/>
                <w:szCs w:val="14"/>
                <w:color w:val="auto"/>
                <w:w w:val="89"/>
              </w:rPr>
              <w:t>2013</w:t>
            </w:r>
          </w:p>
        </w:tc>
        <w:tc>
          <w:tcPr>
            <w:tcW w:w="0" w:type="dxa"/>
            <w:vAlign w:val="bottom"/>
          </w:tcPr>
          <w:p>
            <w:pPr>
              <w:spacing w:after="0"/>
              <w:rPr>
                <w:sz w:val="1"/>
                <w:szCs w:val="1"/>
                <w:color w:val="auto"/>
              </w:rPr>
            </w:pPr>
          </w:p>
        </w:tc>
      </w:tr>
      <w:tr>
        <w:trPr>
          <w:trHeight w:val="210"/>
        </w:trPr>
        <w:tc>
          <w:tcPr>
            <w:tcW w:w="8280" w:type="dxa"/>
            <w:vAlign w:val="bottom"/>
            <w:shd w:val="clear" w:color="auto" w:fill="E5E5E5"/>
          </w:tcPr>
          <w:p>
            <w:pPr>
              <w:spacing w:after="0"/>
              <w:rPr>
                <w:sz w:val="20"/>
                <w:szCs w:val="20"/>
                <w:color w:val="auto"/>
              </w:rPr>
            </w:pPr>
            <w:r>
              <w:rPr>
                <w:rFonts w:ascii="Arial" w:cs="Arial" w:eastAsia="Arial" w:hAnsi="Arial"/>
                <w:sz w:val="18"/>
                <w:szCs w:val="18"/>
                <w:color w:val="auto"/>
              </w:rPr>
              <w:t>Unrealized gains (losses) on marketable securities</w:t>
            </w:r>
          </w:p>
        </w:tc>
        <w:tc>
          <w:tcPr>
            <w:tcW w:w="820" w:type="dxa"/>
            <w:vAlign w:val="bottom"/>
            <w:shd w:val="clear" w:color="auto" w:fill="E5E5E5"/>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color w:val="auto"/>
              </w:rPr>
              <w:t>3</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Deferred gains (losses) on cash flow hedges</w:t>
            </w:r>
          </w:p>
        </w:tc>
        <w:tc>
          <w:tcPr>
            <w:tcW w:w="8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280" w:type="dxa"/>
            <w:vAlign w:val="bottom"/>
            <w:shd w:val="clear" w:color="auto" w:fill="E5E5E5"/>
          </w:tcPr>
          <w:p>
            <w:pPr>
              <w:spacing w:after="0"/>
              <w:rPr>
                <w:sz w:val="20"/>
                <w:szCs w:val="20"/>
                <w:color w:val="auto"/>
              </w:rPr>
            </w:pPr>
            <w:r>
              <w:rPr>
                <w:rFonts w:ascii="Arial" w:cs="Arial" w:eastAsia="Arial" w:hAnsi="Arial"/>
                <w:sz w:val="18"/>
                <w:szCs w:val="18"/>
                <w:color w:val="auto"/>
              </w:rPr>
              <w:t>Unrecognized gains (losses) on employee benefit obligations</w:t>
            </w:r>
          </w:p>
        </w:tc>
        <w:tc>
          <w:tcPr>
            <w:tcW w:w="820" w:type="dxa"/>
            <w:vAlign w:val="bottom"/>
            <w:shd w:val="clear" w:color="auto" w:fill="E5E5E5"/>
          </w:tcPr>
          <w:p>
            <w:pPr>
              <w:spacing w:after="0"/>
              <w:rPr>
                <w:sz w:val="18"/>
                <w:szCs w:val="18"/>
                <w:color w:val="auto"/>
              </w:rPr>
            </w:pPr>
          </w:p>
        </w:tc>
        <w:tc>
          <w:tcPr>
            <w:tcW w:w="66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color w:val="auto"/>
              </w:rPr>
              <w:t>45</w:t>
            </w:r>
          </w:p>
        </w:tc>
        <w:tc>
          <w:tcPr>
            <w:tcW w:w="90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8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translation adjustments</w:t>
            </w:r>
          </w:p>
        </w:tc>
        <w:tc>
          <w:tcPr>
            <w:tcW w:w="8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(64)</w:t>
            </w:r>
          </w:p>
        </w:tc>
        <w:tc>
          <w:tcPr>
            <w:tcW w:w="9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7"/>
        </w:trPr>
        <w:tc>
          <w:tcPr>
            <w:tcW w:w="8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820" w:type="dxa"/>
            <w:vAlign w:val="bottom"/>
            <w:tcBorders>
              <w:bottom w:val="single" w:sz="8" w:color="auto"/>
            </w:tcBorders>
            <w:shd w:val="clear" w:color="auto" w:fill="E5E5E5"/>
          </w:tcPr>
          <w:p>
            <w:pPr>
              <w:ind w:left="46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gridSpan w:val="2"/>
            <w:shd w:val="clear" w:color="auto" w:fill="E5E5E5"/>
          </w:tcPr>
          <w:p>
            <w:pPr>
              <w:jc w:val="right"/>
              <w:ind w:right="180"/>
              <w:spacing w:after="0"/>
              <w:rPr>
                <w:sz w:val="20"/>
                <w:szCs w:val="20"/>
                <w:color w:val="auto"/>
              </w:rPr>
            </w:pPr>
            <w:r>
              <w:rPr>
                <w:rFonts w:ascii="Arial" w:cs="Arial" w:eastAsia="Arial" w:hAnsi="Arial"/>
                <w:sz w:val="18"/>
                <w:szCs w:val="18"/>
                <w:b w:val="1"/>
                <w:bCs w:val="1"/>
                <w:color w:val="auto"/>
              </w:rPr>
              <w:t>(12)</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(103)</w:t>
            </w:r>
          </w:p>
        </w:tc>
        <w:tc>
          <w:tcPr>
            <w:tcW w:w="0" w:type="dxa"/>
            <w:vAlign w:val="bottom"/>
          </w:tcPr>
          <w:p>
            <w:pPr>
              <w:spacing w:after="0"/>
              <w:rPr>
                <w:sz w:val="1"/>
                <w:szCs w:val="1"/>
                <w:color w:val="auto"/>
              </w:rPr>
            </w:pPr>
          </w:p>
        </w:tc>
      </w:tr>
      <w:tr>
        <w:trPr>
          <w:trHeight w:val="403"/>
        </w:trPr>
        <w:tc>
          <w:tcPr>
            <w:tcW w:w="8280" w:type="dxa"/>
            <w:vAlign w:val="bottom"/>
          </w:tcPr>
          <w:p>
            <w:pPr>
              <w:ind w:left="3960"/>
              <w:spacing w:after="0"/>
              <w:rPr>
                <w:sz w:val="20"/>
                <w:szCs w:val="20"/>
                <w:color w:val="auto"/>
              </w:rPr>
            </w:pPr>
            <w:r>
              <w:rPr>
                <w:rFonts w:ascii="Arial" w:cs="Arial" w:eastAsia="Arial" w:hAnsi="Arial"/>
                <w:sz w:val="18"/>
                <w:szCs w:val="18"/>
                <w:b w:val="1"/>
                <w:bCs w:val="1"/>
                <w:color w:val="auto"/>
              </w:rPr>
              <w:t>Net Cash Provided by Operating Activities</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60" w:type="dxa"/>
            <w:vAlign w:val="bottom"/>
            <w:gridSpan w:val="2"/>
          </w:tcPr>
          <w:p>
            <w:pPr>
              <w:jc w:val="right"/>
              <w:ind w:right="295"/>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82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right"/>
              <w:ind w:right="455"/>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828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7"/>
              <w:spacing w:after="0" w:line="142" w:lineRule="exact"/>
              <w:rPr>
                <w:sz w:val="20"/>
                <w:szCs w:val="20"/>
                <w:color w:val="auto"/>
              </w:rPr>
            </w:pPr>
            <w:r>
              <w:rPr>
                <w:rFonts w:ascii="Arial" w:cs="Arial" w:eastAsia="Arial" w:hAnsi="Arial"/>
                <w:sz w:val="14"/>
                <w:szCs w:val="14"/>
                <w:color w:val="auto"/>
              </w:rPr>
              <w:t>2014</w:t>
            </w:r>
          </w:p>
        </w:tc>
        <w:tc>
          <w:tcPr>
            <w:tcW w:w="760" w:type="dxa"/>
            <w:vAlign w:val="bottom"/>
            <w:tcBorders>
              <w:bottom w:val="single" w:sz="8" w:color="auto"/>
            </w:tcBorders>
          </w:tcPr>
          <w:p>
            <w:pPr>
              <w:jc w:val="center"/>
              <w:ind w:right="135"/>
              <w:spacing w:after="0" w:line="142" w:lineRule="exact"/>
              <w:rPr>
                <w:sz w:val="20"/>
                <w:szCs w:val="20"/>
                <w:color w:val="auto"/>
              </w:rPr>
            </w:pPr>
            <w:r>
              <w:rPr>
                <w:rFonts w:ascii="Arial" w:cs="Arial" w:eastAsia="Arial" w:hAnsi="Arial"/>
                <w:sz w:val="14"/>
                <w:szCs w:val="14"/>
                <w:color w:val="auto"/>
                <w:w w:val="83"/>
              </w:rPr>
              <w:t>2013</w:t>
            </w:r>
          </w:p>
        </w:tc>
        <w:tc>
          <w:tcPr>
            <w:tcW w:w="0" w:type="dxa"/>
            <w:vAlign w:val="bottom"/>
          </w:tcPr>
          <w:p>
            <w:pPr>
              <w:spacing w:after="0"/>
              <w:rPr>
                <w:sz w:val="1"/>
                <w:szCs w:val="1"/>
                <w:color w:val="auto"/>
              </w:rPr>
            </w:pPr>
          </w:p>
        </w:tc>
      </w:tr>
      <w:tr>
        <w:trPr>
          <w:trHeight w:val="210"/>
        </w:trPr>
        <w:tc>
          <w:tcPr>
            <w:tcW w:w="828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w w:val="93"/>
              </w:rPr>
              <w:t>$ 2,416</w:t>
            </w:r>
          </w:p>
        </w:tc>
        <w:tc>
          <w:tcPr>
            <w:tcW w:w="7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w w:val="86"/>
              </w:rPr>
              <w:t>$ 1,319</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Depreciation and amortization</w:t>
            </w:r>
          </w:p>
        </w:tc>
        <w:tc>
          <w:tcPr>
            <w:tcW w:w="8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rPr>
              <w:t>1,106</w:t>
            </w:r>
          </w:p>
        </w:tc>
        <w:tc>
          <w:tcPr>
            <w:tcW w:w="7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6"/>
        </w:trPr>
        <w:tc>
          <w:tcPr>
            <w:tcW w:w="8280" w:type="dxa"/>
            <w:vAlign w:val="bottom"/>
          </w:tcPr>
          <w:p>
            <w:pPr>
              <w:ind w:left="440"/>
              <w:spacing w:after="0"/>
              <w:rPr>
                <w:sz w:val="20"/>
                <w:szCs w:val="20"/>
                <w:color w:val="auto"/>
              </w:rPr>
            </w:pPr>
            <w:r>
              <w:rPr>
                <w:rFonts w:ascii="Arial" w:cs="Arial" w:eastAsia="Arial" w:hAnsi="Arial"/>
                <w:sz w:val="18"/>
                <w:szCs w:val="18"/>
                <w:color w:val="auto"/>
              </w:rPr>
              <w:t>Share-based compensation</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237"/>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5"/>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2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Equity in net (income) losses of investees, net</w:t>
            </w:r>
          </w:p>
        </w:tc>
        <w:tc>
          <w:tcPr>
            <w:tcW w:w="8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(49)</w:t>
            </w:r>
          </w:p>
        </w:tc>
        <w:tc>
          <w:tcPr>
            <w:tcW w:w="7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8280" w:type="dxa"/>
            <w:vAlign w:val="bottom"/>
          </w:tcPr>
          <w:p>
            <w:pPr>
              <w:ind w:left="440"/>
              <w:spacing w:after="0"/>
              <w:rPr>
                <w:sz w:val="20"/>
                <w:szCs w:val="20"/>
                <w:color w:val="auto"/>
              </w:rPr>
            </w:pPr>
            <w:r>
              <w:rPr>
                <w:rFonts w:ascii="Arial" w:cs="Arial" w:eastAsia="Arial" w:hAnsi="Arial"/>
                <w:sz w:val="18"/>
                <w:szCs w:val="18"/>
                <w:color w:val="auto"/>
              </w:rPr>
              <w:t>Cash received from investees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237"/>
              <w:spacing w:after="0"/>
              <w:rPr>
                <w:sz w:val="20"/>
                <w:szCs w:val="20"/>
                <w:color w:val="auto"/>
              </w:rPr>
            </w:pPr>
            <w:r>
              <w:rPr>
                <w:rFonts w:ascii="Arial" w:cs="Arial" w:eastAsia="Arial" w:hAnsi="Arial"/>
                <w:sz w:val="18"/>
                <w:szCs w:val="18"/>
                <w:color w:val="auto"/>
              </w:rPr>
              <w:t>50</w:t>
            </w:r>
          </w:p>
        </w:tc>
        <w:tc>
          <w:tcPr>
            <w:tcW w:w="760" w:type="dxa"/>
            <w:vAlign w:val="bottom"/>
          </w:tcPr>
          <w:p>
            <w:pPr>
              <w:jc w:val="right"/>
              <w:ind w:right="135"/>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82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Net (gain) loss on investment activity and other</w:t>
            </w:r>
          </w:p>
        </w:tc>
        <w:tc>
          <w:tcPr>
            <w:tcW w:w="8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rPr>
              <w:t>83</w:t>
            </w:r>
          </w:p>
        </w:tc>
        <w:tc>
          <w:tcPr>
            <w:tcW w:w="7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828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237"/>
              <w:spacing w:after="0"/>
              <w:rPr>
                <w:sz w:val="20"/>
                <w:szCs w:val="20"/>
                <w:color w:val="auto"/>
              </w:rPr>
            </w:pPr>
            <w:r>
              <w:rPr>
                <w:rFonts w:ascii="Arial" w:cs="Arial" w:eastAsia="Arial" w:hAnsi="Arial"/>
                <w:sz w:val="18"/>
                <w:szCs w:val="18"/>
                <w:color w:val="auto"/>
              </w:rPr>
              <w:t>52</w:t>
            </w:r>
          </w:p>
        </w:tc>
        <w:tc>
          <w:tcPr>
            <w:tcW w:w="760" w:type="dxa"/>
            <w:vAlign w:val="bottom"/>
          </w:tcPr>
          <w:p>
            <w:pPr>
              <w:jc w:val="right"/>
              <w:ind w:right="75"/>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280" w:type="dxa"/>
            <w:vAlign w:val="bottom"/>
            <w:shd w:val="clear" w:color="auto" w:fill="E5E5E5"/>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8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440"/>
              <w:spacing w:after="0"/>
              <w:rPr>
                <w:sz w:val="20"/>
                <w:szCs w:val="20"/>
                <w:color w:val="auto"/>
              </w:rPr>
            </w:pPr>
            <w:r>
              <w:rPr>
                <w:rFonts w:ascii="Arial" w:cs="Arial" w:eastAsia="Arial" w:hAnsi="Arial"/>
                <w:sz w:val="18"/>
                <w:szCs w:val="18"/>
                <w:color w:val="auto"/>
              </w:rPr>
              <w:t>Current and noncurrent receivables, net</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237"/>
              <w:spacing w:after="0"/>
              <w:rPr>
                <w:sz w:val="20"/>
                <w:szCs w:val="20"/>
                <w:color w:val="auto"/>
              </w:rPr>
            </w:pPr>
            <w:r>
              <w:rPr>
                <w:rFonts w:ascii="Arial" w:cs="Arial" w:eastAsia="Arial" w:hAnsi="Arial"/>
                <w:sz w:val="18"/>
                <w:szCs w:val="18"/>
                <w:color w:val="auto"/>
              </w:rPr>
              <w:t>7</w:t>
            </w:r>
          </w:p>
        </w:tc>
        <w:tc>
          <w:tcPr>
            <w:tcW w:w="760" w:type="dxa"/>
            <w:vAlign w:val="bottom"/>
          </w:tcPr>
          <w:p>
            <w:pPr>
              <w:jc w:val="right"/>
              <w:ind w:right="135"/>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82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 and television costs, net</w:t>
            </w:r>
            <w:r>
              <w:rPr>
                <w:rFonts w:ascii="Arial" w:cs="Arial" w:eastAsia="Arial" w:hAnsi="Arial"/>
                <w:sz w:val="11"/>
                <w:szCs w:val="11"/>
                <w:color w:val="auto"/>
              </w:rPr>
              <w:t>(a)</w:t>
            </w:r>
          </w:p>
        </w:tc>
        <w:tc>
          <w:tcPr>
            <w:tcW w:w="8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(483)</w:t>
            </w:r>
          </w:p>
        </w:tc>
        <w:tc>
          <w:tcPr>
            <w:tcW w:w="7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8280" w:type="dxa"/>
            <w:vAlign w:val="bottom"/>
          </w:tcPr>
          <w:p>
            <w:pPr>
              <w:ind w:left="4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77"/>
              <w:spacing w:after="0"/>
              <w:rPr>
                <w:sz w:val="20"/>
                <w:szCs w:val="20"/>
                <w:color w:val="auto"/>
              </w:rPr>
            </w:pPr>
            <w:r>
              <w:rPr>
                <w:rFonts w:ascii="Arial" w:cs="Arial" w:eastAsia="Arial" w:hAnsi="Arial"/>
                <w:sz w:val="18"/>
                <w:szCs w:val="18"/>
                <w:color w:val="auto"/>
              </w:rPr>
              <w:t>(183)</w:t>
            </w:r>
          </w:p>
        </w:tc>
        <w:tc>
          <w:tcPr>
            <w:tcW w:w="760" w:type="dxa"/>
            <w:vAlign w:val="bottom"/>
          </w:tcPr>
          <w:p>
            <w:pPr>
              <w:jc w:val="right"/>
              <w:ind w:right="75"/>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828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 operating assets and liabilities</w:t>
            </w:r>
          </w:p>
        </w:tc>
        <w:tc>
          <w:tcPr>
            <w:tcW w:w="820" w:type="dxa"/>
            <w:vAlign w:val="bottom"/>
            <w:tcBorders>
              <w:bottom w:val="single" w:sz="8" w:color="auto"/>
            </w:tcBorders>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7"/>
              <w:spacing w:after="0"/>
              <w:rPr>
                <w:sz w:val="20"/>
                <w:szCs w:val="20"/>
                <w:color w:val="auto"/>
              </w:rPr>
            </w:pPr>
            <w:r>
              <w:rPr>
                <w:rFonts w:ascii="Arial" w:cs="Arial" w:eastAsia="Arial" w:hAnsi="Arial"/>
                <w:sz w:val="18"/>
                <w:szCs w:val="18"/>
                <w:color w:val="auto"/>
              </w:rPr>
              <w:t>157</w:t>
            </w:r>
          </w:p>
        </w:tc>
        <w:tc>
          <w:tcPr>
            <w:tcW w:w="7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7"/>
        </w:trPr>
        <w:tc>
          <w:tcPr>
            <w:tcW w:w="8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b w:val="1"/>
                <w:bCs w:val="1"/>
                <w:color w:val="auto"/>
                <w:w w:val="93"/>
              </w:rPr>
              <w:t>$ 3,156</w:t>
            </w:r>
          </w:p>
        </w:tc>
        <w:tc>
          <w:tcPr>
            <w:tcW w:w="7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w w:val="86"/>
              </w:rPr>
              <w:t>$ 3,734</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line="239"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Comprised of additions to our film and television cost assets of $7,188 million and $5,577 million, net of film and television cost amortization of $6,705 million and $5,945 million in 2014 and 2013, respectively.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60" w:type="dxa"/>
            <w:vAlign w:val="bottom"/>
            <w:gridSpan w:val="3"/>
          </w:tcPr>
          <w:p>
            <w:pPr>
              <w:jc w:val="right"/>
              <w:ind w:right="499"/>
              <w:spacing w:after="0"/>
              <w:rPr>
                <w:sz w:val="20"/>
                <w:szCs w:val="20"/>
                <w:color w:val="auto"/>
              </w:rPr>
            </w:pPr>
            <w:r>
              <w:rPr>
                <w:rFonts w:ascii="Arial" w:cs="Arial" w:eastAsia="Arial" w:hAnsi="Arial"/>
                <w:sz w:val="14"/>
                <w:szCs w:val="14"/>
                <w:color w:val="auto"/>
                <w:w w:val="96"/>
              </w:rPr>
              <w:t>Three Months Ended</w:t>
            </w:r>
          </w:p>
        </w:tc>
        <w:tc>
          <w:tcPr>
            <w:tcW w:w="400" w:type="dxa"/>
            <w:vAlign w:val="bottom"/>
          </w:tcPr>
          <w:p>
            <w:pPr>
              <w:spacing w:after="0"/>
              <w:rPr>
                <w:sz w:val="14"/>
                <w:szCs w:val="14"/>
                <w:color w:val="auto"/>
              </w:rPr>
            </w:pPr>
          </w:p>
        </w:tc>
        <w:tc>
          <w:tcPr>
            <w:tcW w:w="1660" w:type="dxa"/>
            <w:vAlign w:val="bottom"/>
            <w:gridSpan w:val="3"/>
          </w:tcPr>
          <w:p>
            <w:pPr>
              <w:ind w:left="18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68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ind w:left="360"/>
              <w:spacing w:after="0" w:line="159" w:lineRule="exact"/>
              <w:rPr>
                <w:sz w:val="20"/>
                <w:szCs w:val="20"/>
                <w:color w:val="auto"/>
              </w:rPr>
            </w:pPr>
            <w:r>
              <w:rPr>
                <w:rFonts w:ascii="Arial" w:cs="Arial" w:eastAsia="Arial" w:hAnsi="Arial"/>
                <w:sz w:val="14"/>
                <w:szCs w:val="14"/>
                <w:color w:val="auto"/>
                <w:w w:val="86"/>
              </w:rPr>
              <w:t>September 30</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8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64"/>
              <w:spacing w:after="0" w:line="142" w:lineRule="exact"/>
              <w:rPr>
                <w:sz w:val="20"/>
                <w:szCs w:val="20"/>
                <w:color w:val="auto"/>
              </w:rPr>
            </w:pPr>
            <w:r>
              <w:rPr>
                <w:rFonts w:ascii="Arial" w:cs="Arial" w:eastAsia="Arial" w:hAnsi="Arial"/>
                <w:sz w:val="14"/>
                <w:szCs w:val="14"/>
                <w:color w:val="auto"/>
                <w:w w:val="83"/>
              </w:rPr>
              <w:t>2014</w:t>
            </w: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4"/>
                <w:szCs w:val="14"/>
                <w:color w:val="auto"/>
                <w:w w:val="89"/>
              </w:rPr>
              <w:t>2013</w:t>
            </w: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2014</w:t>
            </w:r>
          </w:p>
        </w:tc>
        <w:tc>
          <w:tcPr>
            <w:tcW w:w="4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color w:val="auto"/>
                <w:w w:val="89"/>
              </w:rPr>
              <w:t>2013</w:t>
            </w:r>
          </w:p>
        </w:tc>
        <w:tc>
          <w:tcPr>
            <w:tcW w:w="0" w:type="dxa"/>
            <w:vAlign w:val="bottom"/>
          </w:tcPr>
          <w:p>
            <w:pPr>
              <w:spacing w:after="0"/>
              <w:rPr>
                <w:sz w:val="1"/>
                <w:szCs w:val="1"/>
                <w:color w:val="auto"/>
              </w:rPr>
            </w:pPr>
          </w:p>
        </w:tc>
      </w:tr>
      <w:tr>
        <w:trPr>
          <w:trHeight w:val="210"/>
        </w:trPr>
        <w:tc>
          <w:tcPr>
            <w:tcW w:w="6880" w:type="dxa"/>
            <w:vAlign w:val="bottom"/>
            <w:shd w:val="clear" w:color="auto" w:fill="E5E5E5"/>
          </w:tcPr>
          <w:p>
            <w:pPr>
              <w:spacing w:after="0"/>
              <w:rPr>
                <w:sz w:val="20"/>
                <w:szCs w:val="20"/>
                <w:color w:val="auto"/>
              </w:rPr>
            </w:pPr>
            <w:r>
              <w:rPr>
                <w:rFonts w:ascii="Arial" w:cs="Arial" w:eastAsia="Arial" w:hAnsi="Arial"/>
                <w:sz w:val="18"/>
                <w:szCs w:val="18"/>
                <w:color w:val="auto"/>
              </w:rPr>
              <w:t>Interest</w:t>
            </w: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24"/>
              <w:spacing w:after="0"/>
              <w:rPr>
                <w:sz w:val="20"/>
                <w:szCs w:val="20"/>
                <w:color w:val="auto"/>
              </w:rPr>
            </w:pPr>
            <w:r>
              <w:rPr>
                <w:rFonts w:ascii="Arial" w:cs="Arial" w:eastAsia="Arial" w:hAnsi="Arial"/>
                <w:sz w:val="18"/>
                <w:szCs w:val="18"/>
                <w:color w:val="auto"/>
              </w:rPr>
              <w:t>38</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219"/>
              <w:spacing w:after="0"/>
              <w:rPr>
                <w:sz w:val="20"/>
                <w:szCs w:val="20"/>
                <w:color w:val="auto"/>
              </w:rPr>
            </w:pPr>
            <w:r>
              <w:rPr>
                <w:rFonts w:ascii="Arial" w:cs="Arial" w:eastAsia="Arial" w:hAnsi="Arial"/>
                <w:sz w:val="18"/>
                <w:szCs w:val="18"/>
                <w:color w:val="auto"/>
              </w:rPr>
              <w:t>38</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ind w:left="160"/>
              <w:spacing w:after="0"/>
              <w:rPr>
                <w:sz w:val="20"/>
                <w:szCs w:val="20"/>
                <w:color w:val="auto"/>
              </w:rPr>
            </w:pPr>
            <w:r>
              <w:rPr>
                <w:rFonts w:ascii="Arial" w:cs="Arial" w:eastAsia="Arial" w:hAnsi="Arial"/>
                <w:sz w:val="18"/>
                <w:szCs w:val="18"/>
                <w:color w:val="auto"/>
              </w:rPr>
              <w:t>294</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24"/>
              <w:spacing w:after="0"/>
              <w:rPr>
                <w:sz w:val="20"/>
                <w:szCs w:val="20"/>
                <w:color w:val="auto"/>
              </w:rPr>
            </w:pPr>
            <w:r>
              <w:rPr>
                <w:rFonts w:ascii="Arial" w:cs="Arial" w:eastAsia="Arial" w:hAnsi="Arial"/>
                <w:sz w:val="18"/>
                <w:szCs w:val="18"/>
                <w:color w:val="auto"/>
              </w:rPr>
              <w:t>31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color w:val="auto"/>
              </w:rPr>
              <w:t>59</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141</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2014:</w:t>
      </w:r>
    </w:p>
    <w:p>
      <w:pPr>
        <w:spacing w:after="0" w:line="77" w:lineRule="exact"/>
        <w:rPr>
          <w:sz w:val="20"/>
          <w:szCs w:val="20"/>
          <w:color w:val="auto"/>
        </w:rPr>
      </w:pPr>
    </w:p>
    <w:p>
      <w:pPr>
        <w:ind w:left="800"/>
        <w:spacing w:after="0"/>
        <w:tabs>
          <w:tab w:leader="none" w:pos="1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we acquired $194 million of property and equipment and intangible assets that were accrued but unpaid</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Financial Data by Business Segment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four reportable business segments:</w:t>
      </w:r>
    </w:p>
    <w:p>
      <w:pPr>
        <w:spacing w:after="0" w:line="71" w:lineRule="exact"/>
        <w:rPr>
          <w:sz w:val="20"/>
          <w:szCs w:val="20"/>
          <w:color w:val="auto"/>
        </w:rPr>
      </w:pPr>
    </w:p>
    <w:p>
      <w:pPr>
        <w:ind w:left="1020" w:right="1260" w:hanging="215"/>
        <w:spacing w:after="0" w:line="275"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networks, our international cable</w:t>
      </w:r>
      <w:r>
        <w:rPr>
          <w:rFonts w:ascii="Arial" w:cs="Arial" w:eastAsia="Arial" w:hAnsi="Arial"/>
          <w:sz w:val="18"/>
          <w:szCs w:val="18"/>
          <w:b w:val="1"/>
          <w:bCs w:val="1"/>
          <w:color w:val="auto"/>
        </w:rPr>
        <w:t xml:space="preserve"> </w:t>
      </w:r>
      <w:r>
        <w:rPr>
          <w:rFonts w:ascii="Arial" w:cs="Arial" w:eastAsia="Arial" w:hAnsi="Arial"/>
          <w:sz w:val="18"/>
          <w:szCs w:val="18"/>
          <w:color w:val="auto"/>
        </w:rPr>
        <w:t>networks and our cable television production operations.</w:t>
      </w:r>
    </w:p>
    <w:p>
      <w:pPr>
        <w:spacing w:after="0" w:line="25" w:lineRule="exact"/>
        <w:rPr>
          <w:rFonts w:ascii="Arial" w:cs="Arial" w:eastAsia="Arial" w:hAnsi="Arial"/>
          <w:sz w:val="18"/>
          <w:szCs w:val="18"/>
          <w:color w:val="auto"/>
        </w:rPr>
      </w:pPr>
    </w:p>
    <w:p>
      <w:pPr>
        <w:ind w:left="1020" w:right="1260" w:hanging="215"/>
        <w:spacing w:after="0" w:line="275"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NBC and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and our broadcast television production operations.</w:t>
      </w:r>
    </w:p>
    <w:p>
      <w:pPr>
        <w:spacing w:after="0" w:line="25" w:lineRule="exact"/>
        <w:rPr>
          <w:rFonts w:ascii="Arial" w:cs="Arial" w:eastAsia="Arial" w:hAnsi="Arial"/>
          <w:sz w:val="18"/>
          <w:szCs w:val="18"/>
          <w:color w:val="auto"/>
        </w:rPr>
      </w:pPr>
    </w:p>
    <w:p>
      <w:pPr>
        <w:ind w:left="1020" w:right="1240" w:hanging="215"/>
        <w:spacing w:after="0" w:line="275"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studio operations of Universal Pictures, which produces, acquires, markets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distributes filmed entertainment worldwide.</w:t>
      </w:r>
    </w:p>
    <w:p>
      <w:pPr>
        <w:spacing w:after="0" w:line="25" w:lineRule="exact"/>
        <w:rPr>
          <w:rFonts w:ascii="Arial" w:cs="Arial" w:eastAsia="Arial" w:hAnsi="Arial"/>
          <w:sz w:val="18"/>
          <w:szCs w:val="18"/>
          <w:color w:val="auto"/>
        </w:rPr>
      </w:pPr>
    </w:p>
    <w:p>
      <w:pPr>
        <w:ind w:left="1020" w:hanging="21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and Hollywood.</w:t>
      </w:r>
    </w:p>
    <w:p>
      <w:pPr>
        <w:spacing w:after="0" w:line="13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evaluating the profitability of our operating segments, the components of net income (loss) below operating income (loss) before depreciation and amortization are not separately evaluated by our management. Our financial data by business segment is presented in the tables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5"/>
          </w:tcPr>
          <w:p>
            <w:pPr>
              <w:jc w:val="right"/>
              <w:ind w:right="675"/>
              <w:spacing w:after="0"/>
              <w:rPr>
                <w:sz w:val="20"/>
                <w:szCs w:val="20"/>
                <w:color w:val="auto"/>
              </w:rPr>
            </w:pPr>
            <w:r>
              <w:rPr>
                <w:rFonts w:ascii="Arial" w:cs="Arial" w:eastAsia="Arial" w:hAnsi="Arial"/>
                <w:sz w:val="14"/>
                <w:szCs w:val="14"/>
                <w:color w:val="auto"/>
              </w:rPr>
              <w:t>Three Months Ended September 30, 2014</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7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540" w:type="dxa"/>
            <w:vAlign w:val="bottom"/>
            <w:gridSpan w:val="2"/>
          </w:tcPr>
          <w:p>
            <w:pPr>
              <w:ind w:left="60"/>
              <w:spacing w:after="0" w:line="131" w:lineRule="exact"/>
              <w:rPr>
                <w:sz w:val="20"/>
                <w:szCs w:val="20"/>
                <w:color w:val="auto"/>
              </w:rPr>
            </w:pPr>
            <w:r>
              <w:rPr>
                <w:rFonts w:ascii="Arial" w:cs="Arial" w:eastAsia="Arial" w:hAnsi="Arial"/>
                <w:sz w:val="14"/>
                <w:szCs w:val="14"/>
                <w:color w:val="auto"/>
                <w:w w:val="94"/>
              </w:rPr>
              <w:t>Operating Income (Loss)</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7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color w:val="auto"/>
                <w:w w:val="97"/>
              </w:rPr>
              <w:t>Revenue</w:t>
            </w:r>
            <w:r>
              <w:rPr>
                <w:rFonts w:ascii="Arial" w:cs="Arial" w:eastAsia="Arial" w:hAnsi="Arial"/>
                <w:sz w:val="22"/>
                <w:szCs w:val="22"/>
                <w:color w:val="auto"/>
                <w:w w:val="97"/>
                <w:vertAlign w:val="superscript"/>
              </w:rPr>
              <w:t>(d)</w:t>
            </w:r>
          </w:p>
        </w:tc>
        <w:tc>
          <w:tcPr>
            <w:tcW w:w="1540" w:type="dxa"/>
            <w:vAlign w:val="bottom"/>
            <w:gridSpan w:val="2"/>
          </w:tcPr>
          <w:p>
            <w:pPr>
              <w:ind w:left="80"/>
              <w:spacing w:after="0" w:line="133" w:lineRule="exact"/>
              <w:rPr>
                <w:sz w:val="20"/>
                <w:szCs w:val="20"/>
                <w:color w:val="auto"/>
              </w:rPr>
            </w:pPr>
            <w:r>
              <w:rPr>
                <w:rFonts w:ascii="Arial" w:cs="Arial" w:eastAsia="Arial" w:hAnsi="Arial"/>
                <w:sz w:val="14"/>
                <w:szCs w:val="14"/>
                <w:color w:val="auto"/>
                <w:w w:val="95"/>
              </w:rPr>
              <w:t>Before Depreciation and</w:t>
            </w:r>
          </w:p>
        </w:tc>
        <w:tc>
          <w:tcPr>
            <w:tcW w:w="1100" w:type="dxa"/>
            <w:vAlign w:val="bottom"/>
            <w:gridSpan w:val="2"/>
          </w:tcPr>
          <w:p>
            <w:pPr>
              <w:ind w:left="80"/>
              <w:spacing w:after="0" w:line="133" w:lineRule="exact"/>
              <w:rPr>
                <w:sz w:val="20"/>
                <w:szCs w:val="20"/>
                <w:color w:val="auto"/>
              </w:rPr>
            </w:pPr>
            <w:r>
              <w:rPr>
                <w:rFonts w:ascii="Arial" w:cs="Arial" w:eastAsia="Arial" w:hAnsi="Arial"/>
                <w:sz w:val="14"/>
                <w:szCs w:val="14"/>
                <w:color w:val="auto"/>
                <w:w w:val="94"/>
              </w:rPr>
              <w:t>Depreciation and</w:t>
            </w:r>
          </w:p>
        </w:tc>
        <w:tc>
          <w:tcPr>
            <w:tcW w:w="1200" w:type="dxa"/>
            <w:vAlign w:val="bottom"/>
            <w:gridSpan w:val="2"/>
          </w:tcPr>
          <w:p>
            <w:pPr>
              <w:ind w:left="100"/>
              <w:spacing w:after="0" w:line="133" w:lineRule="exact"/>
              <w:rPr>
                <w:sz w:val="20"/>
                <w:szCs w:val="20"/>
                <w:color w:val="auto"/>
              </w:rPr>
            </w:pPr>
            <w:r>
              <w:rPr>
                <w:rFonts w:ascii="Arial" w:cs="Arial" w:eastAsia="Arial" w:hAnsi="Arial"/>
                <w:sz w:val="14"/>
                <w:szCs w:val="14"/>
                <w:color w:val="auto"/>
                <w:w w:val="97"/>
              </w:rPr>
              <w:t>Operating Income</w:t>
            </w:r>
          </w:p>
        </w:tc>
        <w:tc>
          <w:tcPr>
            <w:tcW w:w="200" w:type="dxa"/>
            <w:vAlign w:val="bottom"/>
          </w:tcPr>
          <w:p>
            <w:pPr>
              <w:spacing w:after="0"/>
              <w:rPr>
                <w:sz w:val="11"/>
                <w:szCs w:val="11"/>
                <w:color w:val="auto"/>
              </w:rPr>
            </w:pPr>
          </w:p>
        </w:tc>
        <w:tc>
          <w:tcPr>
            <w:tcW w:w="680" w:type="dxa"/>
            <w:vAlign w:val="bottom"/>
          </w:tcPr>
          <w:p>
            <w:pPr>
              <w:jc w:val="right"/>
              <w:ind w:right="175"/>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97"/>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(e)</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w w:val="89"/>
              </w:rPr>
              <w:t>Amortization</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(Loss)</w:t>
            </w: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72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(a)</w:t>
            </w:r>
          </w:p>
        </w:tc>
        <w:tc>
          <w:tcPr>
            <w:tcW w:w="2400" w:type="dxa"/>
            <w:vAlign w:val="bottom"/>
            <w:gridSpan w:val="2"/>
            <w:shd w:val="clear" w:color="auto" w:fill="E5E5E5"/>
          </w:tcPr>
          <w:p>
            <w:pPr>
              <w:ind w:left="2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97"/>
              </w:rPr>
              <w:t>2,255</w:t>
            </w:r>
          </w:p>
        </w:tc>
        <w:tc>
          <w:tcPr>
            <w:tcW w:w="24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868</w:t>
            </w:r>
          </w:p>
        </w:tc>
        <w:tc>
          <w:tcPr>
            <w:tcW w:w="180" w:type="dxa"/>
            <w:vAlign w:val="bottom"/>
            <w:shd w:val="clear" w:color="auto" w:fill="E5E5E5"/>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189</w:t>
            </w:r>
          </w:p>
        </w:tc>
        <w:tc>
          <w:tcPr>
            <w:tcW w:w="30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679</w:t>
            </w:r>
          </w:p>
        </w:tc>
        <w:tc>
          <w:tcPr>
            <w:tcW w:w="20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Broadcast Television</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1,770</w:t>
            </w:r>
          </w:p>
        </w:tc>
        <w:tc>
          <w:tcPr>
            <w:tcW w:w="240" w:type="dxa"/>
            <w:vAlign w:val="bottom"/>
          </w:tcPr>
          <w:p>
            <w:pPr>
              <w:spacing w:after="0"/>
              <w:rPr>
                <w:sz w:val="18"/>
                <w:szCs w:val="18"/>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72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r>
              <w:rPr>
                <w:rFonts w:ascii="Arial" w:cs="Arial" w:eastAsia="Arial" w:hAnsi="Arial"/>
                <w:sz w:val="11"/>
                <w:szCs w:val="11"/>
                <w:color w:val="auto"/>
              </w:rPr>
              <w:t>(a)</w:t>
            </w:r>
          </w:p>
        </w:tc>
        <w:tc>
          <w:tcPr>
            <w:tcW w:w="21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97"/>
              </w:rPr>
              <w:t>1,186</w:t>
            </w:r>
          </w:p>
        </w:tc>
        <w:tc>
          <w:tcPr>
            <w:tcW w:w="240" w:type="dxa"/>
            <w:vAlign w:val="bottom"/>
            <w:shd w:val="clear" w:color="auto" w:fill="E5E5E5"/>
          </w:tcPr>
          <w:p>
            <w:pPr>
              <w:spacing w:after="0"/>
              <w:rPr>
                <w:sz w:val="18"/>
                <w:szCs w:val="18"/>
                <w:color w:val="auto"/>
              </w:rPr>
            </w:pPr>
          </w:p>
        </w:tc>
        <w:tc>
          <w:tcPr>
            <w:tcW w:w="130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6</w:t>
            </w:r>
          </w:p>
        </w:tc>
        <w:tc>
          <w:tcPr>
            <w:tcW w:w="3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Theme Parks</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786</w:t>
            </w:r>
          </w:p>
        </w:tc>
        <w:tc>
          <w:tcPr>
            <w:tcW w:w="240" w:type="dxa"/>
            <w:vAlign w:val="bottom"/>
          </w:tcPr>
          <w:p>
            <w:pPr>
              <w:spacing w:after="0"/>
              <w:rPr>
                <w:sz w:val="18"/>
                <w:szCs w:val="18"/>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402</w:t>
            </w:r>
          </w:p>
        </w:tc>
        <w:tc>
          <w:tcPr>
            <w:tcW w:w="18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372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(b)</w:t>
            </w:r>
          </w:p>
        </w:tc>
        <w:tc>
          <w:tcPr>
            <w:tcW w:w="21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4</w:t>
            </w:r>
          </w:p>
        </w:tc>
        <w:tc>
          <w:tcPr>
            <w:tcW w:w="240" w:type="dxa"/>
            <w:vAlign w:val="bottom"/>
            <w:shd w:val="clear" w:color="auto" w:fill="E5E5E5"/>
          </w:tcPr>
          <w:p>
            <w:pPr>
              <w:spacing w:after="0"/>
              <w:rPr>
                <w:sz w:val="18"/>
                <w:szCs w:val="18"/>
                <w:color w:val="auto"/>
              </w:rPr>
            </w:pP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84</w:t>
            </w:r>
          </w:p>
        </w:tc>
        <w:tc>
          <w:tcPr>
            <w:tcW w:w="300" w:type="dxa"/>
            <w:vAlign w:val="bottom"/>
            <w:shd w:val="clear" w:color="auto" w:fill="E5E5E5"/>
          </w:tcPr>
          <w:p>
            <w:pPr>
              <w:spacing w:after="0"/>
              <w:rPr>
                <w:sz w:val="18"/>
                <w:szCs w:val="18"/>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(226)</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2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7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2400" w:type="dxa"/>
            <w:vAlign w:val="bottom"/>
            <w:tcBorders>
              <w:bottom w:val="single" w:sz="8" w:color="auto"/>
            </w:tcBorders>
            <w:gridSpan w:val="2"/>
            <w:shd w:val="clear" w:color="auto" w:fill="E5E5E5"/>
          </w:tcPr>
          <w:p>
            <w:pPr>
              <w:ind w:left="224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w w:val="97"/>
              </w:rPr>
              <w:t>5,921</w:t>
            </w:r>
          </w:p>
        </w:tc>
        <w:tc>
          <w:tcPr>
            <w:tcW w:w="24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E5E5E5"/>
          </w:tcPr>
          <w:p>
            <w:pPr>
              <w:jc w:val="right"/>
              <w:ind w:right="37"/>
              <w:spacing w:after="0"/>
              <w:rPr>
                <w:sz w:val="20"/>
                <w:szCs w:val="20"/>
                <w:color w:val="auto"/>
              </w:rPr>
            </w:pPr>
            <w:r>
              <w:rPr>
                <w:rFonts w:ascii="Arial" w:cs="Arial" w:eastAsia="Arial" w:hAnsi="Arial"/>
                <w:sz w:val="18"/>
                <w:szCs w:val="18"/>
                <w:b w:val="1"/>
                <w:bCs w:val="1"/>
                <w:color w:val="auto"/>
              </w:rPr>
              <w:t>1,416</w:t>
            </w:r>
          </w:p>
        </w:tc>
        <w:tc>
          <w:tcPr>
            <w:tcW w:w="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371</w:t>
            </w:r>
          </w:p>
        </w:tc>
        <w:tc>
          <w:tcPr>
            <w:tcW w:w="30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8"/>
                <w:szCs w:val="18"/>
                <w:b w:val="1"/>
                <w:bCs w:val="1"/>
                <w:color w:val="auto"/>
              </w:rPr>
              <w:t>1,045</w:t>
            </w:r>
          </w:p>
        </w:tc>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295</w:t>
            </w:r>
          </w:p>
        </w:tc>
        <w:tc>
          <w:tcPr>
            <w:tcW w:w="0" w:type="dxa"/>
            <w:vAlign w:val="bottom"/>
          </w:tcPr>
          <w:p>
            <w:pPr>
              <w:spacing w:after="0"/>
              <w:rPr>
                <w:sz w:val="1"/>
                <w:szCs w:val="1"/>
                <w:color w:val="auto"/>
              </w:rPr>
            </w:pPr>
          </w:p>
        </w:tc>
      </w:tr>
      <w:tr>
        <w:trPr>
          <w:trHeight w:val="284"/>
        </w:trPr>
        <w:tc>
          <w:tcPr>
            <w:tcW w:w="37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5"/>
          </w:tcPr>
          <w:p>
            <w:pPr>
              <w:jc w:val="right"/>
              <w:ind w:right="675"/>
              <w:spacing w:after="0"/>
              <w:rPr>
                <w:sz w:val="20"/>
                <w:szCs w:val="20"/>
                <w:color w:val="auto"/>
              </w:rPr>
            </w:pPr>
            <w:r>
              <w:rPr>
                <w:rFonts w:ascii="Arial" w:cs="Arial" w:eastAsia="Arial" w:hAnsi="Arial"/>
                <w:sz w:val="14"/>
                <w:szCs w:val="14"/>
                <w:color w:val="auto"/>
              </w:rPr>
              <w:t>Three Months Ended September 30, 2013</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7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540" w:type="dxa"/>
            <w:vAlign w:val="bottom"/>
            <w:gridSpan w:val="2"/>
          </w:tcPr>
          <w:p>
            <w:pPr>
              <w:ind w:left="60"/>
              <w:spacing w:after="0" w:line="131" w:lineRule="exact"/>
              <w:rPr>
                <w:sz w:val="20"/>
                <w:szCs w:val="20"/>
                <w:color w:val="auto"/>
              </w:rPr>
            </w:pPr>
            <w:r>
              <w:rPr>
                <w:rFonts w:ascii="Arial" w:cs="Arial" w:eastAsia="Arial" w:hAnsi="Arial"/>
                <w:sz w:val="14"/>
                <w:szCs w:val="14"/>
                <w:color w:val="auto"/>
                <w:w w:val="94"/>
              </w:rPr>
              <w:t>Operating Income (Loss)</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7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color w:val="auto"/>
                <w:w w:val="97"/>
              </w:rPr>
              <w:t>Revenue</w:t>
            </w:r>
            <w:r>
              <w:rPr>
                <w:rFonts w:ascii="Arial" w:cs="Arial" w:eastAsia="Arial" w:hAnsi="Arial"/>
                <w:sz w:val="22"/>
                <w:szCs w:val="22"/>
                <w:color w:val="auto"/>
                <w:w w:val="97"/>
                <w:vertAlign w:val="superscript"/>
              </w:rPr>
              <w:t>(d)</w:t>
            </w:r>
          </w:p>
        </w:tc>
        <w:tc>
          <w:tcPr>
            <w:tcW w:w="1540" w:type="dxa"/>
            <w:vAlign w:val="bottom"/>
            <w:gridSpan w:val="2"/>
          </w:tcPr>
          <w:p>
            <w:pPr>
              <w:ind w:left="80"/>
              <w:spacing w:after="0" w:line="133" w:lineRule="exact"/>
              <w:rPr>
                <w:sz w:val="20"/>
                <w:szCs w:val="20"/>
                <w:color w:val="auto"/>
              </w:rPr>
            </w:pPr>
            <w:r>
              <w:rPr>
                <w:rFonts w:ascii="Arial" w:cs="Arial" w:eastAsia="Arial" w:hAnsi="Arial"/>
                <w:sz w:val="14"/>
                <w:szCs w:val="14"/>
                <w:color w:val="auto"/>
                <w:w w:val="95"/>
              </w:rPr>
              <w:t>Before Depreciation and</w:t>
            </w:r>
          </w:p>
        </w:tc>
        <w:tc>
          <w:tcPr>
            <w:tcW w:w="1100" w:type="dxa"/>
            <w:vAlign w:val="bottom"/>
            <w:gridSpan w:val="2"/>
          </w:tcPr>
          <w:p>
            <w:pPr>
              <w:ind w:left="80"/>
              <w:spacing w:after="0" w:line="133" w:lineRule="exact"/>
              <w:rPr>
                <w:sz w:val="20"/>
                <w:szCs w:val="20"/>
                <w:color w:val="auto"/>
              </w:rPr>
            </w:pPr>
            <w:r>
              <w:rPr>
                <w:rFonts w:ascii="Arial" w:cs="Arial" w:eastAsia="Arial" w:hAnsi="Arial"/>
                <w:sz w:val="14"/>
                <w:szCs w:val="14"/>
                <w:color w:val="auto"/>
                <w:w w:val="94"/>
              </w:rPr>
              <w:t>Depreciation and</w:t>
            </w:r>
          </w:p>
        </w:tc>
        <w:tc>
          <w:tcPr>
            <w:tcW w:w="1200" w:type="dxa"/>
            <w:vAlign w:val="bottom"/>
            <w:gridSpan w:val="2"/>
          </w:tcPr>
          <w:p>
            <w:pPr>
              <w:ind w:left="100"/>
              <w:spacing w:after="0" w:line="133" w:lineRule="exact"/>
              <w:rPr>
                <w:sz w:val="20"/>
                <w:szCs w:val="20"/>
                <w:color w:val="auto"/>
              </w:rPr>
            </w:pPr>
            <w:r>
              <w:rPr>
                <w:rFonts w:ascii="Arial" w:cs="Arial" w:eastAsia="Arial" w:hAnsi="Arial"/>
                <w:sz w:val="14"/>
                <w:szCs w:val="14"/>
                <w:color w:val="auto"/>
                <w:w w:val="97"/>
              </w:rPr>
              <w:t>Operating Income</w:t>
            </w:r>
          </w:p>
        </w:tc>
        <w:tc>
          <w:tcPr>
            <w:tcW w:w="200" w:type="dxa"/>
            <w:vAlign w:val="bottom"/>
          </w:tcPr>
          <w:p>
            <w:pPr>
              <w:spacing w:after="0"/>
              <w:rPr>
                <w:sz w:val="11"/>
                <w:szCs w:val="11"/>
                <w:color w:val="auto"/>
              </w:rPr>
            </w:pPr>
          </w:p>
        </w:tc>
        <w:tc>
          <w:tcPr>
            <w:tcW w:w="680" w:type="dxa"/>
            <w:vAlign w:val="bottom"/>
          </w:tcPr>
          <w:p>
            <w:pPr>
              <w:jc w:val="right"/>
              <w:ind w:right="175"/>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97"/>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(e)</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w w:val="89"/>
              </w:rPr>
              <w:t>Amortization</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(Loss)</w:t>
            </w: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72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(a)</w:t>
            </w:r>
          </w:p>
        </w:tc>
        <w:tc>
          <w:tcPr>
            <w:tcW w:w="2400" w:type="dxa"/>
            <w:vAlign w:val="bottom"/>
            <w:gridSpan w:val="2"/>
            <w:shd w:val="clear" w:color="auto" w:fill="E5E5E5"/>
          </w:tcPr>
          <w:p>
            <w:pPr>
              <w:ind w:left="2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97"/>
              </w:rPr>
              <w:t>2,239</w:t>
            </w:r>
          </w:p>
        </w:tc>
        <w:tc>
          <w:tcPr>
            <w:tcW w:w="24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853</w:t>
            </w:r>
          </w:p>
        </w:tc>
        <w:tc>
          <w:tcPr>
            <w:tcW w:w="180" w:type="dxa"/>
            <w:vAlign w:val="bottom"/>
            <w:shd w:val="clear" w:color="auto" w:fill="E5E5E5"/>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183</w:t>
            </w:r>
          </w:p>
        </w:tc>
        <w:tc>
          <w:tcPr>
            <w:tcW w:w="30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670</w:t>
            </w:r>
          </w:p>
        </w:tc>
        <w:tc>
          <w:tcPr>
            <w:tcW w:w="20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Broadcast Television</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1,644</w:t>
            </w:r>
          </w:p>
        </w:tc>
        <w:tc>
          <w:tcPr>
            <w:tcW w:w="240" w:type="dxa"/>
            <w:vAlign w:val="bottom"/>
          </w:tcPr>
          <w:p>
            <w:pPr>
              <w:spacing w:after="0"/>
              <w:rPr>
                <w:sz w:val="18"/>
                <w:szCs w:val="18"/>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72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r>
              <w:rPr>
                <w:rFonts w:ascii="Arial" w:cs="Arial" w:eastAsia="Arial" w:hAnsi="Arial"/>
                <w:sz w:val="11"/>
                <w:szCs w:val="11"/>
                <w:color w:val="auto"/>
              </w:rPr>
              <w:t>(a)</w:t>
            </w:r>
          </w:p>
        </w:tc>
        <w:tc>
          <w:tcPr>
            <w:tcW w:w="21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97"/>
              </w:rPr>
              <w:t>1,400</w:t>
            </w:r>
          </w:p>
        </w:tc>
        <w:tc>
          <w:tcPr>
            <w:tcW w:w="240" w:type="dxa"/>
            <w:vAlign w:val="bottom"/>
            <w:shd w:val="clear" w:color="auto" w:fill="E5E5E5"/>
          </w:tcPr>
          <w:p>
            <w:pPr>
              <w:spacing w:after="0"/>
              <w:rPr>
                <w:sz w:val="18"/>
                <w:szCs w:val="18"/>
                <w:color w:val="auto"/>
              </w:rPr>
            </w:pPr>
          </w:p>
        </w:tc>
        <w:tc>
          <w:tcPr>
            <w:tcW w:w="130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w:t>
            </w:r>
          </w:p>
        </w:tc>
        <w:tc>
          <w:tcPr>
            <w:tcW w:w="3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Theme Parks</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661</w:t>
            </w:r>
          </w:p>
        </w:tc>
        <w:tc>
          <w:tcPr>
            <w:tcW w:w="240" w:type="dxa"/>
            <w:vAlign w:val="bottom"/>
          </w:tcPr>
          <w:p>
            <w:pPr>
              <w:spacing w:after="0"/>
              <w:rPr>
                <w:sz w:val="18"/>
                <w:szCs w:val="18"/>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343</w:t>
            </w:r>
          </w:p>
        </w:tc>
        <w:tc>
          <w:tcPr>
            <w:tcW w:w="18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270</w:t>
            </w:r>
          </w:p>
        </w:tc>
        <w:tc>
          <w:tcPr>
            <w:tcW w:w="2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372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(b)</w:t>
            </w:r>
          </w:p>
        </w:tc>
        <w:tc>
          <w:tcPr>
            <w:tcW w:w="21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7</w:t>
            </w:r>
          </w:p>
        </w:tc>
        <w:tc>
          <w:tcPr>
            <w:tcW w:w="240" w:type="dxa"/>
            <w:vAlign w:val="bottom"/>
            <w:shd w:val="clear" w:color="auto" w:fill="E5E5E5"/>
          </w:tcPr>
          <w:p>
            <w:pPr>
              <w:spacing w:after="0"/>
              <w:rPr>
                <w:sz w:val="18"/>
                <w:szCs w:val="18"/>
                <w:color w:val="auto"/>
              </w:rPr>
            </w:pP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69</w:t>
            </w:r>
          </w:p>
        </w:tc>
        <w:tc>
          <w:tcPr>
            <w:tcW w:w="300" w:type="dxa"/>
            <w:vAlign w:val="bottom"/>
            <w:shd w:val="clear" w:color="auto" w:fill="E5E5E5"/>
          </w:tcPr>
          <w:p>
            <w:pPr>
              <w:spacing w:after="0"/>
              <w:rPr>
                <w:sz w:val="18"/>
                <w:szCs w:val="18"/>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2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7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2400" w:type="dxa"/>
            <w:vAlign w:val="bottom"/>
            <w:tcBorders>
              <w:bottom w:val="single" w:sz="8" w:color="auto"/>
            </w:tcBorders>
            <w:gridSpan w:val="2"/>
            <w:shd w:val="clear" w:color="auto" w:fill="E5E5E5"/>
          </w:tcPr>
          <w:p>
            <w:pPr>
              <w:ind w:left="224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w w:val="97"/>
              </w:rPr>
              <w:t>5,851</w:t>
            </w:r>
          </w:p>
        </w:tc>
        <w:tc>
          <w:tcPr>
            <w:tcW w:w="24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E5E5E5"/>
          </w:tcPr>
          <w:p>
            <w:pPr>
              <w:jc w:val="right"/>
              <w:ind w:right="37"/>
              <w:spacing w:after="0"/>
              <w:rPr>
                <w:sz w:val="20"/>
                <w:szCs w:val="20"/>
                <w:color w:val="auto"/>
              </w:rPr>
            </w:pPr>
            <w:r>
              <w:rPr>
                <w:rFonts w:ascii="Arial" w:cs="Arial" w:eastAsia="Arial" w:hAnsi="Arial"/>
                <w:sz w:val="18"/>
                <w:szCs w:val="18"/>
                <w:b w:val="1"/>
                <w:bCs w:val="1"/>
                <w:color w:val="auto"/>
              </w:rPr>
              <w:t>1,250</w:t>
            </w:r>
          </w:p>
        </w:tc>
        <w:tc>
          <w:tcPr>
            <w:tcW w:w="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352</w:t>
            </w:r>
          </w:p>
        </w:tc>
        <w:tc>
          <w:tcPr>
            <w:tcW w:w="30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8"/>
                <w:szCs w:val="18"/>
                <w:b w:val="1"/>
                <w:bCs w:val="1"/>
                <w:color w:val="auto"/>
              </w:rPr>
              <w:t>898</w:t>
            </w:r>
          </w:p>
        </w:tc>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284</w:t>
            </w:r>
          </w:p>
        </w:tc>
        <w:tc>
          <w:tcPr>
            <w:tcW w:w="0" w:type="dxa"/>
            <w:vAlign w:val="bottom"/>
          </w:tcPr>
          <w:p>
            <w:pPr>
              <w:spacing w:after="0"/>
              <w:rPr>
                <w:sz w:val="1"/>
                <w:szCs w:val="1"/>
                <w:color w:val="auto"/>
              </w:rPr>
            </w:pPr>
          </w:p>
        </w:tc>
      </w:tr>
      <w:tr>
        <w:trPr>
          <w:trHeight w:val="363"/>
        </w:trPr>
        <w:tc>
          <w:tcPr>
            <w:tcW w:w="372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4"/>
                <w:szCs w:val="14"/>
                <w:color w:val="auto"/>
              </w:rPr>
              <w:t>Nine Months Ended September 30, 2014</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140" w:type="dxa"/>
            <w:vAlign w:val="bottom"/>
            <w:gridSpan w:val="2"/>
          </w:tcPr>
          <w:p>
            <w:pPr>
              <w:ind w:left="360"/>
              <w:spacing w:after="0" w:line="131" w:lineRule="exact"/>
              <w:rPr>
                <w:sz w:val="20"/>
                <w:szCs w:val="20"/>
                <w:color w:val="auto"/>
              </w:rPr>
            </w:pPr>
            <w:r>
              <w:rPr>
                <w:rFonts w:ascii="Arial" w:cs="Arial" w:eastAsia="Arial" w:hAnsi="Arial"/>
                <w:sz w:val="14"/>
                <w:szCs w:val="14"/>
                <w:color w:val="auto"/>
              </w:rPr>
              <w:t>Operating Income (Loss)</w:t>
            </w:r>
          </w:p>
        </w:tc>
        <w:tc>
          <w:tcPr>
            <w:tcW w:w="4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980" w:type="dxa"/>
            <w:vAlign w:val="bottom"/>
          </w:tcPr>
          <w:p>
            <w:pPr>
              <w:spacing w:after="0"/>
              <w:rPr>
                <w:sz w:val="11"/>
                <w:szCs w:val="11"/>
                <w:color w:val="auto"/>
              </w:rPr>
            </w:pPr>
          </w:p>
        </w:tc>
        <w:tc>
          <w:tcPr>
            <w:tcW w:w="1680" w:type="dxa"/>
            <w:vAlign w:val="bottom"/>
            <w:gridSpan w:val="2"/>
            <w:vMerge w:val="restart"/>
          </w:tcPr>
          <w:p>
            <w:pPr>
              <w:ind w:left="66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(d)</w:t>
            </w:r>
          </w:p>
        </w:tc>
        <w:tc>
          <w:tcPr>
            <w:tcW w:w="2140" w:type="dxa"/>
            <w:vAlign w:val="bottom"/>
            <w:gridSpan w:val="2"/>
          </w:tcPr>
          <w:p>
            <w:pPr>
              <w:ind w:left="380"/>
              <w:spacing w:after="0" w:line="133" w:lineRule="exact"/>
              <w:rPr>
                <w:sz w:val="20"/>
                <w:szCs w:val="20"/>
                <w:color w:val="auto"/>
              </w:rPr>
            </w:pPr>
            <w:r>
              <w:rPr>
                <w:rFonts w:ascii="Arial" w:cs="Arial" w:eastAsia="Arial" w:hAnsi="Arial"/>
                <w:sz w:val="14"/>
                <w:szCs w:val="14"/>
                <w:color w:val="auto"/>
              </w:rPr>
              <w:t>Before Depreciation and</w:t>
            </w:r>
          </w:p>
        </w:tc>
        <w:tc>
          <w:tcPr>
            <w:tcW w:w="1920" w:type="dxa"/>
            <w:vAlign w:val="bottom"/>
            <w:gridSpan w:val="2"/>
          </w:tcPr>
          <w:p>
            <w:pPr>
              <w:ind w:left="360"/>
              <w:spacing w:after="0" w:line="133" w:lineRule="exact"/>
              <w:rPr>
                <w:sz w:val="20"/>
                <w:szCs w:val="20"/>
                <w:color w:val="auto"/>
              </w:rPr>
            </w:pPr>
            <w:r>
              <w:rPr>
                <w:rFonts w:ascii="Arial" w:cs="Arial" w:eastAsia="Arial" w:hAnsi="Arial"/>
                <w:sz w:val="14"/>
                <w:szCs w:val="14"/>
                <w:color w:val="auto"/>
              </w:rPr>
              <w:t>Depreciation and</w:t>
            </w:r>
          </w:p>
        </w:tc>
        <w:tc>
          <w:tcPr>
            <w:tcW w:w="1540" w:type="dxa"/>
            <w:vAlign w:val="bottom"/>
            <w:gridSpan w:val="2"/>
          </w:tcPr>
          <w:p>
            <w:pPr>
              <w:ind w:left="140"/>
              <w:spacing w:after="0" w:line="133" w:lineRule="exact"/>
              <w:rPr>
                <w:sz w:val="20"/>
                <w:szCs w:val="20"/>
                <w:color w:val="auto"/>
              </w:rPr>
            </w:pPr>
            <w:r>
              <w:rPr>
                <w:rFonts w:ascii="Arial" w:cs="Arial" w:eastAsia="Arial" w:hAnsi="Arial"/>
                <w:sz w:val="14"/>
                <w:szCs w:val="14"/>
                <w:color w:val="auto"/>
              </w:rPr>
              <w:t>Operating Income</w:t>
            </w:r>
          </w:p>
        </w:tc>
        <w:tc>
          <w:tcPr>
            <w:tcW w:w="480" w:type="dxa"/>
            <w:vAlign w:val="bottom"/>
          </w:tcPr>
          <w:p>
            <w:pPr>
              <w:spacing w:after="0"/>
              <w:rPr>
                <w:sz w:val="11"/>
                <w:szCs w:val="11"/>
                <w:color w:val="auto"/>
              </w:rPr>
            </w:pPr>
          </w:p>
        </w:tc>
        <w:tc>
          <w:tcPr>
            <w:tcW w:w="680" w:type="dxa"/>
            <w:vAlign w:val="bottom"/>
          </w:tcPr>
          <w:p>
            <w:pPr>
              <w:jc w:val="right"/>
              <w:ind w:right="175"/>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680" w:type="dxa"/>
            <w:vAlign w:val="bottom"/>
            <w:tcBorders>
              <w:bottom w:val="single" w:sz="8" w:color="auto"/>
            </w:tcBorders>
            <w:gridSpan w:val="2"/>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597"/>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(e)</w:t>
            </w:r>
          </w:p>
        </w:tc>
        <w:tc>
          <w:tcPr>
            <w:tcW w:w="4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color w:val="auto"/>
                <w:w w:val="92"/>
              </w:rPr>
              <w:t>Amortization</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color w:val="auto"/>
              </w:rPr>
              <w:t>(Loss)</w:t>
            </w:r>
          </w:p>
        </w:tc>
        <w:tc>
          <w:tcPr>
            <w:tcW w:w="11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298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(a)</w:t>
            </w:r>
          </w:p>
        </w:tc>
        <w:tc>
          <w:tcPr>
            <w:tcW w:w="820" w:type="dxa"/>
            <w:vAlign w:val="bottom"/>
            <w:shd w:val="clear" w:color="auto" w:fill="E5E5E5"/>
          </w:tcPr>
          <w:p>
            <w:pPr>
              <w:ind w:left="66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w w:val="93"/>
              </w:rPr>
              <w:t>7,236</w:t>
            </w:r>
          </w:p>
        </w:tc>
        <w:tc>
          <w:tcPr>
            <w:tcW w:w="54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2,677</w:t>
            </w:r>
          </w:p>
        </w:tc>
        <w:tc>
          <w:tcPr>
            <w:tcW w:w="440" w:type="dxa"/>
            <w:vAlign w:val="bottom"/>
            <w:shd w:val="clear" w:color="auto" w:fill="E5E5E5"/>
          </w:tcPr>
          <w:p>
            <w:pPr>
              <w:ind w:left="360"/>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E5E5E5"/>
          </w:tcPr>
          <w:p>
            <w:pPr>
              <w:jc w:val="right"/>
              <w:ind w:right="555"/>
              <w:spacing w:after="0"/>
              <w:rPr>
                <w:sz w:val="20"/>
                <w:szCs w:val="20"/>
                <w:color w:val="auto"/>
              </w:rPr>
            </w:pPr>
            <w:r>
              <w:rPr>
                <w:rFonts w:ascii="Arial" w:cs="Arial" w:eastAsia="Arial" w:hAnsi="Arial"/>
                <w:sz w:val="18"/>
                <w:szCs w:val="18"/>
                <w:color w:val="auto"/>
              </w:rPr>
              <w:t>558</w:t>
            </w:r>
          </w:p>
        </w:tc>
        <w:tc>
          <w:tcPr>
            <w:tcW w:w="340" w:type="dxa"/>
            <w:vAlign w:val="bottom"/>
            <w:shd w:val="clear" w:color="auto" w:fill="E5E5E5"/>
          </w:tcPr>
          <w:p>
            <w:pPr>
              <w:ind w:lef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2,119</w:t>
            </w:r>
          </w:p>
        </w:tc>
        <w:tc>
          <w:tcPr>
            <w:tcW w:w="48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Broadcast Television</w:t>
            </w:r>
          </w:p>
        </w:tc>
        <w:tc>
          <w:tcPr>
            <w:tcW w:w="820" w:type="dxa"/>
            <w:vAlign w:val="bottom"/>
          </w:tcPr>
          <w:p>
            <w:pPr>
              <w:spacing w:after="0"/>
              <w:rPr>
                <w:sz w:val="18"/>
                <w:szCs w:val="18"/>
                <w:color w:val="auto"/>
              </w:rPr>
            </w:pPr>
          </w:p>
        </w:tc>
        <w:tc>
          <w:tcPr>
            <w:tcW w:w="860" w:type="dxa"/>
            <w:vAlign w:val="bottom"/>
          </w:tcPr>
          <w:p>
            <w:pPr>
              <w:jc w:val="right"/>
              <w:ind w:right="332"/>
              <w:spacing w:after="0"/>
              <w:rPr>
                <w:sz w:val="20"/>
                <w:szCs w:val="20"/>
                <w:color w:val="auto"/>
              </w:rPr>
            </w:pPr>
            <w:r>
              <w:rPr>
                <w:rFonts w:ascii="Arial" w:cs="Arial" w:eastAsia="Arial" w:hAnsi="Arial"/>
                <w:sz w:val="18"/>
                <w:szCs w:val="18"/>
                <w:color w:val="auto"/>
                <w:w w:val="93"/>
              </w:rPr>
              <w:t>6,207</w:t>
            </w:r>
          </w:p>
        </w:tc>
        <w:tc>
          <w:tcPr>
            <w:tcW w:w="540" w:type="dxa"/>
            <w:vAlign w:val="bottom"/>
          </w:tcPr>
          <w:p>
            <w:pPr>
              <w:spacing w:after="0"/>
              <w:rPr>
                <w:sz w:val="18"/>
                <w:szCs w:val="18"/>
                <w:color w:val="auto"/>
              </w:rPr>
            </w:pPr>
          </w:p>
        </w:tc>
        <w:tc>
          <w:tcPr>
            <w:tcW w:w="1600" w:type="dxa"/>
            <w:vAlign w:val="bottom"/>
          </w:tcPr>
          <w:p>
            <w:pPr>
              <w:jc w:val="right"/>
              <w:ind w:right="337"/>
              <w:spacing w:after="0"/>
              <w:rPr>
                <w:sz w:val="20"/>
                <w:szCs w:val="20"/>
                <w:color w:val="auto"/>
              </w:rPr>
            </w:pPr>
            <w:r>
              <w:rPr>
                <w:rFonts w:ascii="Arial" w:cs="Arial" w:eastAsia="Arial" w:hAnsi="Arial"/>
                <w:sz w:val="18"/>
                <w:szCs w:val="18"/>
                <w:color w:val="auto"/>
              </w:rPr>
              <w:t>504</w:t>
            </w:r>
          </w:p>
        </w:tc>
        <w:tc>
          <w:tcPr>
            <w:tcW w:w="440" w:type="dxa"/>
            <w:vAlign w:val="bottom"/>
          </w:tcPr>
          <w:p>
            <w:pPr>
              <w:spacing w:after="0"/>
              <w:rPr>
                <w:sz w:val="18"/>
                <w:szCs w:val="18"/>
                <w:color w:val="auto"/>
              </w:rPr>
            </w:pPr>
          </w:p>
        </w:tc>
        <w:tc>
          <w:tcPr>
            <w:tcW w:w="1480" w:type="dxa"/>
            <w:vAlign w:val="bottom"/>
          </w:tcPr>
          <w:p>
            <w:pPr>
              <w:jc w:val="right"/>
              <w:ind w:right="555"/>
              <w:spacing w:after="0"/>
              <w:rPr>
                <w:sz w:val="20"/>
                <w:szCs w:val="20"/>
                <w:color w:val="auto"/>
              </w:rPr>
            </w:pPr>
            <w:r>
              <w:rPr>
                <w:rFonts w:ascii="Arial" w:cs="Arial" w:eastAsia="Arial" w:hAnsi="Arial"/>
                <w:sz w:val="18"/>
                <w:szCs w:val="18"/>
                <w:color w:val="auto"/>
              </w:rPr>
              <w:t>78</w:t>
            </w:r>
          </w:p>
        </w:tc>
        <w:tc>
          <w:tcPr>
            <w:tcW w:w="340" w:type="dxa"/>
            <w:vAlign w:val="bottom"/>
          </w:tcPr>
          <w:p>
            <w:pPr>
              <w:spacing w:after="0"/>
              <w:rPr>
                <w:sz w:val="18"/>
                <w:szCs w:val="18"/>
                <w:color w:val="auto"/>
              </w:rPr>
            </w:pPr>
          </w:p>
        </w:tc>
        <w:tc>
          <w:tcPr>
            <w:tcW w:w="1200" w:type="dxa"/>
            <w:vAlign w:val="bottom"/>
          </w:tcPr>
          <w:p>
            <w:pPr>
              <w:jc w:val="right"/>
              <w:ind w:right="335"/>
              <w:spacing w:after="0"/>
              <w:rPr>
                <w:sz w:val="20"/>
                <w:szCs w:val="20"/>
                <w:color w:val="auto"/>
              </w:rPr>
            </w:pPr>
            <w:r>
              <w:rPr>
                <w:rFonts w:ascii="Arial" w:cs="Arial" w:eastAsia="Arial" w:hAnsi="Arial"/>
                <w:sz w:val="18"/>
                <w:szCs w:val="18"/>
                <w:color w:val="auto"/>
              </w:rPr>
              <w:t>426</w:t>
            </w:r>
          </w:p>
        </w:tc>
        <w:tc>
          <w:tcPr>
            <w:tcW w:w="48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98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r>
              <w:rPr>
                <w:rFonts w:ascii="Arial" w:cs="Arial" w:eastAsia="Arial" w:hAnsi="Arial"/>
                <w:sz w:val="11"/>
                <w:szCs w:val="11"/>
                <w:color w:val="auto"/>
              </w:rPr>
              <w:t>(a)</w:t>
            </w:r>
          </w:p>
        </w:tc>
        <w:tc>
          <w:tcPr>
            <w:tcW w:w="8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w w:val="93"/>
              </w:rPr>
              <w:t>3,713</w:t>
            </w:r>
          </w:p>
        </w:tc>
        <w:tc>
          <w:tcPr>
            <w:tcW w:w="54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634</w:t>
            </w:r>
          </w:p>
        </w:tc>
        <w:tc>
          <w:tcPr>
            <w:tcW w:w="44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555"/>
              <w:spacing w:after="0"/>
              <w:rPr>
                <w:sz w:val="20"/>
                <w:szCs w:val="20"/>
                <w:color w:val="auto"/>
              </w:rPr>
            </w:pPr>
            <w:r>
              <w:rPr>
                <w:rFonts w:ascii="Arial" w:cs="Arial" w:eastAsia="Arial" w:hAnsi="Arial"/>
                <w:sz w:val="18"/>
                <w:szCs w:val="18"/>
                <w:color w:val="auto"/>
              </w:rPr>
              <w:t>16</w:t>
            </w:r>
          </w:p>
        </w:tc>
        <w:tc>
          <w:tcPr>
            <w:tcW w:w="34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618</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Theme Parks</w:t>
            </w:r>
          </w:p>
        </w:tc>
        <w:tc>
          <w:tcPr>
            <w:tcW w:w="820" w:type="dxa"/>
            <w:vAlign w:val="bottom"/>
          </w:tcPr>
          <w:p>
            <w:pPr>
              <w:spacing w:after="0"/>
              <w:rPr>
                <w:sz w:val="18"/>
                <w:szCs w:val="18"/>
                <w:color w:val="auto"/>
              </w:rPr>
            </w:pPr>
          </w:p>
        </w:tc>
        <w:tc>
          <w:tcPr>
            <w:tcW w:w="860" w:type="dxa"/>
            <w:vAlign w:val="bottom"/>
          </w:tcPr>
          <w:p>
            <w:pPr>
              <w:jc w:val="right"/>
              <w:ind w:right="332"/>
              <w:spacing w:after="0"/>
              <w:rPr>
                <w:sz w:val="20"/>
                <w:szCs w:val="20"/>
                <w:color w:val="auto"/>
              </w:rPr>
            </w:pPr>
            <w:r>
              <w:rPr>
                <w:rFonts w:ascii="Arial" w:cs="Arial" w:eastAsia="Arial" w:hAnsi="Arial"/>
                <w:sz w:val="18"/>
                <w:szCs w:val="18"/>
                <w:color w:val="auto"/>
                <w:w w:val="93"/>
              </w:rPr>
              <w:t>1,888</w:t>
            </w:r>
          </w:p>
        </w:tc>
        <w:tc>
          <w:tcPr>
            <w:tcW w:w="540" w:type="dxa"/>
            <w:vAlign w:val="bottom"/>
          </w:tcPr>
          <w:p>
            <w:pPr>
              <w:spacing w:after="0"/>
              <w:rPr>
                <w:sz w:val="18"/>
                <w:szCs w:val="18"/>
                <w:color w:val="auto"/>
              </w:rPr>
            </w:pPr>
          </w:p>
        </w:tc>
        <w:tc>
          <w:tcPr>
            <w:tcW w:w="1600" w:type="dxa"/>
            <w:vAlign w:val="bottom"/>
          </w:tcPr>
          <w:p>
            <w:pPr>
              <w:jc w:val="right"/>
              <w:ind w:right="337"/>
              <w:spacing w:after="0"/>
              <w:rPr>
                <w:sz w:val="20"/>
                <w:szCs w:val="20"/>
                <w:color w:val="auto"/>
              </w:rPr>
            </w:pPr>
            <w:r>
              <w:rPr>
                <w:rFonts w:ascii="Arial" w:cs="Arial" w:eastAsia="Arial" w:hAnsi="Arial"/>
                <w:sz w:val="18"/>
                <w:szCs w:val="18"/>
                <w:color w:val="auto"/>
              </w:rPr>
              <w:t>816</w:t>
            </w:r>
          </w:p>
        </w:tc>
        <w:tc>
          <w:tcPr>
            <w:tcW w:w="440" w:type="dxa"/>
            <w:vAlign w:val="bottom"/>
          </w:tcPr>
          <w:p>
            <w:pPr>
              <w:spacing w:after="0"/>
              <w:rPr>
                <w:sz w:val="18"/>
                <w:szCs w:val="18"/>
                <w:color w:val="auto"/>
              </w:rPr>
            </w:pPr>
          </w:p>
        </w:tc>
        <w:tc>
          <w:tcPr>
            <w:tcW w:w="1480" w:type="dxa"/>
            <w:vAlign w:val="bottom"/>
          </w:tcPr>
          <w:p>
            <w:pPr>
              <w:jc w:val="right"/>
              <w:ind w:right="555"/>
              <w:spacing w:after="0"/>
              <w:rPr>
                <w:sz w:val="20"/>
                <w:szCs w:val="20"/>
                <w:color w:val="auto"/>
              </w:rPr>
            </w:pPr>
            <w:r>
              <w:rPr>
                <w:rFonts w:ascii="Arial" w:cs="Arial" w:eastAsia="Arial" w:hAnsi="Arial"/>
                <w:sz w:val="18"/>
                <w:szCs w:val="18"/>
                <w:color w:val="auto"/>
              </w:rPr>
              <w:t>210</w:t>
            </w:r>
          </w:p>
        </w:tc>
        <w:tc>
          <w:tcPr>
            <w:tcW w:w="340" w:type="dxa"/>
            <w:vAlign w:val="bottom"/>
          </w:tcPr>
          <w:p>
            <w:pPr>
              <w:spacing w:after="0"/>
              <w:rPr>
                <w:sz w:val="18"/>
                <w:szCs w:val="18"/>
                <w:color w:val="auto"/>
              </w:rPr>
            </w:pPr>
          </w:p>
        </w:tc>
        <w:tc>
          <w:tcPr>
            <w:tcW w:w="1200" w:type="dxa"/>
            <w:vAlign w:val="bottom"/>
          </w:tcPr>
          <w:p>
            <w:pPr>
              <w:jc w:val="right"/>
              <w:ind w:right="335"/>
              <w:spacing w:after="0"/>
              <w:rPr>
                <w:sz w:val="20"/>
                <w:szCs w:val="20"/>
                <w:color w:val="auto"/>
              </w:rPr>
            </w:pPr>
            <w:r>
              <w:rPr>
                <w:rFonts w:ascii="Arial" w:cs="Arial" w:eastAsia="Arial" w:hAnsi="Arial"/>
                <w:sz w:val="18"/>
                <w:szCs w:val="18"/>
                <w:color w:val="auto"/>
              </w:rPr>
              <w:t>606</w:t>
            </w:r>
          </w:p>
        </w:tc>
        <w:tc>
          <w:tcPr>
            <w:tcW w:w="48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98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(b)</w:t>
            </w:r>
          </w:p>
        </w:tc>
        <w:tc>
          <w:tcPr>
            <w:tcW w:w="8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rPr>
              <w:t>10</w:t>
            </w:r>
          </w:p>
        </w:tc>
        <w:tc>
          <w:tcPr>
            <w:tcW w:w="54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(464)</w:t>
            </w:r>
          </w:p>
        </w:tc>
        <w:tc>
          <w:tcPr>
            <w:tcW w:w="44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555"/>
              <w:spacing w:after="0"/>
              <w:rPr>
                <w:sz w:val="20"/>
                <w:szCs w:val="20"/>
                <w:color w:val="auto"/>
              </w:rPr>
            </w:pPr>
            <w:r>
              <w:rPr>
                <w:rFonts w:ascii="Arial" w:cs="Arial" w:eastAsia="Arial" w:hAnsi="Arial"/>
                <w:sz w:val="18"/>
                <w:szCs w:val="18"/>
                <w:color w:val="auto"/>
              </w:rPr>
              <w:t>244</w:t>
            </w:r>
          </w:p>
        </w:tc>
        <w:tc>
          <w:tcPr>
            <w:tcW w:w="34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(708)</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8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(241)</w:t>
            </w:r>
          </w:p>
        </w:tc>
        <w:tc>
          <w:tcPr>
            <w:tcW w:w="5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color w:val="auto"/>
              </w:rPr>
              <w:t>(6)</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(6)</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1680" w:type="dxa"/>
            <w:vAlign w:val="bottom"/>
            <w:tcBorders>
              <w:bottom w:val="single" w:sz="8" w:color="auto"/>
            </w:tcBorders>
            <w:gridSpan w:val="2"/>
            <w:shd w:val="clear" w:color="auto" w:fill="E5E5E5"/>
          </w:tcPr>
          <w:p>
            <w:pPr>
              <w:jc w:val="right"/>
              <w:ind w:right="332"/>
              <w:spacing w:after="0"/>
              <w:rPr>
                <w:sz w:val="20"/>
                <w:szCs w:val="20"/>
                <w:color w:val="auto"/>
              </w:rPr>
            </w:pPr>
            <w:r>
              <w:rPr>
                <w:rFonts w:ascii="Arial" w:cs="Arial" w:eastAsia="Arial" w:hAnsi="Arial"/>
                <w:sz w:val="18"/>
                <w:szCs w:val="18"/>
                <w:b w:val="1"/>
                <w:bCs w:val="1"/>
                <w:color w:val="auto"/>
              </w:rPr>
              <w:t>$ 18,813</w:t>
            </w:r>
          </w:p>
        </w:tc>
        <w:tc>
          <w:tcPr>
            <w:tcW w:w="54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shd w:val="clear" w:color="auto" w:fill="E5E5E5"/>
          </w:tcPr>
          <w:p>
            <w:pPr>
              <w:jc w:val="right"/>
              <w:ind w:right="337"/>
              <w:spacing w:after="0"/>
              <w:rPr>
                <w:sz w:val="20"/>
                <w:szCs w:val="20"/>
                <w:color w:val="auto"/>
              </w:rPr>
            </w:pPr>
            <w:r>
              <w:rPr>
                <w:rFonts w:ascii="Arial" w:cs="Arial" w:eastAsia="Arial" w:hAnsi="Arial"/>
                <w:sz w:val="18"/>
                <w:szCs w:val="18"/>
                <w:b w:val="1"/>
                <w:bCs w:val="1"/>
                <w:color w:val="auto"/>
              </w:rPr>
              <w:t>4,161</w:t>
            </w:r>
          </w:p>
        </w:tc>
        <w:tc>
          <w:tcPr>
            <w:tcW w:w="44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bottom w:val="single" w:sz="8" w:color="auto"/>
            </w:tcBorders>
            <w:shd w:val="clear" w:color="auto" w:fill="E5E5E5"/>
          </w:tcPr>
          <w:p>
            <w:pPr>
              <w:jc w:val="right"/>
              <w:ind w:right="555"/>
              <w:spacing w:after="0"/>
              <w:rPr>
                <w:sz w:val="20"/>
                <w:szCs w:val="20"/>
                <w:color w:val="auto"/>
              </w:rPr>
            </w:pPr>
            <w:r>
              <w:rPr>
                <w:rFonts w:ascii="Arial" w:cs="Arial" w:eastAsia="Arial" w:hAnsi="Arial"/>
                <w:sz w:val="18"/>
                <w:szCs w:val="18"/>
                <w:b w:val="1"/>
                <w:bCs w:val="1"/>
                <w:color w:val="auto"/>
              </w:rPr>
              <w:t>1,106</w:t>
            </w:r>
          </w:p>
        </w:tc>
        <w:tc>
          <w:tcPr>
            <w:tcW w:w="3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3,055</w:t>
            </w:r>
          </w:p>
        </w:tc>
        <w:tc>
          <w:tcPr>
            <w:tcW w:w="48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884</w:t>
            </w:r>
          </w:p>
        </w:tc>
        <w:tc>
          <w:tcPr>
            <w:tcW w:w="0" w:type="dxa"/>
            <w:vAlign w:val="bottom"/>
          </w:tcPr>
          <w:p>
            <w:pPr>
              <w:spacing w:after="0"/>
              <w:rPr>
                <w:sz w:val="1"/>
                <w:szCs w:val="1"/>
                <w:color w:val="auto"/>
              </w:rPr>
            </w:pPr>
          </w:p>
        </w:tc>
      </w:tr>
      <w:tr>
        <w:trPr>
          <w:trHeight w:val="284"/>
        </w:trPr>
        <w:tc>
          <w:tcPr>
            <w:tcW w:w="29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4"/>
                <w:szCs w:val="14"/>
                <w:color w:val="auto"/>
              </w:rPr>
              <w:t>Nine Months Ended September 30, 2013</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140" w:type="dxa"/>
            <w:vAlign w:val="bottom"/>
            <w:gridSpan w:val="2"/>
          </w:tcPr>
          <w:p>
            <w:pPr>
              <w:ind w:left="360"/>
              <w:spacing w:after="0" w:line="131" w:lineRule="exact"/>
              <w:rPr>
                <w:sz w:val="20"/>
                <w:szCs w:val="20"/>
                <w:color w:val="auto"/>
              </w:rPr>
            </w:pPr>
            <w:r>
              <w:rPr>
                <w:rFonts w:ascii="Arial" w:cs="Arial" w:eastAsia="Arial" w:hAnsi="Arial"/>
                <w:sz w:val="14"/>
                <w:szCs w:val="14"/>
                <w:color w:val="auto"/>
              </w:rPr>
              <w:t>Operating Income (Loss)</w:t>
            </w:r>
          </w:p>
        </w:tc>
        <w:tc>
          <w:tcPr>
            <w:tcW w:w="4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980" w:type="dxa"/>
            <w:vAlign w:val="bottom"/>
          </w:tcPr>
          <w:p>
            <w:pPr>
              <w:spacing w:after="0"/>
              <w:rPr>
                <w:sz w:val="11"/>
                <w:szCs w:val="11"/>
                <w:color w:val="auto"/>
              </w:rPr>
            </w:pPr>
          </w:p>
        </w:tc>
        <w:tc>
          <w:tcPr>
            <w:tcW w:w="1680" w:type="dxa"/>
            <w:vAlign w:val="bottom"/>
            <w:gridSpan w:val="2"/>
            <w:vMerge w:val="restart"/>
          </w:tcPr>
          <w:p>
            <w:pPr>
              <w:ind w:left="66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(d)</w:t>
            </w:r>
          </w:p>
        </w:tc>
        <w:tc>
          <w:tcPr>
            <w:tcW w:w="2140" w:type="dxa"/>
            <w:vAlign w:val="bottom"/>
            <w:gridSpan w:val="2"/>
          </w:tcPr>
          <w:p>
            <w:pPr>
              <w:ind w:left="380"/>
              <w:spacing w:after="0" w:line="133" w:lineRule="exact"/>
              <w:rPr>
                <w:sz w:val="20"/>
                <w:szCs w:val="20"/>
                <w:color w:val="auto"/>
              </w:rPr>
            </w:pPr>
            <w:r>
              <w:rPr>
                <w:rFonts w:ascii="Arial" w:cs="Arial" w:eastAsia="Arial" w:hAnsi="Arial"/>
                <w:sz w:val="14"/>
                <w:szCs w:val="14"/>
                <w:color w:val="auto"/>
              </w:rPr>
              <w:t>Before Depreciation and</w:t>
            </w:r>
          </w:p>
        </w:tc>
        <w:tc>
          <w:tcPr>
            <w:tcW w:w="1920" w:type="dxa"/>
            <w:vAlign w:val="bottom"/>
            <w:gridSpan w:val="2"/>
          </w:tcPr>
          <w:p>
            <w:pPr>
              <w:ind w:left="360"/>
              <w:spacing w:after="0" w:line="133" w:lineRule="exact"/>
              <w:rPr>
                <w:sz w:val="20"/>
                <w:szCs w:val="20"/>
                <w:color w:val="auto"/>
              </w:rPr>
            </w:pPr>
            <w:r>
              <w:rPr>
                <w:rFonts w:ascii="Arial" w:cs="Arial" w:eastAsia="Arial" w:hAnsi="Arial"/>
                <w:sz w:val="14"/>
                <w:szCs w:val="14"/>
                <w:color w:val="auto"/>
              </w:rPr>
              <w:t>Depreciation and</w:t>
            </w:r>
          </w:p>
        </w:tc>
        <w:tc>
          <w:tcPr>
            <w:tcW w:w="1540" w:type="dxa"/>
            <w:vAlign w:val="bottom"/>
            <w:gridSpan w:val="2"/>
          </w:tcPr>
          <w:p>
            <w:pPr>
              <w:ind w:left="140"/>
              <w:spacing w:after="0" w:line="133" w:lineRule="exact"/>
              <w:rPr>
                <w:sz w:val="20"/>
                <w:szCs w:val="20"/>
                <w:color w:val="auto"/>
              </w:rPr>
            </w:pPr>
            <w:r>
              <w:rPr>
                <w:rFonts w:ascii="Arial" w:cs="Arial" w:eastAsia="Arial" w:hAnsi="Arial"/>
                <w:sz w:val="14"/>
                <w:szCs w:val="14"/>
                <w:color w:val="auto"/>
              </w:rPr>
              <w:t>Operating Income</w:t>
            </w:r>
          </w:p>
        </w:tc>
        <w:tc>
          <w:tcPr>
            <w:tcW w:w="480" w:type="dxa"/>
            <w:vAlign w:val="bottom"/>
          </w:tcPr>
          <w:p>
            <w:pPr>
              <w:spacing w:after="0"/>
              <w:rPr>
                <w:sz w:val="11"/>
                <w:szCs w:val="11"/>
                <w:color w:val="auto"/>
              </w:rPr>
            </w:pPr>
          </w:p>
        </w:tc>
        <w:tc>
          <w:tcPr>
            <w:tcW w:w="680" w:type="dxa"/>
            <w:vAlign w:val="bottom"/>
          </w:tcPr>
          <w:p>
            <w:pPr>
              <w:jc w:val="right"/>
              <w:ind w:right="175"/>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680" w:type="dxa"/>
            <w:vAlign w:val="bottom"/>
            <w:tcBorders>
              <w:bottom w:val="single" w:sz="8" w:color="auto"/>
            </w:tcBorders>
            <w:gridSpan w:val="2"/>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597"/>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(e)</w:t>
            </w:r>
          </w:p>
        </w:tc>
        <w:tc>
          <w:tcPr>
            <w:tcW w:w="4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color w:val="auto"/>
                <w:w w:val="92"/>
              </w:rPr>
              <w:t>Amortization</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color w:val="auto"/>
              </w:rPr>
              <w:t>(Loss)</w:t>
            </w:r>
          </w:p>
        </w:tc>
        <w:tc>
          <w:tcPr>
            <w:tcW w:w="11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298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(a)</w:t>
            </w:r>
          </w:p>
        </w:tc>
        <w:tc>
          <w:tcPr>
            <w:tcW w:w="820" w:type="dxa"/>
            <w:vAlign w:val="bottom"/>
            <w:shd w:val="clear" w:color="auto" w:fill="E5E5E5"/>
          </w:tcPr>
          <w:p>
            <w:pPr>
              <w:ind w:left="66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w w:val="93"/>
              </w:rPr>
              <w:t>6,877</w:t>
            </w:r>
          </w:p>
        </w:tc>
        <w:tc>
          <w:tcPr>
            <w:tcW w:w="54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2,572</w:t>
            </w:r>
          </w:p>
        </w:tc>
        <w:tc>
          <w:tcPr>
            <w:tcW w:w="440" w:type="dxa"/>
            <w:vAlign w:val="bottom"/>
            <w:shd w:val="clear" w:color="auto" w:fill="E5E5E5"/>
          </w:tcPr>
          <w:p>
            <w:pPr>
              <w:ind w:left="360"/>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E5E5E5"/>
          </w:tcPr>
          <w:p>
            <w:pPr>
              <w:jc w:val="right"/>
              <w:ind w:right="555"/>
              <w:spacing w:after="0"/>
              <w:rPr>
                <w:sz w:val="20"/>
                <w:szCs w:val="20"/>
                <w:color w:val="auto"/>
              </w:rPr>
            </w:pPr>
            <w:r>
              <w:rPr>
                <w:rFonts w:ascii="Arial" w:cs="Arial" w:eastAsia="Arial" w:hAnsi="Arial"/>
                <w:sz w:val="18"/>
                <w:szCs w:val="18"/>
                <w:color w:val="auto"/>
              </w:rPr>
              <w:t>549</w:t>
            </w:r>
          </w:p>
        </w:tc>
        <w:tc>
          <w:tcPr>
            <w:tcW w:w="340" w:type="dxa"/>
            <w:vAlign w:val="bottom"/>
            <w:shd w:val="clear" w:color="auto" w:fill="E5E5E5"/>
          </w:tcPr>
          <w:p>
            <w:pPr>
              <w:ind w:lef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2,023</w:t>
            </w:r>
          </w:p>
        </w:tc>
        <w:tc>
          <w:tcPr>
            <w:tcW w:w="48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Broadcast Television</w:t>
            </w:r>
          </w:p>
        </w:tc>
        <w:tc>
          <w:tcPr>
            <w:tcW w:w="820" w:type="dxa"/>
            <w:vAlign w:val="bottom"/>
          </w:tcPr>
          <w:p>
            <w:pPr>
              <w:spacing w:after="0"/>
              <w:rPr>
                <w:sz w:val="18"/>
                <w:szCs w:val="18"/>
                <w:color w:val="auto"/>
              </w:rPr>
            </w:pPr>
          </w:p>
        </w:tc>
        <w:tc>
          <w:tcPr>
            <w:tcW w:w="860" w:type="dxa"/>
            <w:vAlign w:val="bottom"/>
          </w:tcPr>
          <w:p>
            <w:pPr>
              <w:jc w:val="right"/>
              <w:ind w:right="332"/>
              <w:spacing w:after="0"/>
              <w:rPr>
                <w:sz w:val="20"/>
                <w:szCs w:val="20"/>
                <w:color w:val="auto"/>
              </w:rPr>
            </w:pPr>
            <w:r>
              <w:rPr>
                <w:rFonts w:ascii="Arial" w:cs="Arial" w:eastAsia="Arial" w:hAnsi="Arial"/>
                <w:sz w:val="18"/>
                <w:szCs w:val="18"/>
                <w:color w:val="auto"/>
                <w:w w:val="93"/>
              </w:rPr>
              <w:t>4,893</w:t>
            </w:r>
          </w:p>
        </w:tc>
        <w:tc>
          <w:tcPr>
            <w:tcW w:w="540" w:type="dxa"/>
            <w:vAlign w:val="bottom"/>
          </w:tcPr>
          <w:p>
            <w:pPr>
              <w:spacing w:after="0"/>
              <w:rPr>
                <w:sz w:val="18"/>
                <w:szCs w:val="18"/>
                <w:color w:val="auto"/>
              </w:rPr>
            </w:pPr>
          </w:p>
        </w:tc>
        <w:tc>
          <w:tcPr>
            <w:tcW w:w="1600" w:type="dxa"/>
            <w:vAlign w:val="bottom"/>
          </w:tcPr>
          <w:p>
            <w:pPr>
              <w:jc w:val="right"/>
              <w:ind w:right="337"/>
              <w:spacing w:after="0"/>
              <w:rPr>
                <w:sz w:val="20"/>
                <w:szCs w:val="20"/>
                <w:color w:val="auto"/>
              </w:rPr>
            </w:pPr>
            <w:r>
              <w:rPr>
                <w:rFonts w:ascii="Arial" w:cs="Arial" w:eastAsia="Arial" w:hAnsi="Arial"/>
                <w:sz w:val="18"/>
                <w:szCs w:val="18"/>
                <w:color w:val="auto"/>
              </w:rPr>
              <w:t>205</w:t>
            </w:r>
          </w:p>
        </w:tc>
        <w:tc>
          <w:tcPr>
            <w:tcW w:w="440" w:type="dxa"/>
            <w:vAlign w:val="bottom"/>
          </w:tcPr>
          <w:p>
            <w:pPr>
              <w:spacing w:after="0"/>
              <w:rPr>
                <w:sz w:val="18"/>
                <w:szCs w:val="18"/>
                <w:color w:val="auto"/>
              </w:rPr>
            </w:pPr>
          </w:p>
        </w:tc>
        <w:tc>
          <w:tcPr>
            <w:tcW w:w="1480" w:type="dxa"/>
            <w:vAlign w:val="bottom"/>
          </w:tcPr>
          <w:p>
            <w:pPr>
              <w:jc w:val="right"/>
              <w:ind w:right="555"/>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18"/>
                <w:szCs w:val="18"/>
                <w:color w:val="auto"/>
              </w:rPr>
            </w:pPr>
          </w:p>
        </w:tc>
        <w:tc>
          <w:tcPr>
            <w:tcW w:w="1200" w:type="dxa"/>
            <w:vAlign w:val="bottom"/>
          </w:tcPr>
          <w:p>
            <w:pPr>
              <w:jc w:val="right"/>
              <w:ind w:right="335"/>
              <w:spacing w:after="0"/>
              <w:rPr>
                <w:sz w:val="20"/>
                <w:szCs w:val="20"/>
                <w:color w:val="auto"/>
              </w:rPr>
            </w:pPr>
            <w:r>
              <w:rPr>
                <w:rFonts w:ascii="Arial" w:cs="Arial" w:eastAsia="Arial" w:hAnsi="Arial"/>
                <w:sz w:val="18"/>
                <w:szCs w:val="18"/>
                <w:color w:val="auto"/>
              </w:rPr>
              <w:t>131</w:t>
            </w:r>
          </w:p>
        </w:tc>
        <w:tc>
          <w:tcPr>
            <w:tcW w:w="48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98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r>
              <w:rPr>
                <w:rFonts w:ascii="Arial" w:cs="Arial" w:eastAsia="Arial" w:hAnsi="Arial"/>
                <w:sz w:val="11"/>
                <w:szCs w:val="11"/>
                <w:color w:val="auto"/>
              </w:rPr>
              <w:t>(a)</w:t>
            </w:r>
          </w:p>
        </w:tc>
        <w:tc>
          <w:tcPr>
            <w:tcW w:w="8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w w:val="93"/>
              </w:rPr>
              <w:t>4,004</w:t>
            </w:r>
          </w:p>
        </w:tc>
        <w:tc>
          <w:tcPr>
            <w:tcW w:w="54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291</w:t>
            </w:r>
          </w:p>
        </w:tc>
        <w:tc>
          <w:tcPr>
            <w:tcW w:w="44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555"/>
              <w:spacing w:after="0"/>
              <w:rPr>
                <w:sz w:val="20"/>
                <w:szCs w:val="20"/>
                <w:color w:val="auto"/>
              </w:rPr>
            </w:pPr>
            <w:r>
              <w:rPr>
                <w:rFonts w:ascii="Arial" w:cs="Arial" w:eastAsia="Arial" w:hAnsi="Arial"/>
                <w:sz w:val="18"/>
                <w:szCs w:val="18"/>
                <w:color w:val="auto"/>
              </w:rPr>
              <w:t>11</w:t>
            </w:r>
          </w:p>
        </w:tc>
        <w:tc>
          <w:tcPr>
            <w:tcW w:w="34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280</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Theme Parks</w:t>
            </w:r>
          </w:p>
        </w:tc>
        <w:tc>
          <w:tcPr>
            <w:tcW w:w="820" w:type="dxa"/>
            <w:vAlign w:val="bottom"/>
          </w:tcPr>
          <w:p>
            <w:pPr>
              <w:spacing w:after="0"/>
              <w:rPr>
                <w:sz w:val="18"/>
                <w:szCs w:val="18"/>
                <w:color w:val="auto"/>
              </w:rPr>
            </w:pPr>
          </w:p>
        </w:tc>
        <w:tc>
          <w:tcPr>
            <w:tcW w:w="860" w:type="dxa"/>
            <w:vAlign w:val="bottom"/>
          </w:tcPr>
          <w:p>
            <w:pPr>
              <w:jc w:val="right"/>
              <w:ind w:right="332"/>
              <w:spacing w:after="0"/>
              <w:rPr>
                <w:sz w:val="20"/>
                <w:szCs w:val="20"/>
                <w:color w:val="auto"/>
              </w:rPr>
            </w:pPr>
            <w:r>
              <w:rPr>
                <w:rFonts w:ascii="Arial" w:cs="Arial" w:eastAsia="Arial" w:hAnsi="Arial"/>
                <w:sz w:val="18"/>
                <w:szCs w:val="18"/>
                <w:color w:val="auto"/>
                <w:w w:val="93"/>
              </w:rPr>
              <w:t>1,669</w:t>
            </w:r>
          </w:p>
        </w:tc>
        <w:tc>
          <w:tcPr>
            <w:tcW w:w="540" w:type="dxa"/>
            <w:vAlign w:val="bottom"/>
          </w:tcPr>
          <w:p>
            <w:pPr>
              <w:spacing w:after="0"/>
              <w:rPr>
                <w:sz w:val="18"/>
                <w:szCs w:val="18"/>
                <w:color w:val="auto"/>
              </w:rPr>
            </w:pPr>
          </w:p>
        </w:tc>
        <w:tc>
          <w:tcPr>
            <w:tcW w:w="1600" w:type="dxa"/>
            <w:vAlign w:val="bottom"/>
          </w:tcPr>
          <w:p>
            <w:pPr>
              <w:jc w:val="right"/>
              <w:ind w:right="337"/>
              <w:spacing w:after="0"/>
              <w:rPr>
                <w:sz w:val="20"/>
                <w:szCs w:val="20"/>
                <w:color w:val="auto"/>
              </w:rPr>
            </w:pPr>
            <w:r>
              <w:rPr>
                <w:rFonts w:ascii="Arial" w:cs="Arial" w:eastAsia="Arial" w:hAnsi="Arial"/>
                <w:sz w:val="18"/>
                <w:szCs w:val="18"/>
                <w:color w:val="auto"/>
              </w:rPr>
              <w:t>747</w:t>
            </w:r>
          </w:p>
        </w:tc>
        <w:tc>
          <w:tcPr>
            <w:tcW w:w="440" w:type="dxa"/>
            <w:vAlign w:val="bottom"/>
          </w:tcPr>
          <w:p>
            <w:pPr>
              <w:spacing w:after="0"/>
              <w:rPr>
                <w:sz w:val="18"/>
                <w:szCs w:val="18"/>
                <w:color w:val="auto"/>
              </w:rPr>
            </w:pPr>
          </w:p>
        </w:tc>
        <w:tc>
          <w:tcPr>
            <w:tcW w:w="1480" w:type="dxa"/>
            <w:vAlign w:val="bottom"/>
          </w:tcPr>
          <w:p>
            <w:pPr>
              <w:jc w:val="right"/>
              <w:ind w:right="555"/>
              <w:spacing w:after="0"/>
              <w:rPr>
                <w:sz w:val="20"/>
                <w:szCs w:val="20"/>
                <w:color w:val="auto"/>
              </w:rPr>
            </w:pPr>
            <w:r>
              <w:rPr>
                <w:rFonts w:ascii="Arial" w:cs="Arial" w:eastAsia="Arial" w:hAnsi="Arial"/>
                <w:sz w:val="18"/>
                <w:szCs w:val="18"/>
                <w:color w:val="auto"/>
              </w:rPr>
              <w:t>218</w:t>
            </w:r>
          </w:p>
        </w:tc>
        <w:tc>
          <w:tcPr>
            <w:tcW w:w="340" w:type="dxa"/>
            <w:vAlign w:val="bottom"/>
          </w:tcPr>
          <w:p>
            <w:pPr>
              <w:spacing w:after="0"/>
              <w:rPr>
                <w:sz w:val="18"/>
                <w:szCs w:val="18"/>
                <w:color w:val="auto"/>
              </w:rPr>
            </w:pPr>
          </w:p>
        </w:tc>
        <w:tc>
          <w:tcPr>
            <w:tcW w:w="1200" w:type="dxa"/>
            <w:vAlign w:val="bottom"/>
          </w:tcPr>
          <w:p>
            <w:pPr>
              <w:jc w:val="right"/>
              <w:ind w:right="335"/>
              <w:spacing w:after="0"/>
              <w:rPr>
                <w:sz w:val="20"/>
                <w:szCs w:val="20"/>
                <w:color w:val="auto"/>
              </w:rPr>
            </w:pPr>
            <w:r>
              <w:rPr>
                <w:rFonts w:ascii="Arial" w:cs="Arial" w:eastAsia="Arial" w:hAnsi="Arial"/>
                <w:sz w:val="18"/>
                <w:szCs w:val="18"/>
                <w:color w:val="auto"/>
              </w:rPr>
              <w:t>529</w:t>
            </w:r>
          </w:p>
        </w:tc>
        <w:tc>
          <w:tcPr>
            <w:tcW w:w="48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98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(b)</w:t>
            </w:r>
          </w:p>
        </w:tc>
        <w:tc>
          <w:tcPr>
            <w:tcW w:w="8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rPr>
              <w:t>25</w:t>
            </w:r>
          </w:p>
        </w:tc>
        <w:tc>
          <w:tcPr>
            <w:tcW w:w="54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(416)</w:t>
            </w:r>
          </w:p>
        </w:tc>
        <w:tc>
          <w:tcPr>
            <w:tcW w:w="44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555"/>
              <w:spacing w:after="0"/>
              <w:rPr>
                <w:sz w:val="20"/>
                <w:szCs w:val="20"/>
                <w:color w:val="auto"/>
              </w:rPr>
            </w:pPr>
            <w:r>
              <w:rPr>
                <w:rFonts w:ascii="Arial" w:cs="Arial" w:eastAsia="Arial" w:hAnsi="Arial"/>
                <w:sz w:val="18"/>
                <w:szCs w:val="18"/>
                <w:color w:val="auto"/>
              </w:rPr>
              <w:t>193</w:t>
            </w:r>
          </w:p>
        </w:tc>
        <w:tc>
          <w:tcPr>
            <w:tcW w:w="34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(609)</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8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(282)</w:t>
            </w:r>
          </w:p>
        </w:tc>
        <w:tc>
          <w:tcPr>
            <w:tcW w:w="5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color w:val="auto"/>
              </w:rPr>
              <w:t>(5)</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(5)</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1680" w:type="dxa"/>
            <w:vAlign w:val="bottom"/>
            <w:tcBorders>
              <w:bottom w:val="single" w:sz="8" w:color="auto"/>
            </w:tcBorders>
            <w:gridSpan w:val="2"/>
            <w:shd w:val="clear" w:color="auto" w:fill="E5E5E5"/>
          </w:tcPr>
          <w:p>
            <w:pPr>
              <w:jc w:val="right"/>
              <w:ind w:right="332"/>
              <w:spacing w:after="0"/>
              <w:rPr>
                <w:sz w:val="20"/>
                <w:szCs w:val="20"/>
                <w:color w:val="auto"/>
              </w:rPr>
            </w:pPr>
            <w:r>
              <w:rPr>
                <w:rFonts w:ascii="Arial" w:cs="Arial" w:eastAsia="Arial" w:hAnsi="Arial"/>
                <w:sz w:val="18"/>
                <w:szCs w:val="18"/>
                <w:b w:val="1"/>
                <w:bCs w:val="1"/>
                <w:color w:val="auto"/>
              </w:rPr>
              <w:t>$ 17,186</w:t>
            </w:r>
          </w:p>
        </w:tc>
        <w:tc>
          <w:tcPr>
            <w:tcW w:w="54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shd w:val="clear" w:color="auto" w:fill="E5E5E5"/>
          </w:tcPr>
          <w:p>
            <w:pPr>
              <w:jc w:val="right"/>
              <w:ind w:right="337"/>
              <w:spacing w:after="0"/>
              <w:rPr>
                <w:sz w:val="20"/>
                <w:szCs w:val="20"/>
                <w:color w:val="auto"/>
              </w:rPr>
            </w:pPr>
            <w:r>
              <w:rPr>
                <w:rFonts w:ascii="Arial" w:cs="Arial" w:eastAsia="Arial" w:hAnsi="Arial"/>
                <w:sz w:val="18"/>
                <w:szCs w:val="18"/>
                <w:b w:val="1"/>
                <w:bCs w:val="1"/>
                <w:color w:val="auto"/>
              </w:rPr>
              <w:t>3,394</w:t>
            </w:r>
          </w:p>
        </w:tc>
        <w:tc>
          <w:tcPr>
            <w:tcW w:w="44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bottom w:val="single" w:sz="8" w:color="auto"/>
            </w:tcBorders>
            <w:shd w:val="clear" w:color="auto" w:fill="E5E5E5"/>
          </w:tcPr>
          <w:p>
            <w:pPr>
              <w:jc w:val="right"/>
              <w:ind w:right="555"/>
              <w:spacing w:after="0"/>
              <w:rPr>
                <w:sz w:val="20"/>
                <w:szCs w:val="20"/>
                <w:color w:val="auto"/>
              </w:rPr>
            </w:pPr>
            <w:r>
              <w:rPr>
                <w:rFonts w:ascii="Arial" w:cs="Arial" w:eastAsia="Arial" w:hAnsi="Arial"/>
                <w:sz w:val="18"/>
                <w:szCs w:val="18"/>
                <w:b w:val="1"/>
                <w:bCs w:val="1"/>
                <w:color w:val="auto"/>
              </w:rPr>
              <w:t>1,045</w:t>
            </w:r>
          </w:p>
        </w:tc>
        <w:tc>
          <w:tcPr>
            <w:tcW w:w="3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2,349</w:t>
            </w:r>
          </w:p>
        </w:tc>
        <w:tc>
          <w:tcPr>
            <w:tcW w:w="48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807</w:t>
            </w:r>
          </w:p>
        </w:tc>
        <w:tc>
          <w:tcPr>
            <w:tcW w:w="0" w:type="dxa"/>
            <w:vAlign w:val="bottom"/>
          </w:tcPr>
          <w:p>
            <w:pPr>
              <w:spacing w:after="0"/>
              <w:rPr>
                <w:sz w:val="1"/>
                <w:szCs w:val="1"/>
                <w:color w:val="auto"/>
              </w:rPr>
            </w:pPr>
          </w:p>
        </w:tc>
      </w:tr>
    </w:tbl>
    <w:p>
      <w:pPr>
        <w:spacing w:after="0" w:line="57" w:lineRule="exact"/>
        <w:rPr>
          <w:sz w:val="20"/>
          <w:szCs w:val="20"/>
          <w:color w:val="auto"/>
        </w:rPr>
      </w:pPr>
    </w:p>
    <w:p>
      <w:pPr>
        <w:jc w:val="both"/>
        <w:ind w:left="340" w:hanging="332"/>
        <w:spacing w:after="0" w:line="233"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Beginning in 2014, Fandango, our movie ticketing and entertainment business that was previously presented in our Cable Networks segment, is now presented in the Filmed Entertainment segment to reflect the change in our current management reporting presentation. Due to immateriality, prior period amounts have not been adjusted. The change in presentation resulted in the reclassification of $195 million of goodwill from our Cable Networks segment to our Filmed Entertainment segment.</w:t>
      </w:r>
    </w:p>
    <w:p>
      <w:pPr>
        <w:spacing w:after="0" w:line="44" w:lineRule="exact"/>
        <w:rPr>
          <w:rFonts w:ascii="Arial" w:cs="Arial" w:eastAsia="Arial" w:hAnsi="Arial"/>
          <w:sz w:val="14"/>
          <w:szCs w:val="14"/>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Headquarters and Other activities include costs associated with overhead, personnel costs and headquarter initiatives.</w:t>
      </w:r>
    </w:p>
    <w:p>
      <w:pPr>
        <w:spacing w:after="0" w:line="55"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which consist primarily of the licensing of film and television content from our Filmed Entertainment and Broadcast Television segments to our Cable Networks segment.</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We use operating income (loss) before depreciation and amortization, excluding impairment charges related to fixed and intangible assets and gains or losses on the sale of assets, if any, as the measure of profit or loss for our operating segments. This measure eliminates the significant level of noncash amortization expense that results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attributable to NBCUniversal, net cash provided by operating activities, or other measures of performance or liquidity we have reported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23, 2014</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5"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Michael J. Angelakis, certify that:</w:t>
      </w:r>
    </w:p>
    <w:p>
      <w:pPr>
        <w:spacing w:after="0" w:line="14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23, 2014</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280"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144"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900" w:hanging="446"/>
        <w:spacing w:after="0" w:line="332"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23, 2014</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Principal Executive Officer</w:t>
      </w:r>
    </w:p>
    <w:p>
      <w:pPr>
        <w:sectPr>
          <w:pgSz w:w="11900" w:h="16838" w:orient="portrait"/>
          <w:cols w:equalWidth="0" w:num="1">
            <w:col w:w="11420"/>
          </w:cols>
          <w:pgMar w:left="240" w:top="125"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Michael J. Angelakis, certify that:</w:t>
      </w:r>
    </w:p>
    <w:p>
      <w:pPr>
        <w:spacing w:after="0" w:line="14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23, 2014</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Principal Financial Officer</w:t>
      </w:r>
    </w:p>
    <w:p>
      <w:pPr>
        <w:sectPr>
          <w:pgSz w:w="11900" w:h="16838" w:orient="portrait"/>
          <w:cols w:equalWidth="0" w:num="1">
            <w:col w:w="11420"/>
          </w:cols>
          <w:pgMar w:left="240" w:top="280"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23, 2014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Brian L. Roberts, the Chief Executive Officer, and Michael J. Angelakis, the Chief Financial Officer, of Comcast Corporation,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Comcast Corporation.</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25"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23, 2014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NBCUniversal Media, LLC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Brian L. Roberts, the Principal Executive Officer, and Michael J. Angelakis, the Principal Financial Officer, of NBCUniversal Media, LLC,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NBCUniversal Media, LLC.</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Principal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lowerLetter"/>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lowerLetter"/>
      <w:start w:val="1"/>
    </w:lvl>
  </w:abstractNum>
  <w:abstractNum w:abstractNumId="7">
    <w:nsid w:val="1BEFD79F"/>
    <w:multiLevelType w:val="hybridMultilevel"/>
    <w:lvl w:ilvl="0">
      <w:lvlJc w:val="left"/>
      <w:lvlText w:val="(%1)"/>
      <w:numFmt w:val="lowerLetter"/>
      <w:start w:val="2"/>
    </w:lvl>
  </w:abstractNum>
  <w:abstractNum w:abstractNumId="8">
    <w:nsid w:val="41A7C4C9"/>
    <w:multiLevelType w:val="hybridMultilevel"/>
    <w:lvl w:ilvl="0">
      <w:lvlJc w:val="left"/>
      <w:lvlText w:val="(%1)"/>
      <w:numFmt w:val="lowerLetter"/>
      <w:start w:val="3"/>
    </w:lvl>
    <w:lvl w:ilvl="1">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lowerLetter"/>
      <w:start w:val="1"/>
    </w:lvl>
  </w:abstractNum>
  <w:abstractNum w:abstractNumId="11">
    <w:nsid w:val="25E45D32"/>
    <w:multiLevelType w:val="hybridMultilevel"/>
    <w:lvl w:ilvl="0">
      <w:lvlJc w:val="left"/>
      <w:lvlText w:val="%1"/>
      <w:numFmt w:val="decimal"/>
      <w:start w:val="101"/>
    </w:lvl>
  </w:abstractNum>
  <w:abstractNum w:abstractNumId="12">
    <w:nsid w:val="519B500D"/>
    <w:multiLevelType w:val="hybridMultilevel"/>
    <w:lvl w:ilvl="0">
      <w:lvlJc w:val="left"/>
      <w:lvlText w:val="%1"/>
      <w:numFmt w:val="decimal"/>
      <w:start w:val="10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
    </w:lvl>
    <w:lvl w:ilvl="1">
      <w:lvlJc w:val="left"/>
      <w:lvlText w:val="%2)"/>
      <w:numFmt w:val="lowerLetter"/>
      <w:start w:val="1"/>
    </w:lvl>
  </w:abstractNum>
  <w:abstractNum w:abstractNumId="17">
    <w:nsid w:val="62BBD95A"/>
    <w:multiLevelType w:val="hybridMultilevel"/>
    <w:lvl w:ilvl="0">
      <w:lvlJc w:val="left"/>
      <w:lvlText w:val="%1."/>
      <w:numFmt w:val="decimal"/>
      <w:start w:val="1"/>
    </w:lvl>
    <w:lvl w:ilvl="1">
      <w:lvlJc w:val="left"/>
      <w:lvlText w:val="%2)"/>
      <w:numFmt w:val="lowerLetter"/>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2019-12-07T03:16:59Z</dcterms:created>
  <dcterms:modified xsi:type="dcterms:W3CDTF">2019-12-07T03:16:59Z</dcterms:modified>
</cp:coreProperties>
</file>